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5E3B"/>
          <w:spacing w:val="40"/>
          <w:sz w:val="20"/>
          <w:szCs w:val="20"/>
        </w:rPr>
        <w:t xml:space="preserve">AGRONEXA AGRI-INPUTS LIMITED</w:t>
      </w:r>
    </w:p>
    <w:p>
      <w:pPr>
        <w:pBdr>
          <w:bottom w:val="single" w:color="1F5E3B" w:sz="12" w:space="6"/>
        </w:pBdr>
        <w:spacing w:after="80"/>
      </w:pPr>
      <w:r>
        <w:rPr>
          <w:b/>
          <w:bCs/>
          <w:color w:val="14301F"/>
          <w:sz w:val="44"/>
          <w:szCs w:val="44"/>
        </w:rPr>
        <w:t xml:space="preserve">Pricing and Payment Policy</w:t>
      </w:r>
    </w:p>
    <w:p>
      <w:pPr>
        <w:spacing w:after="200" w:before="120"/>
      </w:pPr>
      <w:r>
        <w:rPr>
          <w:i/>
          <w:iCs/>
          <w:color w:val="555555"/>
          <w:sz w:val="22"/>
          <w:szCs w:val="22"/>
        </w:rPr>
        <w:t xml:space="preserve">Price list, discounts, quotations and accepted payment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7212"/>
      </w:tblGrid>
      <w:tr>
        <w:trPr>
          <w:cantSplit/>
          <w:tblHeader/>
        </w:trPr>
        <w:tc>
          <w:tcPr>
            <w:tcW w:type="dxa" w:w="2200"/>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Document control</w:t>
            </w:r>
          </w:p>
        </w:tc>
        <w:tc>
          <w:tcPr>
            <w:tcW w:type="dxa" w:w="721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Document ID</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AN-PRC-003</w:t>
            </w:r>
          </w:p>
        </w:tc>
      </w:tr>
      <w:tr>
        <w:trPr>
          <w:cantSplit/>
        </w:trPr>
        <w:tc>
          <w:tcPr>
            <w:tcW w:type="dxa" w:w="22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Document title</w:t>
            </w:r>
          </w:p>
        </w:tc>
        <w:tc>
          <w:tcPr>
            <w:tcW w:type="dxa" w:w="72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Pricing and Payment Policy</w:t>
            </w: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Version</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3.2</w:t>
            </w:r>
          </w:p>
        </w:tc>
      </w:tr>
      <w:tr>
        <w:trPr>
          <w:cantSplit/>
        </w:trPr>
        <w:tc>
          <w:tcPr>
            <w:tcW w:type="dxa" w:w="22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Effective date</w:t>
            </w:r>
          </w:p>
        </w:tc>
        <w:tc>
          <w:tcPr>
            <w:tcW w:type="dxa" w:w="72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 January 2026</w:t>
            </w: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Last reviewed</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15 September 2026</w:t>
            </w:r>
          </w:p>
        </w:tc>
      </w:tr>
      <w:tr>
        <w:trPr>
          <w:cantSplit/>
        </w:trPr>
        <w:tc>
          <w:tcPr>
            <w:tcW w:type="dxa" w:w="22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Document owner</w:t>
            </w:r>
          </w:p>
        </w:tc>
        <w:tc>
          <w:tcPr>
            <w:tcW w:type="dxa" w:w="72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Finance and Billing</w:t>
            </w: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Classification</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Official – shared with approved partners</w:t>
            </w:r>
          </w:p>
        </w:tc>
      </w:tr>
    </w:tbl>
    <w:p>
      <w:pPr>
        <w:spacing w:after="120"/>
      </w:pPr>
    </w:p>
    <w:p>
      <w:pPr>
        <w:pStyle w:val="Heading1"/>
      </w:pPr>
      <w:r>
        <w:t xml:space="preserve">1. Basis of Pricing</w:t>
      </w:r>
    </w:p>
    <w:p>
      <w:pPr>
        <w:spacing w:after="120" w:line="276"/>
      </w:pPr>
      <w:r>
        <w:rPr>
          <w:sz w:val="21"/>
          <w:szCs w:val="21"/>
        </w:rPr>
        <w:t xml:space="preserve">All prices are in Nigerian Naira (NGN). List prices cover the product only and do not include delivery, which is charged separately as set out in the Delivery Policy (AN-DLV-004). Applicable taxes, where they apply, are shown on the invoice.</w:t>
      </w:r>
    </w:p>
    <w:p>
      <w:pPr>
        <w:spacing w:after="120" w:line="276"/>
      </w:pPr>
      <w:r>
        <w:rPr>
          <w:sz w:val="21"/>
          <w:szCs w:val="21"/>
        </w:rPr>
        <w:t xml:space="preserve">The prices below are the standard retail prices in effect from 1 January 2026. They apply at all AgroNexa depots and on the website.</w:t>
      </w:r>
    </w:p>
    <w:p>
      <w:pPr>
        <w:pStyle w:val="Heading1"/>
      </w:pPr>
      <w:r>
        <w:t xml:space="preserve">2. Standard Price List</w:t>
      </w:r>
    </w:p>
    <w:p>
      <w:pPr>
        <w:pStyle w:val="Heading2"/>
      </w:pPr>
      <w:r>
        <w:t xml:space="preserve">Fertilizers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3605"/>
        <w:gridCol w:w="1502"/>
        <w:gridCol w:w="1902"/>
      </w:tblGrid>
      <w:tr>
        <w:trPr>
          <w:cantSplit/>
          <w:tblHeader/>
        </w:trPr>
        <w:tc>
          <w:tcPr>
            <w:tcW w:type="dxa" w:w="2403"/>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SKU</w:t>
            </w:r>
          </w:p>
        </w:tc>
        <w:tc>
          <w:tcPr>
            <w:tcW w:type="dxa" w:w="3605"/>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Product</w:t>
            </w:r>
          </w:p>
        </w:tc>
        <w:tc>
          <w:tcPr>
            <w:tcW w:type="dxa" w:w="15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Pack</w:t>
            </w:r>
          </w:p>
        </w:tc>
        <w:tc>
          <w:tcPr>
            <w:tcW w:type="dxa" w:w="19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Price (NGN)</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FRT-NPK151515-50</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NPK 15-15-15</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50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48,500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FRT-NPK201010-50</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NPK 20-10-10</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50 kg</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47,000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FRT-UREA-50</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Urea</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50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42,000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FRT-SSP-50</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Single Super Phosphate</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50 kg</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28,500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FRT-MOP-50</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Muriate of Potash</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50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46,000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FRT-CAN-50</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Calcium Ammonium Nitrate</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50 kg</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33,500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FRT-ORG-25</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Organic Compost Granules</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25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9,500</w:t>
            </w:r>
          </w:p>
        </w:tc>
      </w:tr>
    </w:tbl>
    <w:p>
      <w:pPr>
        <w:spacing w:after="120"/>
      </w:pPr>
    </w:p>
    <w:p>
      <w:pPr>
        <w:pStyle w:val="Heading2"/>
      </w:pPr>
      <w:r>
        <w:t xml:space="preserve">Certified seed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3605"/>
        <w:gridCol w:w="1502"/>
        <w:gridCol w:w="1902"/>
      </w:tblGrid>
      <w:tr>
        <w:trPr>
          <w:cantSplit/>
          <w:tblHeader/>
        </w:trPr>
        <w:tc>
          <w:tcPr>
            <w:tcW w:type="dxa" w:w="2403"/>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SKU</w:t>
            </w:r>
          </w:p>
        </w:tc>
        <w:tc>
          <w:tcPr>
            <w:tcW w:type="dxa" w:w="3605"/>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Product</w:t>
            </w:r>
          </w:p>
        </w:tc>
        <w:tc>
          <w:tcPr>
            <w:tcW w:type="dxa" w:w="15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Pack</w:t>
            </w:r>
          </w:p>
        </w:tc>
        <w:tc>
          <w:tcPr>
            <w:tcW w:type="dxa" w:w="19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Price (NGN)</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SD-MZ-HY1</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NexaGold Maize H1 (hybrid)</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10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36,000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SD-MZ-OP1</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NexaGold Maize OP</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10 kg</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22,000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SD-RC-01</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NexaRice FR</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25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40,000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SD-SB-01</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NexaSoy 110</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25 kg</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44,000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SD-SG-01</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NexaSorghum S2</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5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9,000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SD-CP-01</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NexaCowpea C5</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5 kg</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11,000</w:t>
            </w:r>
          </w:p>
        </w:tc>
      </w:tr>
    </w:tbl>
    <w:p>
      <w:pPr>
        <w:spacing w:after="120"/>
      </w:pPr>
    </w:p>
    <w:p>
      <w:pPr>
        <w:pStyle w:val="Heading2"/>
      </w:pPr>
      <w:r>
        <w:t xml:space="preserve">Crop protection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3605"/>
        <w:gridCol w:w="1502"/>
        <w:gridCol w:w="1902"/>
      </w:tblGrid>
      <w:tr>
        <w:trPr>
          <w:cantSplit/>
          <w:tblHeader/>
        </w:trPr>
        <w:tc>
          <w:tcPr>
            <w:tcW w:type="dxa" w:w="2403"/>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SKU</w:t>
            </w:r>
          </w:p>
        </w:tc>
        <w:tc>
          <w:tcPr>
            <w:tcW w:type="dxa" w:w="3605"/>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Product</w:t>
            </w:r>
          </w:p>
        </w:tc>
        <w:tc>
          <w:tcPr>
            <w:tcW w:type="dxa" w:w="15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Pack</w:t>
            </w:r>
          </w:p>
        </w:tc>
        <w:tc>
          <w:tcPr>
            <w:tcW w:type="dxa" w:w="19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Price (NGN)</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CP-HB-GLY</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Glyphosate 480 SL</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 litre</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6,800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CP-HB-ATZ</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Atrazine 500 SC</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 litre</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7,500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CP-IN-LCY</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Lambda 2.5 EC</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 litre</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9,200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CP-IN-EMB</w:t>
            </w:r>
          </w:p>
        </w:tc>
        <w:tc>
          <w:tcPr>
            <w:tcW w:type="dxa" w:w="3605"/>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Emamectin 1.9 EC</w:t>
            </w:r>
          </w:p>
        </w:tc>
        <w:tc>
          <w:tcPr>
            <w:tcW w:type="dxa" w:w="15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500 ml</w:t>
            </w:r>
          </w:p>
        </w:tc>
        <w:tc>
          <w:tcPr>
            <w:tcW w:type="dxa" w:w="19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11,500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CP-FG-MNZ</w:t>
            </w:r>
          </w:p>
        </w:tc>
        <w:tc>
          <w:tcPr>
            <w:tcW w:type="dxa" w:w="3605"/>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Mancozeb 80 WP</w:t>
            </w:r>
          </w:p>
        </w:tc>
        <w:tc>
          <w:tcPr>
            <w:tcW w:type="dxa" w:w="15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 kg</w:t>
            </w:r>
          </w:p>
        </w:tc>
        <w:tc>
          <w:tcPr>
            <w:tcW w:type="dxa" w:w="19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8,400</w:t>
            </w:r>
          </w:p>
        </w:tc>
      </w:tr>
    </w:tbl>
    <w:p>
      <w:pPr>
        <w:spacing w:after="120"/>
      </w:pPr>
    </w:p>
    <w:p>
      <w:pPr>
        <w:pStyle w:val="Heading2"/>
      </w:pPr>
      <w:r>
        <w:t xml:space="preserve">Equipment and services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3104"/>
        <w:gridCol w:w="2303"/>
        <w:gridCol w:w="1602"/>
      </w:tblGrid>
      <w:tr>
        <w:trPr>
          <w:cantSplit/>
          <w:tblHeader/>
        </w:trPr>
        <w:tc>
          <w:tcPr>
            <w:tcW w:type="dxa" w:w="2403"/>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SKU / Service</w:t>
            </w:r>
          </w:p>
        </w:tc>
        <w:tc>
          <w:tcPr>
            <w:tcW w:type="dxa" w:w="3104"/>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Item</w:t>
            </w:r>
          </w:p>
        </w:tc>
        <w:tc>
          <w:tcPr>
            <w:tcW w:type="dxa" w:w="2303"/>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Unit</w:t>
            </w:r>
          </w:p>
        </w:tc>
        <w:tc>
          <w:tcPr>
            <w:tcW w:type="dxa" w:w="160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Price (NGN)</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EQ-SPR-16L</w:t>
            </w:r>
          </w:p>
        </w:tc>
        <w:tc>
          <w:tcPr>
            <w:tcW w:type="dxa" w:w="3104"/>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Knapsack sprayer, 16 litre</w:t>
            </w:r>
          </w:p>
        </w:tc>
        <w:tc>
          <w:tcPr>
            <w:tcW w:type="dxa" w:w="23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Each</w:t>
            </w:r>
          </w:p>
        </w:tc>
        <w:tc>
          <w:tcPr>
            <w:tcW w:type="dxa" w:w="16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28,000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EQ-PPE-KIT</w:t>
            </w:r>
          </w:p>
        </w:tc>
        <w:tc>
          <w:tcPr>
            <w:tcW w:type="dxa" w:w="3104"/>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Protective equipment kit</w:t>
            </w:r>
          </w:p>
        </w:tc>
        <w:tc>
          <w:tcPr>
            <w:tcW w:type="dxa" w:w="23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Each</w:t>
            </w:r>
          </w:p>
        </w:tc>
        <w:tc>
          <w:tcPr>
            <w:tcW w:type="dxa" w:w="16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14,500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EQ-HRM-100</w:t>
            </w:r>
          </w:p>
        </w:tc>
        <w:tc>
          <w:tcPr>
            <w:tcW w:type="dxa" w:w="3104"/>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Hermetic storage bag, 100 kg</w:t>
            </w:r>
          </w:p>
        </w:tc>
        <w:tc>
          <w:tcPr>
            <w:tcW w:type="dxa" w:w="23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Each</w:t>
            </w:r>
          </w:p>
        </w:tc>
        <w:tc>
          <w:tcPr>
            <w:tcW w:type="dxa" w:w="16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3,200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SVC-SOIL-BAS</w:t>
            </w:r>
          </w:p>
        </w:tc>
        <w:tc>
          <w:tcPr>
            <w:tcW w:type="dxa" w:w="3104"/>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Basic soil test</w:t>
            </w:r>
          </w:p>
        </w:tc>
        <w:tc>
          <w:tcPr>
            <w:tcW w:type="dxa" w:w="23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Per sample</w:t>
            </w:r>
          </w:p>
        </w:tc>
        <w:tc>
          <w:tcPr>
            <w:tcW w:type="dxa" w:w="16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15,000</w:t>
            </w:r>
          </w:p>
        </w:tc>
      </w:tr>
      <w:tr>
        <w:trPr>
          <w:cantSplit/>
        </w:trPr>
        <w:tc>
          <w:tcPr>
            <w:tcW w:type="dxa" w:w="24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SVC-SOIL-EXT</w:t>
            </w:r>
          </w:p>
        </w:tc>
        <w:tc>
          <w:tcPr>
            <w:tcW w:type="dxa" w:w="3104"/>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Extended soil test</w:t>
            </w:r>
          </w:p>
        </w:tc>
        <w:tc>
          <w:tcPr>
            <w:tcW w:type="dxa" w:w="2303"/>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Per sample</w:t>
            </w:r>
          </w:p>
        </w:tc>
        <w:tc>
          <w:tcPr>
            <w:tcW w:type="dxa" w:w="160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28,500</w:t>
            </w:r>
          </w:p>
        </w:tc>
      </w:tr>
      <w:tr>
        <w:trPr>
          <w:cantSplit/>
        </w:trPr>
        <w:tc>
          <w:tcPr>
            <w:tcW w:type="dxa" w:w="24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SVC-ADV-DAY</w:t>
            </w:r>
          </w:p>
        </w:tc>
        <w:tc>
          <w:tcPr>
            <w:tcW w:type="dxa" w:w="3104"/>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Farm advisory visit</w:t>
            </w:r>
          </w:p>
        </w:tc>
        <w:tc>
          <w:tcPr>
            <w:tcW w:type="dxa" w:w="2303"/>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Per day (travel costs quoted separately outside Abuja and Kaduna)</w:t>
            </w:r>
          </w:p>
        </w:tc>
        <w:tc>
          <w:tcPr>
            <w:tcW w:type="dxa" w:w="160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35,000</w:t>
            </w:r>
          </w:p>
        </w:tc>
      </w:tr>
    </w:tbl>
    <w:p>
      <w:pPr>
        <w:spacing w:after="120"/>
      </w:pPr>
    </w:p>
    <w:p>
      <w:pPr>
        <w:pStyle w:val="Heading1"/>
      </w:pPr>
      <w:r>
        <w:t xml:space="preserve">3. Volume Discounts</w:t>
      </w:r>
    </w:p>
    <w:p>
      <w:pPr>
        <w:spacing w:after="120" w:line="276"/>
      </w:pPr>
      <w:r>
        <w:rPr>
          <w:sz w:val="21"/>
          <w:szCs w:val="21"/>
        </w:rPr>
        <w:t xml:space="preserve">Volume discounts apply to fertilizers and certified seed bought on a single invoice. They do not apply to crop protection products, equipment or services.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5600"/>
        <w:gridCol w:w="3812"/>
      </w:tblGrid>
      <w:tr>
        <w:trPr>
          <w:cantSplit/>
          <w:tblHeader/>
        </w:trPr>
        <w:tc>
          <w:tcPr>
            <w:tcW w:type="dxa" w:w="5600"/>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Units on one invoice (bags or seed packs)</w:t>
            </w:r>
          </w:p>
        </w:tc>
        <w:tc>
          <w:tcPr>
            <w:tcW w:type="dxa" w:w="381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Discount on list price</w:t>
            </w:r>
          </w:p>
        </w:tc>
      </w:tr>
      <w:tr>
        <w:trPr>
          <w:cantSplit/>
        </w:trPr>
        <w:tc>
          <w:tcPr>
            <w:tcW w:type="dxa" w:w="56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1–19</w:t>
            </w:r>
          </w:p>
        </w:tc>
        <w:tc>
          <w:tcPr>
            <w:tcW w:type="dxa" w:w="38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None</w:t>
            </w:r>
          </w:p>
        </w:tc>
      </w:tr>
      <w:tr>
        <w:trPr>
          <w:cantSplit/>
        </w:trPr>
        <w:tc>
          <w:tcPr>
            <w:tcW w:type="dxa" w:w="56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20–49</w:t>
            </w:r>
          </w:p>
        </w:tc>
        <w:tc>
          <w:tcPr>
            <w:tcW w:type="dxa" w:w="38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2%</w:t>
            </w:r>
          </w:p>
        </w:tc>
      </w:tr>
      <w:tr>
        <w:trPr>
          <w:cantSplit/>
        </w:trPr>
        <w:tc>
          <w:tcPr>
            <w:tcW w:type="dxa" w:w="56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50–99</w:t>
            </w:r>
          </w:p>
        </w:tc>
        <w:tc>
          <w:tcPr>
            <w:tcW w:type="dxa" w:w="38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3.5%</w:t>
            </w:r>
          </w:p>
        </w:tc>
      </w:tr>
      <w:tr>
        <w:trPr>
          <w:cantSplit/>
        </w:trPr>
        <w:tc>
          <w:tcPr>
            <w:tcW w:type="dxa" w:w="56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100–299</w:t>
            </w:r>
          </w:p>
        </w:tc>
        <w:tc>
          <w:tcPr>
            <w:tcW w:type="dxa" w:w="38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5%</w:t>
            </w:r>
          </w:p>
        </w:tc>
      </w:tr>
      <w:tr>
        <w:trPr>
          <w:cantSplit/>
        </w:trPr>
        <w:tc>
          <w:tcPr>
            <w:tcW w:type="dxa" w:w="56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300 and above</w:t>
            </w:r>
          </w:p>
        </w:tc>
        <w:tc>
          <w:tcPr>
            <w:tcW w:type="dxa" w:w="38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By quotation, from 6%</w:t>
            </w:r>
          </w:p>
        </w:tc>
      </w:tr>
    </w:tbl>
    <w:p>
      <w:pPr>
        <w:spacing w:after="120"/>
      </w:pPr>
    </w:p>
    <w:p>
      <w:pPr>
        <w:pStyle w:val="Heading2"/>
      </w:pPr>
      <w:r>
        <w:t xml:space="preserve">Cooperative and farmer-group pricing</w:t>
      </w:r>
    </w:p>
    <w:p>
      <w:pPr>
        <w:spacing w:after="120" w:line="276"/>
      </w:pPr>
      <w:r>
        <w:rPr>
          <w:sz w:val="21"/>
          <w:szCs w:val="21"/>
        </w:rPr>
        <w:t xml:space="preserve">Registered cooperatives and farmer groups with at least 30 members receive an additional 3% on qualifying orders. Combined volume and group discounts are capped at 8%. To qualify, the group must submit its registration certificate and a member list, and place a single consolidated order with one delivery point.</w:t>
      </w:r>
    </w:p>
    <w:p>
      <w:pPr>
        <w:pStyle w:val="Heading2"/>
      </w:pPr>
      <w:r>
        <w:t xml:space="preserve">Dealer pricing</w:t>
      </w:r>
    </w:p>
    <w:p>
      <w:pPr>
        <w:spacing w:after="120" w:line="276"/>
      </w:pPr>
      <w:r>
        <w:rPr>
          <w:sz w:val="21"/>
          <w:szCs w:val="21"/>
        </w:rPr>
        <w:t xml:space="preserve">Approved agro-dealers buy under a separate dealer price schedule and credit terms set out in their dealer agreement. Dealer prices are not published and are not available to retail customers.</w:t>
      </w:r>
    </w:p>
    <w:p>
      <w:pPr>
        <w:pStyle w:val="Heading1"/>
      </w:pPr>
      <w:r>
        <w:t xml:space="preserve">4. Quotations</w:t>
      </w:r>
    </w:p>
    <w:p>
      <w:pPr>
        <w:pStyle w:val="ListParagraph"/>
        <w:numPr>
          <w:ilvl w:val="0"/>
          <w:numId w:val="2"/>
        </w:numPr>
        <w:spacing w:after="60" w:line="264"/>
      </w:pPr>
      <w:r>
        <w:rPr>
          <w:sz w:val="21"/>
          <w:szCs w:val="21"/>
        </w:rPr>
        <w:t xml:space="preserve">Quotations are issued by Sales and Key Accounts on request, for orders of 100 units or more, custom blends and institutional supply.</w:t>
      </w:r>
    </w:p>
    <w:p>
      <w:pPr>
        <w:pStyle w:val="ListParagraph"/>
        <w:numPr>
          <w:ilvl w:val="0"/>
          <w:numId w:val="2"/>
        </w:numPr>
        <w:spacing w:after="60" w:line="264"/>
      </w:pPr>
      <w:r>
        <w:rPr>
          <w:sz w:val="21"/>
          <w:szCs w:val="21"/>
        </w:rPr>
        <w:t xml:space="preserve">A quotation is valid for 14 calendar days from the date of issue.</w:t>
      </w:r>
    </w:p>
    <w:p>
      <w:pPr>
        <w:pStyle w:val="ListParagraph"/>
        <w:numPr>
          <w:ilvl w:val="0"/>
          <w:numId w:val="2"/>
        </w:numPr>
        <w:spacing w:after="60" w:line="264"/>
      </w:pPr>
      <w:r>
        <w:rPr>
          <w:sz w:val="21"/>
          <w:szCs w:val="21"/>
        </w:rPr>
        <w:t xml:space="preserve">Quoted prices are fixed for the quoted quantities and delivery location only. If quantities or delivery location change, the quotation is reissued.</w:t>
      </w:r>
    </w:p>
    <w:p>
      <w:pPr>
        <w:pStyle w:val="Heading1"/>
      </w:pPr>
      <w:r>
        <w:t xml:space="preserve">5. Payment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712"/>
      </w:tblGrid>
      <w:tr>
        <w:trPr>
          <w:cantSplit/>
          <w:tblHeader/>
        </w:trPr>
        <w:tc>
          <w:tcPr>
            <w:tcW w:type="dxa" w:w="2000"/>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Method</w:t>
            </w:r>
          </w:p>
        </w:tc>
        <w:tc>
          <w:tcPr>
            <w:tcW w:type="dxa" w:w="2700"/>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Where it is available</w:t>
            </w:r>
          </w:p>
        </w:tc>
        <w:tc>
          <w:tcPr>
            <w:tcW w:type="dxa" w:w="471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Notes</w:t>
            </w:r>
          </w:p>
        </w:tc>
      </w:tr>
      <w:tr>
        <w:trPr>
          <w:cantSplit/>
        </w:trPr>
        <w:tc>
          <w:tcPr>
            <w:tcW w:type="dxa" w:w="20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Bank transfer</w:t>
            </w:r>
          </w:p>
        </w:tc>
        <w:tc>
          <w:tcPr>
            <w:tcW w:type="dxa" w:w="27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All orders</w:t>
            </w:r>
          </w:p>
        </w:tc>
        <w:tc>
          <w:tcPr>
            <w:tcW w:type="dxa" w:w="47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Pay to the AgroNexa corporate account shown on the invoice. The order reference must be used as the payment narration.</w:t>
            </w:r>
          </w:p>
        </w:tc>
      </w:tr>
      <w:tr>
        <w:trPr>
          <w:cantSplit/>
        </w:trPr>
        <w:tc>
          <w:tcPr>
            <w:tcW w:type="dxa" w:w="20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Online card payment</w:t>
            </w:r>
          </w:p>
        </w:tc>
        <w:tc>
          <w:tcPr>
            <w:tcW w:type="dxa" w:w="27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Website orders</w:t>
            </w:r>
          </w:p>
        </w:tc>
        <w:tc>
          <w:tcPr>
            <w:tcW w:type="dxa" w:w="47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Processed through an approved payment gateway. AgroNexa does not see or store card details.</w:t>
            </w:r>
          </w:p>
        </w:tc>
      </w:tr>
      <w:tr>
        <w:trPr>
          <w:cantSplit/>
        </w:trPr>
        <w:tc>
          <w:tcPr>
            <w:tcW w:type="dxa" w:w="20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POS at depot</w:t>
            </w:r>
          </w:p>
        </w:tc>
        <w:tc>
          <w:tcPr>
            <w:tcW w:type="dxa" w:w="27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Depot purchases</w:t>
            </w:r>
          </w:p>
        </w:tc>
        <w:tc>
          <w:tcPr>
            <w:tcW w:type="dxa" w:w="47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Debit cards accepted at all depots.</w:t>
            </w:r>
          </w:p>
        </w:tc>
      </w:tr>
      <w:tr>
        <w:trPr>
          <w:cantSplit/>
        </w:trPr>
        <w:tc>
          <w:tcPr>
            <w:tcW w:type="dxa" w:w="20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Cash at depot</w:t>
            </w:r>
          </w:p>
        </w:tc>
        <w:tc>
          <w:tcPr>
            <w:tcW w:type="dxa" w:w="27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Depot purchases</w:t>
            </w:r>
          </w:p>
        </w:tc>
        <w:tc>
          <w:tcPr>
            <w:tcW w:type="dxa" w:w="47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Accepted up to NGN 500,000 per transaction. A receipt is issued for every cash payment.</w:t>
            </w:r>
          </w:p>
        </w:tc>
      </w:tr>
      <w:tr>
        <w:trPr>
          <w:cantSplit/>
        </w:trPr>
        <w:tc>
          <w:tcPr>
            <w:tcW w:type="dxa" w:w="20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Payment on delivery</w:t>
            </w:r>
          </w:p>
        </w:tc>
        <w:tc>
          <w:tcPr>
            <w:tcW w:type="dxa" w:w="27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Zone 1 deliveries, orders up to NGN 300,000</w:t>
            </w:r>
          </w:p>
        </w:tc>
        <w:tc>
          <w:tcPr>
            <w:tcW w:type="dxa" w:w="47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Payment by transfer or POS to the driver before offloading. Not available for agrochemicals or custom blends.</w:t>
            </w:r>
          </w:p>
        </w:tc>
      </w:tr>
      <w:tr>
        <w:trPr>
          <w:cantSplit/>
        </w:trPr>
        <w:tc>
          <w:tcPr>
            <w:tcW w:type="dxa" w:w="20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Credit terms</w:t>
            </w:r>
          </w:p>
        </w:tc>
        <w:tc>
          <w:tcPr>
            <w:tcW w:type="dxa" w:w="27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Approved dealers and institutional customers only</w:t>
            </w:r>
          </w:p>
        </w:tc>
        <w:tc>
          <w:tcPr>
            <w:tcW w:type="dxa" w:w="47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14 or 30 days from invoice date, subject to credit approval and signed agreement.</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c>
          <w:tcPr>
            <w:tcW w:type="dxa" w:w="9412"/>
            <w:tcBorders>
              <w:top w:val="single" w:color="BFC8C2" w:sz="4"/>
              <w:left w:val="single" w:color="1F5E3B" w:sz="24"/>
              <w:bottom w:val="single" w:color="BFC8C2" w:sz="4"/>
              <w:right w:val="single" w:color="BFC8C2" w:sz="4"/>
            </w:tcBorders>
            <w:shd w:fill="E8F1EB" w:color="auto" w:val="clear"/>
            <w:tcMar>
              <w:top w:type="dxa" w:w="90"/>
              <w:left w:type="dxa" w:w="160"/>
              <w:bottom w:type="dxa" w:w="90"/>
              <w:right w:type="dxa" w:w="140"/>
            </w:tcMar>
          </w:tcPr>
          <w:p>
            <w:r>
              <w:rPr>
                <w:b/>
                <w:bCs/>
                <w:color w:val="1F5E3B"/>
                <w:sz w:val="20"/>
                <w:szCs w:val="20"/>
              </w:rPr>
              <w:t xml:space="preserve">Payment safety: </w:t>
            </w:r>
            <w:r>
              <w:rPr>
                <w:sz w:val="20"/>
                <w:szCs w:val="20"/>
              </w:rPr>
              <w:t xml:space="preserve">AgroNexa bank account details appear only on official invoices and quotations, or on the website payment page. AgroNexa staff, drivers and dealers will never ask a customer to pay into a personal account.</w:t>
            </w:r>
          </w:p>
        </w:tc>
      </w:tr>
    </w:tbl>
    <w:p>
      <w:pPr>
        <w:spacing w:after="120"/>
      </w:pPr>
    </w:p>
    <w:p>
      <w:pPr>
        <w:pStyle w:val="Heading1"/>
      </w:pPr>
      <w:r>
        <w:t xml:space="preserve">6. Payment Confirmation and Order Processing</w:t>
      </w:r>
    </w:p>
    <w:p>
      <w:pPr>
        <w:pStyle w:val="ListParagraph"/>
        <w:numPr>
          <w:ilvl w:val="0"/>
          <w:numId w:val="2"/>
        </w:numPr>
        <w:spacing w:after="60" w:line="264"/>
      </w:pPr>
      <w:r>
        <w:rPr>
          <w:sz w:val="21"/>
          <w:szCs w:val="21"/>
        </w:rPr>
        <w:t xml:space="preserve">An order is confirmed only when payment (or approved credit) is received and the customer has received an order confirmation with an order number.</w:t>
      </w:r>
    </w:p>
    <w:p>
      <w:pPr>
        <w:pStyle w:val="ListParagraph"/>
        <w:numPr>
          <w:ilvl w:val="0"/>
          <w:numId w:val="2"/>
        </w:numPr>
        <w:spacing w:after="60" w:line="264"/>
      </w:pPr>
      <w:r>
        <w:rPr>
          <w:sz w:val="21"/>
          <w:szCs w:val="21"/>
        </w:rPr>
        <w:t xml:space="preserve">Bank transfers are normally confirmed within 1 to 4 working hours on business days. Transfers made after 16:00 or on weekends are confirmed on the next business day.</w:t>
      </w:r>
    </w:p>
    <w:p>
      <w:pPr>
        <w:pStyle w:val="ListParagraph"/>
        <w:numPr>
          <w:ilvl w:val="0"/>
          <w:numId w:val="2"/>
        </w:numPr>
        <w:spacing w:after="60" w:line="264"/>
      </w:pPr>
      <w:r>
        <w:rPr>
          <w:sz w:val="21"/>
          <w:szCs w:val="21"/>
        </w:rPr>
        <w:t xml:space="preserve">If a payment cannot be matched to an order, Finance and Billing will contact the customer using the contact details on the order. Customers can speed this up by sending proof of payment with the order number.</w:t>
      </w:r>
    </w:p>
    <w:p>
      <w:pPr>
        <w:pStyle w:val="ListParagraph"/>
        <w:numPr>
          <w:ilvl w:val="0"/>
          <w:numId w:val="2"/>
        </w:numPr>
        <w:spacing w:after="60" w:line="264"/>
      </w:pPr>
      <w:r>
        <w:rPr>
          <w:sz w:val="21"/>
          <w:szCs w:val="21"/>
        </w:rPr>
        <w:t xml:space="preserve">Overpayments are refunded or credited, at the customer's choice, within 10 business days.</w:t>
      </w:r>
    </w:p>
    <w:p>
      <w:pPr>
        <w:pStyle w:val="Heading1"/>
      </w:pPr>
      <w:r>
        <w:t xml:space="preserve">7. Price Changes</w:t>
      </w:r>
    </w:p>
    <w:p>
      <w:pPr>
        <w:pStyle w:val="ListParagraph"/>
        <w:numPr>
          <w:ilvl w:val="0"/>
          <w:numId w:val="2"/>
        </w:numPr>
        <w:spacing w:after="60" w:line="264"/>
      </w:pPr>
      <w:r>
        <w:rPr>
          <w:sz w:val="21"/>
          <w:szCs w:val="21"/>
        </w:rPr>
        <w:t xml:space="preserve">AgroNexa reviews list prices every quarter and may change them earlier if manufacturer or import costs change significantly.</w:t>
      </w:r>
    </w:p>
    <w:p>
      <w:pPr>
        <w:pStyle w:val="ListParagraph"/>
        <w:numPr>
          <w:ilvl w:val="0"/>
          <w:numId w:val="2"/>
        </w:numPr>
        <w:spacing w:after="60" w:line="264"/>
      </w:pPr>
      <w:r>
        <w:rPr>
          <w:sz w:val="21"/>
          <w:szCs w:val="21"/>
        </w:rPr>
        <w:t xml:space="preserve">Changes to the standard price list are published on the website at least 7 calendar days before they take effect.</w:t>
      </w:r>
    </w:p>
    <w:p>
      <w:pPr>
        <w:pStyle w:val="ListParagraph"/>
        <w:numPr>
          <w:ilvl w:val="0"/>
          <w:numId w:val="2"/>
        </w:numPr>
        <w:spacing w:after="60" w:line="264"/>
      </w:pPr>
      <w:r>
        <w:rPr>
          <w:sz w:val="21"/>
          <w:szCs w:val="21"/>
        </w:rPr>
        <w:t xml:space="preserve">Orders that have been paid for are honoured at the price paid at the time of payment, even if the price later changes.</w:t>
      </w:r>
    </w:p>
    <w:p>
      <w:pPr>
        <w:pStyle w:val="ListParagraph"/>
        <w:numPr>
          <w:ilvl w:val="0"/>
          <w:numId w:val="2"/>
        </w:numPr>
        <w:spacing w:after="60" w:line="264"/>
      </w:pPr>
      <w:r>
        <w:rPr>
          <w:sz w:val="21"/>
          <w:szCs w:val="21"/>
        </w:rPr>
        <w:t xml:space="preserve">Prices at partner agro-dealer outlets are set by the dealers and may differ from AgroNexa depot prices.</w:t>
      </w:r>
    </w:p>
    <w:p>
      <w:pPr>
        <w:pStyle w:val="Heading1"/>
      </w:pPr>
      <w:r>
        <w:t xml:space="preserve">8. Invoices and Receipts</w:t>
      </w:r>
    </w:p>
    <w:p>
      <w:pPr>
        <w:spacing w:after="120" w:line="276"/>
      </w:pPr>
      <w:r>
        <w:rPr>
          <w:sz w:val="21"/>
          <w:szCs w:val="21"/>
        </w:rPr>
        <w:t xml:space="preserve">An invoice is issued for every order and is sent to the email address on the order. It shows the product, batch number where applicable, quantity, unit price, discounts, delivery charge and total. Duplicate invoices and statements of account are available from finance@agronexa.example.</w:t>
      </w:r>
    </w:p>
    <w:p>
      <w:pPr>
        <w:pStyle w:val="Heading1"/>
      </w:pPr>
      <w:r>
        <w:t xml:space="preserve">9. Failed and Reversed Payments</w:t>
      </w:r>
    </w:p>
    <w:p>
      <w:pPr>
        <w:spacing w:after="120" w:line="276"/>
      </w:pPr>
      <w:r>
        <w:rPr>
          <w:sz w:val="21"/>
          <w:szCs w:val="21"/>
        </w:rPr>
        <w:t xml:space="preserve">If a payment fails but the customer's account is debited, the amount is normally reversed by the customer's bank or the payment gateway within 5 to 7 working days. If the amount is not reversed in that time, the customer should send the transaction reference to support@agronexa.example so that Finance and Billing can trace it with the gateway.</w:t>
      </w:r>
    </w:p>
    <w:sectPr>
      <w:headerReference w:type="default" r:id="rId7"/>
      <w:footerReference w:type="default" r:id="rId8"/>
      <w:pgSz w:w="11906" w:h="16838" w:orient="portrait"/>
      <w:pgMar w:top="1300" w:right="1247" w:bottom="12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Controlled document. Printed copies may be out of date.   Page </w:t>
    </w:r>
    <w:r>
      <w:rPr>
        <w:color w:val="777777"/>
        <w:sz w:val="16"/>
        <w:szCs w:val="16"/>
      </w:rPr>
      <w:fldChar w:fldCharType="begin"/>
      <w:instrText xml:space="preserve">PAGE</w:instrText>
      <w:fldChar w:fldCharType="separate"/>
      <w:fldChar w:fldCharType="end"/>
    </w:r>
    <w:r>
      <w:rPr>
        <w:color w:val="777777"/>
        <w:sz w:val="16"/>
        <w:szCs w:val="16"/>
      </w:rPr>
      <w:t xml:space="preserve"> of </w:t>
    </w:r>
    <w:r>
      <w:rPr>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AgroNexa Agri-Inputs Limited  |  AN-PRC-003  |  v3.2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Calibri" w:cs="Calibri" w:eastAsia="Calibri" w:hAnsi="Calibri"/>
      <w:b/>
      <w:bCs/>
      <w:color w:val="1F5E3B"/>
      <w:sz w:val="28"/>
      <w:szCs w:val="28"/>
    </w:rPr>
  </w:style>
  <w:style w:type="paragraph" w:styleId="Heading2">
    <w:name w:val="Heading 2"/>
    <w:basedOn w:val="Normal"/>
    <w:next w:val="Normal"/>
    <w:qFormat/>
    <w:pPr>
      <w:keepNext/>
      <w:spacing w:after="80" w:before="220"/>
      <w:outlineLvl w:val="1"/>
    </w:pPr>
    <w:rPr>
      <w:rFonts w:ascii="Calibri" w:cs="Calibri" w:eastAsia="Calibri" w:hAnsi="Calibri"/>
      <w:b/>
      <w:bCs/>
      <w:color w:val="2E2E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and Payment Policy</dc:title>
  <dc:creator>AgroNexa Agri-Inputs Limited</dc:creator>
  <cp:lastModifiedBy>Un-named</cp:lastModifiedBy>
  <cp:revision>1</cp:revision>
  <dcterms:created xsi:type="dcterms:W3CDTF">2026-10-02T20:49:08.762Z</dcterms:created>
  <dcterms:modified xsi:type="dcterms:W3CDTF">2026-10-02T20:49:08.762Z</dcterms:modified>
</cp:coreProperties>
</file>

<file path=docProps/custom.xml><?xml version="1.0" encoding="utf-8"?>
<Properties xmlns="http://schemas.openxmlformats.org/officeDocument/2006/custom-properties" xmlns:vt="http://schemas.openxmlformats.org/officeDocument/2006/docPropsVTypes"/>
</file>