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800"/>
      </w:pPr>
      <w:r>
        <w:t xml:space="preserve"/>
      </w:r>
    </w:p>
    <w:p>
      <w:pPr>
        <w:spacing w:after="60" w:before="0"/>
        <w:jc w:val="center"/>
      </w:pPr>
      <w:r>
        <w:rPr>
          <w:rFonts w:ascii="Arial" w:cs="Arial" w:eastAsia="Arial" w:hAnsi="Arial"/>
          <w:b/>
          <w:bCs/>
          <w:caps/>
          <w:color w:val="888888"/>
          <w:sz w:val="18"/>
          <w:szCs w:val="18"/>
        </w:rPr>
        <w:t xml:space="preserve">PROPUESTA DE PROYECTO DE SOFTWARE</w:t>
      </w:r>
    </w:p>
    <w:p>
      <w:pPr>
        <w:pBdr>
          <w:bottom w:val="single" w:color="0A0A0A" w:sz="6" w:space="10"/>
        </w:pBdr>
        <w:spacing w:after="0" w:before="60"/>
        <w:jc w:val="center"/>
      </w:pPr>
      <w:r>
        <w:rPr>
          <w:rFonts w:ascii="Arial" w:cs="Arial" w:eastAsia="Arial" w:hAnsi="Arial"/>
          <w:b/>
          <w:bCs/>
          <w:color w:val="0A0A0A"/>
          <w:sz w:val="80"/>
          <w:szCs w:val="80"/>
        </w:rPr>
        <w:t xml:space="preserve">OfferTrack M82</w:t>
      </w:r>
    </w:p>
    <w:p>
      <w:pPr>
        <w:spacing w:after="0" w:before="60"/>
      </w:pPr>
      <w:r>
        <w:t xml:space="preserve"/>
      </w:r>
    </w:p>
    <w:p>
      <w:pPr>
        <w:spacing w:after="40" w:before="60"/>
        <w:jc w:val="center"/>
      </w:pPr>
      <w:r>
        <w:rPr>
          <w:rFonts w:ascii="Arial" w:cs="Arial" w:eastAsia="Arial" w:hAnsi="Arial"/>
          <w:i/>
          <w:iCs/>
          <w:color w:val="1C1C1C"/>
          <w:sz w:val="30"/>
          <w:szCs w:val="30"/>
        </w:rPr>
        <w:t xml:space="preserve">Plataforma Inteligente de Búsqueda de Empleo</w:t>
      </w:r>
    </w:p>
    <w:p>
      <w:pPr>
        <w:spacing w:after="600" w:before="40"/>
        <w:jc w:val="center"/>
      </w:pPr>
      <w:r>
        <w:rPr>
          <w:rFonts w:ascii="Arial" w:cs="Arial" w:eastAsia="Arial" w:hAnsi="Arial"/>
          <w:i/>
          <w:iCs/>
          <w:color w:val="3A3A3A"/>
          <w:sz w:val="24"/>
          <w:szCs w:val="24"/>
        </w:rPr>
        <w:t xml:space="preserve">Asistida por Inteligencia Artificial con Arquitectura Provider-Agnostic</w:t>
      </w:r>
    </w:p>
    <w:tbl>
      <w:tblPr>
        <w:tblW w:type="dxa" w:w="5040"/>
        <w:tblBorders>
          <w:top w:val="single" w:color="auto" w:sz="4"/>
          <w:left w:val="single" w:color="auto" w:sz="4"/>
          <w:bottom w:val="single" w:color="auto" w:sz="4"/>
          <w:right w:val="single" w:color="auto" w:sz="4"/>
          <w:insideH w:val="single" w:color="auto" w:sz="4"/>
          <w:insideV w:val="single" w:color="auto" w:sz="4"/>
        </w:tblBorders>
      </w:tblPr>
      <w:tblGrid>
        <w:gridCol w:w="2520"/>
        <w:gridCol w:w="2520"/>
      </w:tblGrid>
      <w:tr>
        <w:tc>
          <w:tcPr>
            <w:tcW w:type="dxa" w:w="2520"/>
            <w:tcBorders>
              <w:top w:val="none" w:color="FFFFFF" w:sz="0"/>
              <w:left w:val="none" w:color="FFFFFF" w:sz="0"/>
              <w:bottom w:val="none" w:color="FFFFFF" w:sz="0"/>
              <w:right w:val="none" w:color="FFFFFF" w:sz="0"/>
            </w:tcBorders>
            <w:shd w:fill="F4F4F2" w:val="clear"/>
            <w:tcMar>
              <w:top w:type="dxa" w:w="100"/>
              <w:left w:type="dxa" w:w="160"/>
              <w:bottom w:type="dxa" w:w="100"/>
              <w:right w:type="dxa" w:w="80"/>
            </w:tcMar>
          </w:tcPr>
          <w:p>
            <w:pPr>
              <w:jc w:val="right"/>
            </w:pPr>
            <w:r>
              <w:rPr>
                <w:rFonts w:ascii="Arial" w:cs="Arial" w:eastAsia="Arial" w:hAnsi="Arial"/>
                <w:b/>
                <w:bCs/>
                <w:color w:val="1C1C1C"/>
                <w:sz w:val="19"/>
                <w:szCs w:val="19"/>
              </w:rPr>
              <w:t xml:space="preserve">Versión:</w:t>
            </w:r>
          </w:p>
        </w:tc>
        <w:tc>
          <w:tcPr>
            <w:tcW w:type="dxa" w:w="2520"/>
            <w:tcBorders>
              <w:top w:val="none" w:color="FFFFFF" w:sz="0"/>
              <w:left w:val="none" w:color="FFFFFF" w:sz="0"/>
              <w:bottom w:val="none" w:color="FFFFFF" w:sz="0"/>
              <w:right w:val="none" w:color="FFFFFF" w:sz="0"/>
            </w:tcBorders>
            <w:shd w:fill="FFFFFF" w:val="clear"/>
            <w:tcMar>
              <w:top w:type="dxa" w:w="100"/>
              <w:left w:type="dxa" w:w="80"/>
              <w:bottom w:type="dxa" w:w="100"/>
              <w:right w:type="dxa" w:w="160"/>
            </w:tcMar>
          </w:tcPr>
          <w:p>
            <w:r>
              <w:rPr>
                <w:rFonts w:ascii="Arial" w:cs="Arial" w:eastAsia="Arial" w:hAnsi="Arial"/>
                <w:color w:val="4A4A4A"/>
                <w:sz w:val="19"/>
                <w:szCs w:val="19"/>
              </w:rPr>
              <w:t xml:space="preserve">1.1 — Arquitectura Actualizada</w:t>
            </w:r>
          </w:p>
        </w:tc>
      </w:tr>
      <w:tr>
        <w:tc>
          <w:tcPr>
            <w:tcW w:type="dxa" w:w="2520"/>
            <w:tcBorders>
              <w:top w:val="none" w:color="FFFFFF" w:sz="0"/>
              <w:left w:val="none" w:color="FFFFFF" w:sz="0"/>
              <w:bottom w:val="none" w:color="FFFFFF" w:sz="0"/>
              <w:right w:val="none" w:color="FFFFFF" w:sz="0"/>
            </w:tcBorders>
            <w:shd w:fill="F4F4F2" w:val="clear"/>
            <w:tcMar>
              <w:top w:type="dxa" w:w="100"/>
              <w:left w:type="dxa" w:w="160"/>
              <w:bottom w:type="dxa" w:w="100"/>
              <w:right w:type="dxa" w:w="80"/>
            </w:tcMar>
          </w:tcPr>
          <w:p>
            <w:pPr>
              <w:jc w:val="right"/>
            </w:pPr>
            <w:r>
              <w:rPr>
                <w:rFonts w:ascii="Arial" w:cs="Arial" w:eastAsia="Arial" w:hAnsi="Arial"/>
                <w:b/>
                <w:bCs/>
                <w:color w:val="1C1C1C"/>
                <w:sz w:val="19"/>
                <w:szCs w:val="19"/>
              </w:rPr>
              <w:t xml:space="preserve">Fecha:</w:t>
            </w:r>
          </w:p>
        </w:tc>
        <w:tc>
          <w:tcPr>
            <w:tcW w:type="dxa" w:w="2520"/>
            <w:tcBorders>
              <w:top w:val="none" w:color="FFFFFF" w:sz="0"/>
              <w:left w:val="none" w:color="FFFFFF" w:sz="0"/>
              <w:bottom w:val="none" w:color="FFFFFF" w:sz="0"/>
              <w:right w:val="none" w:color="FFFFFF" w:sz="0"/>
            </w:tcBorders>
            <w:shd w:fill="FFFFFF" w:val="clear"/>
            <w:tcMar>
              <w:top w:type="dxa" w:w="100"/>
              <w:left w:type="dxa" w:w="80"/>
              <w:bottom w:type="dxa" w:w="100"/>
              <w:right w:type="dxa" w:w="160"/>
            </w:tcMar>
          </w:tcPr>
          <w:p>
            <w:r>
              <w:rPr>
                <w:rFonts w:ascii="Arial" w:cs="Arial" w:eastAsia="Arial" w:hAnsi="Arial"/>
                <w:color w:val="4A4A4A"/>
                <w:sz w:val="19"/>
                <w:szCs w:val="19"/>
              </w:rPr>
              <w:t xml:space="preserve">Abril 2026</w:t>
            </w:r>
          </w:p>
        </w:tc>
      </w:tr>
      <w:tr>
        <w:tc>
          <w:tcPr>
            <w:tcW w:type="dxa" w:w="2520"/>
            <w:tcBorders>
              <w:top w:val="none" w:color="FFFFFF" w:sz="0"/>
              <w:left w:val="none" w:color="FFFFFF" w:sz="0"/>
              <w:bottom w:val="none" w:color="FFFFFF" w:sz="0"/>
              <w:right w:val="none" w:color="FFFFFF" w:sz="0"/>
            </w:tcBorders>
            <w:shd w:fill="F4F4F2" w:val="clear"/>
            <w:tcMar>
              <w:top w:type="dxa" w:w="100"/>
              <w:left w:type="dxa" w:w="160"/>
              <w:bottom w:type="dxa" w:w="100"/>
              <w:right w:type="dxa" w:w="80"/>
            </w:tcMar>
          </w:tcPr>
          <w:p>
            <w:pPr>
              <w:jc w:val="right"/>
            </w:pPr>
            <w:r>
              <w:rPr>
                <w:rFonts w:ascii="Arial" w:cs="Arial" w:eastAsia="Arial" w:hAnsi="Arial"/>
                <w:b/>
                <w:bCs/>
                <w:color w:val="1C1C1C"/>
                <w:sz w:val="19"/>
                <w:szCs w:val="19"/>
              </w:rPr>
              <w:t xml:space="preserve">Clasificación:</w:t>
            </w:r>
          </w:p>
        </w:tc>
        <w:tc>
          <w:tcPr>
            <w:tcW w:type="dxa" w:w="2520"/>
            <w:tcBorders>
              <w:top w:val="none" w:color="FFFFFF" w:sz="0"/>
              <w:left w:val="none" w:color="FFFFFF" w:sz="0"/>
              <w:bottom w:val="none" w:color="FFFFFF" w:sz="0"/>
              <w:right w:val="none" w:color="FFFFFF" w:sz="0"/>
            </w:tcBorders>
            <w:shd w:fill="FFFFFF" w:val="clear"/>
            <w:tcMar>
              <w:top w:type="dxa" w:w="100"/>
              <w:left w:type="dxa" w:w="80"/>
              <w:bottom w:type="dxa" w:w="100"/>
              <w:right w:type="dxa" w:w="160"/>
            </w:tcMar>
          </w:tcPr>
          <w:p>
            <w:r>
              <w:rPr>
                <w:rFonts w:ascii="Arial" w:cs="Arial" w:eastAsia="Arial" w:hAnsi="Arial"/>
                <w:color w:val="4A4A4A"/>
                <w:sz w:val="19"/>
                <w:szCs w:val="19"/>
              </w:rPr>
              <w:t xml:space="preserve">Proyecto Personal — Confidencial</w:t>
            </w:r>
          </w:p>
        </w:tc>
      </w:tr>
      <w:tr>
        <w:tc>
          <w:tcPr>
            <w:tcW w:type="dxa" w:w="2520"/>
            <w:tcBorders>
              <w:top w:val="none" w:color="FFFFFF" w:sz="0"/>
              <w:left w:val="none" w:color="FFFFFF" w:sz="0"/>
              <w:bottom w:val="none" w:color="FFFFFF" w:sz="0"/>
              <w:right w:val="none" w:color="FFFFFF" w:sz="0"/>
            </w:tcBorders>
            <w:shd w:fill="F4F4F2" w:val="clear"/>
            <w:tcMar>
              <w:top w:type="dxa" w:w="100"/>
              <w:left w:type="dxa" w:w="160"/>
              <w:bottom w:type="dxa" w:w="100"/>
              <w:right w:type="dxa" w:w="80"/>
            </w:tcMar>
          </w:tcPr>
          <w:p>
            <w:pPr>
              <w:jc w:val="right"/>
            </w:pPr>
            <w:r>
              <w:rPr>
                <w:rFonts w:ascii="Arial" w:cs="Arial" w:eastAsia="Arial" w:hAnsi="Arial"/>
                <w:b/>
                <w:bCs/>
                <w:color w:val="1C1C1C"/>
                <w:sz w:val="19"/>
                <w:szCs w:val="19"/>
              </w:rPr>
              <w:t xml:space="preserve">Stack principal:</w:t>
            </w:r>
          </w:p>
        </w:tc>
        <w:tc>
          <w:tcPr>
            <w:tcW w:type="dxa" w:w="2520"/>
            <w:tcBorders>
              <w:top w:val="none" w:color="FFFFFF" w:sz="0"/>
              <w:left w:val="none" w:color="FFFFFF" w:sz="0"/>
              <w:bottom w:val="none" w:color="FFFFFF" w:sz="0"/>
              <w:right w:val="none" w:color="FFFFFF" w:sz="0"/>
            </w:tcBorders>
            <w:shd w:fill="FFFFFF" w:val="clear"/>
            <w:tcMar>
              <w:top w:type="dxa" w:w="100"/>
              <w:left w:type="dxa" w:w="80"/>
              <w:bottom w:type="dxa" w:w="100"/>
              <w:right w:type="dxa" w:w="160"/>
            </w:tcMar>
          </w:tcPr>
          <w:p>
            <w:r>
              <w:rPr>
                <w:rFonts w:ascii="Arial" w:cs="Arial" w:eastAsia="Arial" w:hAnsi="Arial"/>
                <w:color w:val="4A4A4A"/>
                <w:sz w:val="19"/>
                <w:szCs w:val="19"/>
              </w:rPr>
              <w:t xml:space="preserve">Go · Node.js · Qdrant · AIProvider</w:t>
            </w:r>
          </w:p>
        </w:tc>
      </w:tr>
    </w:tbl>
    <w:p>
      <w:r>
        <w:br w:type="page"/>
      </w:r>
    </w:p>
    <w:p>
      <w:pPr>
        <w:pStyle w:val="Heading1"/>
        <w:pBdr>
          <w:bottom w:val="single" w:color="0A0A0A" w:sz="4" w:space="6"/>
        </w:pBdr>
        <w:spacing w:after="160" w:before="400"/>
      </w:pPr>
      <w:r>
        <w:rPr>
          <w:rFonts w:ascii="Arial" w:cs="Arial" w:eastAsia="Arial" w:hAnsi="Arial"/>
          <w:b/>
          <w:bCs/>
          <w:caps/>
          <w:color w:val="0A0A0A"/>
          <w:sz w:val="30"/>
          <w:szCs w:val="30"/>
        </w:rPr>
        <w:t xml:space="preserve">1. Resumen Ejecutivo</w:t>
      </w:r>
    </w:p>
    <w:p>
      <w:pPr>
        <w:spacing w:after="80" w:before="60"/>
      </w:pPr>
      <w:r>
        <w:rPr>
          <w:rFonts w:ascii="Arial" w:cs="Arial" w:eastAsia="Arial" w:hAnsi="Arial"/>
          <w:color w:val="4A4A4A"/>
          <w:sz w:val="21"/>
          <w:szCs w:val="21"/>
        </w:rPr>
        <w:t xml:space="preserve">OfferTrack M82 es una plataforma de software personal que automatiza y potencia el proceso de búsqueda de empleo mediante inteligencia artificial. El sistema integra un motor de recolección de vacantes, un analizador de compatibilidad con perfil de usuario, un adaptador inteligente de currículum y una interfaz de terminal robusta en Go, todos orquestados a través de una arquitectura provider-agnostic que permite cambiar de proveedor de IA sin modificar una sola línea de código de negocio.</w:t>
      </w:r>
    </w:p>
    <w:p>
      <w:pPr>
        <w:spacing w:after="0" w:before="60"/>
      </w:pPr>
      <w:r>
        <w:t xml:space="preserve"/>
      </w:r>
    </w:p>
    <w:p>
      <w:pPr>
        <w:spacing w:after="80" w:before="60"/>
      </w:pPr>
      <w:r>
        <w:rPr>
          <w:rFonts w:ascii="Arial" w:cs="Arial" w:eastAsia="Arial" w:hAnsi="Arial"/>
          <w:color w:val="4A4A4A"/>
          <w:sz w:val="21"/>
          <w:szCs w:val="21"/>
        </w:rPr>
        <w:t xml:space="preserve">La innovación central de esta versión es la interfaz AIProvider: un contrato formal en Go que desacopla completamente el núcleo del sistema de cualquier API de inteligencia artificial específica. Esto permite arrancar con proveedores gratuitos como Gemini o Groq durante el desarrollo, y migrar a Claude o cualquier otro modelo con un cambio de configuración.</w:t>
      </w:r>
    </w:p>
    <w:p>
      <w:pPr>
        <w:spacing w:after="0" w:before="60"/>
      </w:pPr>
      <w:r>
        <w:t xml:space="preserve"/>
      </w:r>
    </w:p>
    <w:p>
      <w:pPr>
        <w:spacing w:after="80" w:before="60"/>
      </w:pPr>
      <w:r>
        <w:rPr>
          <w:rFonts w:ascii="Arial" w:cs="Arial" w:eastAsia="Arial" w:hAnsi="Arial"/>
          <w:color w:val="4A4A4A"/>
          <w:sz w:val="21"/>
          <w:szCs w:val="21"/>
        </w:rPr>
        <w:t xml:space="preserve">OfferTrack M82 no reemplaza al candidato: lo potencia, eliminando el trabajo repetitivo de revisar portales, comparar vacantes y adaptar candidaturas de forma manual.</w:t>
      </w:r>
    </w:p>
    <w:p>
      <w:pPr>
        <w:pBdr>
          <w:bottom w:val="single" w:color="CCCCCC" w:sz="1" w:space="1"/>
        </w:pBdr>
        <w:spacing w:after="280" w:before="280"/>
      </w:pPr>
      <w:r>
        <w:t xml:space="preserve"/>
      </w:r>
    </w:p>
    <w:p>
      <w:pPr>
        <w:pStyle w:val="Heading1"/>
        <w:pBdr>
          <w:bottom w:val="single" w:color="0A0A0A" w:sz="4" w:space="6"/>
        </w:pBdr>
        <w:spacing w:after="160" w:before="400"/>
      </w:pPr>
      <w:r>
        <w:rPr>
          <w:rFonts w:ascii="Arial" w:cs="Arial" w:eastAsia="Arial" w:hAnsi="Arial"/>
          <w:b/>
          <w:bCs/>
          <w:caps/>
          <w:color w:val="0A0A0A"/>
          <w:sz w:val="30"/>
          <w:szCs w:val="30"/>
        </w:rPr>
        <w:t xml:space="preserve">2. Objetivo General</w:t>
      </w:r>
    </w:p>
    <w:p>
      <w:pPr>
        <w:spacing w:after="80" w:before="60"/>
      </w:pPr>
      <w:r>
        <w:rPr>
          <w:rFonts w:ascii="Arial" w:cs="Arial" w:eastAsia="Arial" w:hAnsi="Arial"/>
          <w:color w:val="4A4A4A"/>
          <w:sz w:val="21"/>
          <w:szCs w:val="21"/>
        </w:rPr>
        <w:t xml:space="preserve">Desarrollar una plataforma de búsqueda de empleo asistida por inteligencia artificial que permita al usuario recopilar, analizar, filtrar y priorizar vacantes de manera automatizada, adaptando dinámicamente su perfil profesional a cada oportunidad relevante, con el fin de maximizar las probabilidades de éxito en cada candidatura — sin depender de un proveedor de IA específico.</w:t>
      </w:r>
    </w:p>
    <w:p>
      <w:pPr>
        <w:pBdr>
          <w:bottom w:val="single" w:color="CCCCCC" w:sz="1" w:space="1"/>
        </w:pBdr>
        <w:spacing w:after="280" w:before="280"/>
      </w:pPr>
      <w:r>
        <w:t xml:space="preserve"/>
      </w:r>
    </w:p>
    <w:p>
      <w:pPr>
        <w:pStyle w:val="Heading1"/>
        <w:pBdr>
          <w:bottom w:val="single" w:color="0A0A0A" w:sz="4" w:space="6"/>
        </w:pBdr>
        <w:spacing w:after="160" w:before="400"/>
      </w:pPr>
      <w:r>
        <w:rPr>
          <w:rFonts w:ascii="Arial" w:cs="Arial" w:eastAsia="Arial" w:hAnsi="Arial"/>
          <w:b/>
          <w:bCs/>
          <w:caps/>
          <w:color w:val="0A0A0A"/>
          <w:sz w:val="30"/>
          <w:szCs w:val="30"/>
        </w:rPr>
        <w:t xml:space="preserve">3. Objetivos Específicos</w:t>
      </w:r>
    </w:p>
    <w:p>
      <w:pPr>
        <w:pStyle w:val="ListParagraph"/>
        <w:numPr>
          <w:ilvl w:val="0"/>
          <w:numId w:val="2"/>
        </w:numPr>
        <w:spacing w:after="40" w:before="40"/>
      </w:pPr>
      <w:r>
        <w:rPr>
          <w:rFonts w:ascii="Arial" w:cs="Arial" w:eastAsia="Arial" w:hAnsi="Arial"/>
          <w:color w:val="4A4A4A"/>
          <w:sz w:val="21"/>
          <w:szCs w:val="21"/>
        </w:rPr>
        <w:t xml:space="preserve">Construir una interfaz de terminal en Go (CLI + TUI) que centralice la operación del sistema, con soporte a comandos como search, analyze, adapt-cv, list y config.</w:t>
      </w:r>
    </w:p>
    <w:p>
      <w:pPr>
        <w:pStyle w:val="ListParagraph"/>
        <w:numPr>
          <w:ilvl w:val="0"/>
          <w:numId w:val="2"/>
        </w:numPr>
        <w:spacing w:after="40" w:before="40"/>
      </w:pPr>
      <w:r>
        <w:rPr>
          <w:rFonts w:ascii="Arial" w:cs="Arial" w:eastAsia="Arial" w:hAnsi="Arial"/>
          <w:color w:val="4A4A4A"/>
          <w:sz w:val="21"/>
          <w:szCs w:val="21"/>
        </w:rPr>
        <w:t xml:space="preserve">Implementar la interfaz AIProvider como contrato formal que abstrae completamente cualquier proveedor de IA — Claude, Gemini, Groq u OpenRouter — sin que el núcleo conozca el proveedor activo.</w:t>
      </w:r>
    </w:p>
    <w:p>
      <w:pPr>
        <w:pStyle w:val="ListParagraph"/>
        <w:numPr>
          <w:ilvl w:val="0"/>
          <w:numId w:val="2"/>
        </w:numPr>
        <w:spacing w:after="40" w:before="40"/>
      </w:pPr>
      <w:r>
        <w:rPr>
          <w:rFonts w:ascii="Arial" w:cs="Arial" w:eastAsia="Arial" w:hAnsi="Arial"/>
          <w:color w:val="4A4A4A"/>
          <w:sz w:val="21"/>
          <w:szCs w:val="21"/>
        </w:rPr>
        <w:t xml:space="preserve">Desarrollar un módulo de recolección de vacantes en Node.js capaz de extraer ofertas de múltiples portales con filtros configurables por área, puesto, salario, modalidad y ubicación.</w:t>
      </w:r>
    </w:p>
    <w:p>
      <w:pPr>
        <w:pStyle w:val="ListParagraph"/>
        <w:numPr>
          <w:ilvl w:val="0"/>
          <w:numId w:val="2"/>
        </w:numPr>
        <w:spacing w:after="40" w:before="40"/>
      </w:pPr>
      <w:r>
        <w:rPr>
          <w:rFonts w:ascii="Arial" w:cs="Arial" w:eastAsia="Arial" w:hAnsi="Arial"/>
          <w:color w:val="4A4A4A"/>
          <w:sz w:val="21"/>
          <w:szCs w:val="21"/>
        </w:rPr>
        <w:t xml:space="preserve">Crear un motor de análisis inteligente que evalúe compatibilidad, detecte brechas de habilidades, estime compensación y genere recomendaciones accionables por vacante.</w:t>
      </w:r>
    </w:p>
    <w:p>
      <w:pPr>
        <w:pStyle w:val="ListParagraph"/>
        <w:numPr>
          <w:ilvl w:val="0"/>
          <w:numId w:val="2"/>
        </w:numPr>
        <w:spacing w:after="40" w:before="40"/>
      </w:pPr>
      <w:r>
        <w:rPr>
          <w:rFonts w:ascii="Arial" w:cs="Arial" w:eastAsia="Arial" w:hAnsi="Arial"/>
          <w:color w:val="4A4A4A"/>
          <w:sz w:val="21"/>
          <w:szCs w:val="21"/>
        </w:rPr>
        <w:t xml:space="preserve">Implementar un módulo de adaptación automática de CV que reescriba el perfil base del usuario orientado a cada vacante, preservando integridad profesional.</w:t>
      </w:r>
    </w:p>
    <w:p>
      <w:pPr>
        <w:pStyle w:val="ListParagraph"/>
        <w:numPr>
          <w:ilvl w:val="0"/>
          <w:numId w:val="2"/>
        </w:numPr>
        <w:spacing w:after="40" w:before="40"/>
      </w:pPr>
      <w:r>
        <w:rPr>
          <w:rFonts w:ascii="Arial" w:cs="Arial" w:eastAsia="Arial" w:hAnsi="Arial"/>
          <w:color w:val="4A4A4A"/>
          <w:sz w:val="21"/>
          <w:szCs w:val="21"/>
        </w:rPr>
        <w:t xml:space="preserve">Mantener Qdrant como única base de datos — vectores semánticos y payload estructurado en el mismo motor — con embeddings locales vía fastembed sin dependencia de APIs externas.</w:t>
      </w:r>
    </w:p>
    <w:p>
      <w:pPr>
        <w:pBdr>
          <w:bottom w:val="single" w:color="CCCCCC" w:sz="1" w:space="1"/>
        </w:pBdr>
        <w:spacing w:after="280" w:before="280"/>
      </w:pPr>
      <w:r>
        <w:t xml:space="preserve"/>
      </w:r>
    </w:p>
    <w:p>
      <w:pPr>
        <w:pStyle w:val="Heading1"/>
        <w:pBdr>
          <w:bottom w:val="single" w:color="0A0A0A" w:sz="4" w:space="6"/>
        </w:pBdr>
        <w:spacing w:after="160" w:before="400"/>
      </w:pPr>
      <w:r>
        <w:rPr>
          <w:rFonts w:ascii="Arial" w:cs="Arial" w:eastAsia="Arial" w:hAnsi="Arial"/>
          <w:b/>
          <w:bCs/>
          <w:caps/>
          <w:color w:val="0A0A0A"/>
          <w:sz w:val="30"/>
          <w:szCs w:val="30"/>
        </w:rPr>
        <w:t xml:space="preserve">4. Arquitectura Técnica</w:t>
      </w:r>
    </w:p>
    <w:p>
      <w:pPr>
        <w:spacing w:after="80" w:before="60"/>
      </w:pPr>
      <w:r>
        <w:rPr>
          <w:rFonts w:ascii="Arial" w:cs="Arial" w:eastAsia="Arial" w:hAnsi="Arial"/>
          <w:color w:val="4A4A4A"/>
          <w:sz w:val="21"/>
          <w:szCs w:val="21"/>
        </w:rPr>
        <w:t xml:space="preserve">OfferTrack M82 adopta una arquitectura modular de dos servicios independientes comunicados vía HTTP local, con una única base de datos vectorial y una capa de abstracción de IA que es el eje central del diseño.</w:t>
      </w:r>
    </w:p>
    <w:p>
      <w:pPr>
        <w:spacing w:after="0" w:before="80"/>
      </w:pPr>
      <w:r>
        <w:t xml:space="preserve"/>
      </w:r>
    </w:p>
    <w:p>
      <w:pPr>
        <w:pStyle w:val="Heading2"/>
        <w:spacing w:after="100" w:before="280"/>
      </w:pPr>
      <w:r>
        <w:rPr>
          <w:rFonts w:ascii="Arial" w:cs="Arial" w:eastAsia="Arial" w:hAnsi="Arial"/>
          <w:b/>
          <w:bCs/>
          <w:color w:val="1C1C1C"/>
          <w:sz w:val="24"/>
          <w:szCs w:val="24"/>
        </w:rPr>
        <w:t xml:space="preserve">4.1 Stack Tecnológico Completo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360"/>
      </w:tblGrid>
      <w:tr>
        <w:trPr>
          <w:tblHeader/>
        </w:trPr>
        <w:tc>
          <w:tcPr>
            <w:tcW w:type="dxa" w:w="2200"/>
            <w:tcBorders>
              <w:top w:val="single" w:color="0A0A0A" w:sz="1"/>
              <w:left w:val="single" w:color="0A0A0A" w:sz="1"/>
              <w:bottom w:val="single" w:color="0A0A0A" w:sz="1"/>
              <w:right w:val="single" w:color="0A0A0A" w:sz="1"/>
            </w:tcBorders>
            <w:shd w:fill="1C1C1C" w:val="clear"/>
            <w:tcMar>
              <w:top w:type="dxa" w:w="100"/>
              <w:left w:type="dxa" w:w="120"/>
              <w:bottom w:type="dxa" w:w="100"/>
              <w:right w:type="dxa" w:w="80"/>
            </w:tcMar>
          </w:tcPr>
          <w:p>
            <w:r>
              <w:rPr>
                <w:rFonts w:ascii="Arial" w:cs="Arial" w:eastAsia="Arial" w:hAnsi="Arial"/>
                <w:b/>
                <w:bCs/>
                <w:color w:val="FFFFFF"/>
                <w:sz w:val="20"/>
                <w:szCs w:val="20"/>
              </w:rPr>
              <w:t xml:space="preserve">Capa / Tecnología</w:t>
            </w:r>
          </w:p>
        </w:tc>
        <w:tc>
          <w:tcPr>
            <w:tcW w:type="dxa" w:w="1800"/>
            <w:tcBorders>
              <w:top w:val="single" w:color="0A0A0A" w:sz="1"/>
              <w:left w:val="single" w:color="0A0A0A" w:sz="1"/>
              <w:bottom w:val="single" w:color="0A0A0A" w:sz="1"/>
              <w:right w:val="single" w:color="0A0A0A" w:sz="1"/>
            </w:tcBorders>
            <w:shd w:fill="1C1C1C" w:val="clear"/>
            <w:tcMar>
              <w:top w:type="dxa" w:w="100"/>
              <w:left w:type="dxa" w:w="120"/>
              <w:bottom w:type="dxa" w:w="100"/>
              <w:right w:type="dxa" w:w="80"/>
            </w:tcMar>
          </w:tcPr>
          <w:p>
            <w:r>
              <w:rPr>
                <w:rFonts w:ascii="Arial" w:cs="Arial" w:eastAsia="Arial" w:hAnsi="Arial"/>
                <w:b/>
                <w:bCs/>
                <w:color w:val="FFFFFF"/>
                <w:sz w:val="20"/>
                <w:szCs w:val="20"/>
              </w:rPr>
              <w:t xml:space="preserve">Versión</w:t>
            </w:r>
          </w:p>
        </w:tc>
        <w:tc>
          <w:tcPr>
            <w:tcW w:type="dxa" w:w="5360"/>
            <w:tcBorders>
              <w:top w:val="single" w:color="0A0A0A" w:sz="1"/>
              <w:left w:val="single" w:color="0A0A0A" w:sz="1"/>
              <w:bottom w:val="single" w:color="0A0A0A" w:sz="1"/>
              <w:right w:val="single" w:color="0A0A0A" w:sz="1"/>
            </w:tcBorders>
            <w:shd w:fill="1C1C1C" w:val="clear"/>
            <w:tcMar>
              <w:top w:type="dxa" w:w="100"/>
              <w:left w:type="dxa" w:w="120"/>
              <w:bottom w:type="dxa" w:w="100"/>
              <w:right w:type="dxa" w:w="80"/>
            </w:tcMar>
          </w:tcPr>
          <w:p>
            <w:r>
              <w:rPr>
                <w:rFonts w:ascii="Arial" w:cs="Arial" w:eastAsia="Arial" w:hAnsi="Arial"/>
                <w:b/>
                <w:bCs/>
                <w:color w:val="FFFFFF"/>
                <w:sz w:val="20"/>
                <w:szCs w:val="20"/>
              </w:rPr>
              <w:t xml:space="preserve">Justificación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bCs/>
                <w:color w:val="1C1C1C"/>
                <w:sz w:val="19"/>
                <w:szCs w:val="19"/>
              </w:rPr>
              <w:t xml:space="preserve">Go 1.24.2</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i/>
                <w:iCs/>
                <w:color w:val="3A3A3A"/>
                <w:sz w:val="19"/>
                <w:szCs w:val="19"/>
              </w:rPr>
              <w:t xml:space="preserve">1.24.2</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color w:val="4A4A4A"/>
                <w:sz w:val="19"/>
                <w:szCs w:val="19"/>
              </w:rPr>
              <w:t xml:space="preserve">Orquestador principal. Binario único, rendimiento nativo, cliente gRPC oficial para Qdrant.</w:t>
            </w:r>
          </w:p>
        </w:tc>
      </w:tr>
      <w:tr>
        <w:tc>
          <w:tcPr>
            <w:tcW w:type="dxa" w:w="2200"/>
            <w:tcBorders>
              <w:top w:val="single" w:color="CCCCCC" w:sz="1"/>
              <w:left w:val="single" w:color="CCCCCC" w:sz="1"/>
              <w:bottom w:val="single" w:color="CCCCCC" w:sz="1"/>
              <w:right w:val="single" w:color="CCCCCC" w:sz="1"/>
            </w:tcBorders>
            <w:shd w:fill="F4F4F2" w:val="clear"/>
            <w:tcMar>
              <w:top w:type="dxa" w:w="80"/>
              <w:left w:type="dxa" w:w="120"/>
              <w:bottom w:type="dxa" w:w="80"/>
              <w:right w:type="dxa" w:w="80"/>
            </w:tcMar>
          </w:tcPr>
          <w:p>
            <w:r>
              <w:rPr>
                <w:rFonts w:ascii="Arial" w:cs="Arial" w:eastAsia="Arial" w:hAnsi="Arial"/>
                <w:b/>
                <w:bCs/>
                <w:color w:val="1C1C1C"/>
                <w:sz w:val="19"/>
                <w:szCs w:val="19"/>
              </w:rPr>
              <w:t xml:space="preserve">Cobra</w:t>
            </w:r>
          </w:p>
        </w:tc>
        <w:tc>
          <w:tcPr>
            <w:tcW w:type="dxa" w:w="1800"/>
            <w:tcBorders>
              <w:top w:val="single" w:color="CCCCCC" w:sz="1"/>
              <w:left w:val="single" w:color="CCCCCC" w:sz="1"/>
              <w:bottom w:val="single" w:color="CCCCCC" w:sz="1"/>
              <w:right w:val="single" w:color="CCCCCC" w:sz="1"/>
            </w:tcBorders>
            <w:shd w:fill="F4F4F2" w:val="clear"/>
            <w:tcMar>
              <w:top w:type="dxa" w:w="80"/>
              <w:left w:type="dxa" w:w="120"/>
              <w:bottom w:type="dxa" w:w="80"/>
              <w:right w:type="dxa" w:w="80"/>
            </w:tcMar>
          </w:tcPr>
          <w:p>
            <w:r>
              <w:rPr>
                <w:rFonts w:ascii="Arial" w:cs="Arial" w:eastAsia="Arial" w:hAnsi="Arial"/>
                <w:i/>
                <w:iCs/>
                <w:color w:val="3A3A3A"/>
                <w:sz w:val="19"/>
                <w:szCs w:val="19"/>
              </w:rPr>
              <w:t xml:space="preserve">v1.9.1</w:t>
            </w:r>
          </w:p>
        </w:tc>
        <w:tc>
          <w:tcPr>
            <w:tcW w:type="dxa" w:w="5360"/>
            <w:tcBorders>
              <w:top w:val="single" w:color="CCCCCC" w:sz="1"/>
              <w:left w:val="single" w:color="CCCCCC" w:sz="1"/>
              <w:bottom w:val="single" w:color="CCCCCC" w:sz="1"/>
              <w:right w:val="single" w:color="CCCCCC" w:sz="1"/>
            </w:tcBorders>
            <w:shd w:fill="F4F4F2" w:val="clear"/>
            <w:tcMar>
              <w:top w:type="dxa" w:w="80"/>
              <w:left w:type="dxa" w:w="120"/>
              <w:bottom w:type="dxa" w:w="80"/>
              <w:right w:type="dxa" w:w="80"/>
            </w:tcMar>
          </w:tcPr>
          <w:p>
            <w:r>
              <w:rPr>
                <w:rFonts w:ascii="Arial" w:cs="Arial" w:eastAsia="Arial" w:hAnsi="Arial"/>
                <w:color w:val="4A4A4A"/>
                <w:sz w:val="19"/>
                <w:szCs w:val="19"/>
              </w:rPr>
              <w:t xml:space="preserve">Framework CLI — gestión de comandos, flags y subcomandos.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bCs/>
                <w:color w:val="1C1C1C"/>
                <w:sz w:val="19"/>
                <w:szCs w:val="19"/>
              </w:rPr>
              <w:t xml:space="preserve">Bubble Tea</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i/>
                <w:iCs/>
                <w:color w:val="3A3A3A"/>
                <w:sz w:val="19"/>
                <w:szCs w:val="19"/>
              </w:rPr>
              <w:t xml:space="preserve">v1.3.4</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color w:val="4A4A4A"/>
                <w:sz w:val="19"/>
                <w:szCs w:val="19"/>
              </w:rPr>
              <w:t xml:space="preserve">TUI interactiva — vistas navegables en terminal.</w:t>
            </w:r>
          </w:p>
        </w:tc>
      </w:tr>
      <w:tr>
        <w:tc>
          <w:tcPr>
            <w:tcW w:type="dxa" w:w="2200"/>
            <w:tcBorders>
              <w:top w:val="single" w:color="CCCCCC" w:sz="1"/>
              <w:left w:val="single" w:color="CCCCCC" w:sz="1"/>
              <w:bottom w:val="single" w:color="CCCCCC" w:sz="1"/>
              <w:right w:val="single" w:color="CCCCCC" w:sz="1"/>
            </w:tcBorders>
            <w:shd w:fill="F4F4F2" w:val="clear"/>
            <w:tcMar>
              <w:top w:type="dxa" w:w="80"/>
              <w:left w:type="dxa" w:w="120"/>
              <w:bottom w:type="dxa" w:w="80"/>
              <w:right w:type="dxa" w:w="80"/>
            </w:tcMar>
          </w:tcPr>
          <w:p>
            <w:r>
              <w:rPr>
                <w:rFonts w:ascii="Arial" w:cs="Arial" w:eastAsia="Arial" w:hAnsi="Arial"/>
                <w:b/>
                <w:bCs/>
                <w:color w:val="1C1C1C"/>
                <w:sz w:val="19"/>
                <w:szCs w:val="19"/>
              </w:rPr>
              <w:t xml:space="preserve">Lip Gloss</w:t>
            </w:r>
          </w:p>
        </w:tc>
        <w:tc>
          <w:tcPr>
            <w:tcW w:type="dxa" w:w="1800"/>
            <w:tcBorders>
              <w:top w:val="single" w:color="CCCCCC" w:sz="1"/>
              <w:left w:val="single" w:color="CCCCCC" w:sz="1"/>
              <w:bottom w:val="single" w:color="CCCCCC" w:sz="1"/>
              <w:right w:val="single" w:color="CCCCCC" w:sz="1"/>
            </w:tcBorders>
            <w:shd w:fill="F4F4F2" w:val="clear"/>
            <w:tcMar>
              <w:top w:type="dxa" w:w="80"/>
              <w:left w:type="dxa" w:w="120"/>
              <w:bottom w:type="dxa" w:w="80"/>
              <w:right w:type="dxa" w:w="80"/>
            </w:tcMar>
          </w:tcPr>
          <w:p>
            <w:r>
              <w:rPr>
                <w:rFonts w:ascii="Arial" w:cs="Arial" w:eastAsia="Arial" w:hAnsi="Arial"/>
                <w:i/>
                <w:iCs/>
                <w:color w:val="3A3A3A"/>
                <w:sz w:val="19"/>
                <w:szCs w:val="19"/>
              </w:rPr>
              <w:t xml:space="preserve">v1.1.0</w:t>
            </w:r>
          </w:p>
        </w:tc>
        <w:tc>
          <w:tcPr>
            <w:tcW w:type="dxa" w:w="5360"/>
            <w:tcBorders>
              <w:top w:val="single" w:color="CCCCCC" w:sz="1"/>
              <w:left w:val="single" w:color="CCCCCC" w:sz="1"/>
              <w:bottom w:val="single" w:color="CCCCCC" w:sz="1"/>
              <w:right w:val="single" w:color="CCCCCC" w:sz="1"/>
            </w:tcBorders>
            <w:shd w:fill="F4F4F2" w:val="clear"/>
            <w:tcMar>
              <w:top w:type="dxa" w:w="80"/>
              <w:left w:type="dxa" w:w="120"/>
              <w:bottom w:type="dxa" w:w="80"/>
              <w:right w:type="dxa" w:w="80"/>
            </w:tcMar>
          </w:tcPr>
          <w:p>
            <w:r>
              <w:rPr>
                <w:rFonts w:ascii="Arial" w:cs="Arial" w:eastAsia="Arial" w:hAnsi="Arial"/>
                <w:color w:val="4A4A4A"/>
                <w:sz w:val="19"/>
                <w:szCs w:val="19"/>
              </w:rPr>
              <w:t xml:space="preserve">Estilos y temas visuales para la TUI.</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bCs/>
                <w:color w:val="1C1C1C"/>
                <w:sz w:val="19"/>
                <w:szCs w:val="19"/>
              </w:rPr>
              <w:t xml:space="preserve">go-client Qdrant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i/>
                <w:iCs/>
                <w:color w:val="3A3A3A"/>
                <w:sz w:val="19"/>
                <w:szCs w:val="19"/>
              </w:rPr>
              <w:t xml:space="preserve">v1.14.0</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color w:val="4A4A4A"/>
                <w:sz w:val="19"/>
                <w:szCs w:val="19"/>
              </w:rPr>
              <w:t xml:space="preserve">Cliente gRPC oficial del equipo Qdrant para Go.</w:t>
            </w:r>
          </w:p>
        </w:tc>
      </w:tr>
      <w:tr>
        <w:tc>
          <w:tcPr>
            <w:tcW w:type="dxa" w:w="2200"/>
            <w:tcBorders>
              <w:top w:val="single" w:color="CCCCCC" w:sz="1"/>
              <w:left w:val="single" w:color="CCCCCC" w:sz="1"/>
              <w:bottom w:val="single" w:color="CCCCCC" w:sz="1"/>
              <w:right w:val="single" w:color="CCCCCC" w:sz="1"/>
            </w:tcBorders>
            <w:shd w:fill="F4F4F2" w:val="clear"/>
            <w:tcMar>
              <w:top w:type="dxa" w:w="80"/>
              <w:left w:type="dxa" w:w="120"/>
              <w:bottom w:type="dxa" w:w="80"/>
              <w:right w:type="dxa" w:w="80"/>
            </w:tcMar>
          </w:tcPr>
          <w:p>
            <w:r>
              <w:rPr>
                <w:rFonts w:ascii="Arial" w:cs="Arial" w:eastAsia="Arial" w:hAnsi="Arial"/>
                <w:b/>
                <w:bCs/>
                <w:color w:val="1C1C1C"/>
                <w:sz w:val="19"/>
                <w:szCs w:val="19"/>
              </w:rPr>
              <w:t xml:space="preserve">Viper</w:t>
            </w:r>
          </w:p>
        </w:tc>
        <w:tc>
          <w:tcPr>
            <w:tcW w:type="dxa" w:w="1800"/>
            <w:tcBorders>
              <w:top w:val="single" w:color="CCCCCC" w:sz="1"/>
              <w:left w:val="single" w:color="CCCCCC" w:sz="1"/>
              <w:bottom w:val="single" w:color="CCCCCC" w:sz="1"/>
              <w:right w:val="single" w:color="CCCCCC" w:sz="1"/>
            </w:tcBorders>
            <w:shd w:fill="F4F4F2" w:val="clear"/>
            <w:tcMar>
              <w:top w:type="dxa" w:w="80"/>
              <w:left w:type="dxa" w:w="120"/>
              <w:bottom w:type="dxa" w:w="80"/>
              <w:right w:type="dxa" w:w="80"/>
            </w:tcMar>
          </w:tcPr>
          <w:p>
            <w:r>
              <w:rPr>
                <w:rFonts w:ascii="Arial" w:cs="Arial" w:eastAsia="Arial" w:hAnsi="Arial"/>
                <w:i/>
                <w:iCs/>
                <w:color w:val="3A3A3A"/>
                <w:sz w:val="19"/>
                <w:szCs w:val="19"/>
              </w:rPr>
              <w:t xml:space="preserve">v1.20.0</w:t>
            </w:r>
          </w:p>
        </w:tc>
        <w:tc>
          <w:tcPr>
            <w:tcW w:type="dxa" w:w="5360"/>
            <w:tcBorders>
              <w:top w:val="single" w:color="CCCCCC" w:sz="1"/>
              <w:left w:val="single" w:color="CCCCCC" w:sz="1"/>
              <w:bottom w:val="single" w:color="CCCCCC" w:sz="1"/>
              <w:right w:val="single" w:color="CCCCCC" w:sz="1"/>
            </w:tcBorders>
            <w:shd w:fill="F4F4F2" w:val="clear"/>
            <w:tcMar>
              <w:top w:type="dxa" w:w="80"/>
              <w:left w:type="dxa" w:w="120"/>
              <w:bottom w:type="dxa" w:w="80"/>
              <w:right w:type="dxa" w:w="80"/>
            </w:tcMar>
          </w:tcPr>
          <w:p>
            <w:r>
              <w:rPr>
                <w:rFonts w:ascii="Arial" w:cs="Arial" w:eastAsia="Arial" w:hAnsi="Arial"/>
                <w:color w:val="4A4A4A"/>
                <w:sz w:val="19"/>
                <w:szCs w:val="19"/>
              </w:rPr>
              <w:t xml:space="preserve">Gestión de configuración YAML + variables de entorno.</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bCs/>
                <w:color w:val="1C1C1C"/>
                <w:sz w:val="19"/>
                <w:szCs w:val="19"/>
              </w:rPr>
              <w:t xml:space="preserve">Node.js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i/>
                <w:iCs/>
                <w:color w:val="3A3A3A"/>
                <w:sz w:val="19"/>
                <w:szCs w:val="19"/>
              </w:rPr>
              <w:t xml:space="preserve">22 LTS</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color w:val="4A4A4A"/>
                <w:sz w:val="19"/>
                <w:szCs w:val="19"/>
              </w:rPr>
              <w:t xml:space="preserve">Runtime del scraper — ecosistema más maduro para web scraping.</w:t>
            </w:r>
          </w:p>
        </w:tc>
      </w:tr>
      <w:tr>
        <w:tc>
          <w:tcPr>
            <w:tcW w:type="dxa" w:w="2200"/>
            <w:tcBorders>
              <w:top w:val="single" w:color="CCCCCC" w:sz="1"/>
              <w:left w:val="single" w:color="CCCCCC" w:sz="1"/>
              <w:bottom w:val="single" w:color="CCCCCC" w:sz="1"/>
              <w:right w:val="single" w:color="CCCCCC" w:sz="1"/>
            </w:tcBorders>
            <w:shd w:fill="F4F4F2" w:val="clear"/>
            <w:tcMar>
              <w:top w:type="dxa" w:w="80"/>
              <w:left w:type="dxa" w:w="120"/>
              <w:bottom w:type="dxa" w:w="80"/>
              <w:right w:type="dxa" w:w="80"/>
            </w:tcMar>
          </w:tcPr>
          <w:p>
            <w:r>
              <w:rPr>
                <w:rFonts w:ascii="Arial" w:cs="Arial" w:eastAsia="Arial" w:hAnsi="Arial"/>
                <w:b/>
                <w:bCs/>
                <w:color w:val="1C1C1C"/>
                <w:sz w:val="19"/>
                <w:szCs w:val="19"/>
              </w:rPr>
              <w:t xml:space="preserve">TypeScript</w:t>
            </w:r>
          </w:p>
        </w:tc>
        <w:tc>
          <w:tcPr>
            <w:tcW w:type="dxa" w:w="1800"/>
            <w:tcBorders>
              <w:top w:val="single" w:color="CCCCCC" w:sz="1"/>
              <w:left w:val="single" w:color="CCCCCC" w:sz="1"/>
              <w:bottom w:val="single" w:color="CCCCCC" w:sz="1"/>
              <w:right w:val="single" w:color="CCCCCC" w:sz="1"/>
            </w:tcBorders>
            <w:shd w:fill="F4F4F2" w:val="clear"/>
            <w:tcMar>
              <w:top w:type="dxa" w:w="80"/>
              <w:left w:type="dxa" w:w="120"/>
              <w:bottom w:type="dxa" w:w="80"/>
              <w:right w:type="dxa" w:w="80"/>
            </w:tcMar>
          </w:tcPr>
          <w:p>
            <w:r>
              <w:rPr>
                <w:rFonts w:ascii="Arial" w:cs="Arial" w:eastAsia="Arial" w:hAnsi="Arial"/>
                <w:i/>
                <w:iCs/>
                <w:color w:val="3A3A3A"/>
                <w:sz w:val="19"/>
                <w:szCs w:val="19"/>
              </w:rPr>
              <w:t xml:space="preserve">5.8.x</w:t>
            </w:r>
          </w:p>
        </w:tc>
        <w:tc>
          <w:tcPr>
            <w:tcW w:type="dxa" w:w="5360"/>
            <w:tcBorders>
              <w:top w:val="single" w:color="CCCCCC" w:sz="1"/>
              <w:left w:val="single" w:color="CCCCCC" w:sz="1"/>
              <w:bottom w:val="single" w:color="CCCCCC" w:sz="1"/>
              <w:right w:val="single" w:color="CCCCCC" w:sz="1"/>
            </w:tcBorders>
            <w:shd w:fill="F4F4F2" w:val="clear"/>
            <w:tcMar>
              <w:top w:type="dxa" w:w="80"/>
              <w:left w:type="dxa" w:w="120"/>
              <w:bottom w:type="dxa" w:w="80"/>
              <w:right w:type="dxa" w:w="80"/>
            </w:tcMar>
          </w:tcPr>
          <w:p>
            <w:r>
              <w:rPr>
                <w:rFonts w:ascii="Arial" w:cs="Arial" w:eastAsia="Arial" w:hAnsi="Arial"/>
                <w:color w:val="4A4A4A"/>
                <w:sz w:val="19"/>
                <w:szCs w:val="19"/>
              </w:rPr>
              <w:t xml:space="preserve">Tipado estático en el scraper — previene errores en runtime.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bCs/>
                <w:color w:val="1C1C1C"/>
                <w:sz w:val="19"/>
                <w:szCs w:val="19"/>
              </w:rPr>
              <w:t xml:space="preserve">Playwright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i/>
                <w:iCs/>
                <w:color w:val="3A3A3A"/>
                <w:sz w:val="19"/>
                <w:szCs w:val="19"/>
              </w:rPr>
              <w:t xml:space="preserve">1.51.x</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color w:val="4A4A4A"/>
                <w:sz w:val="19"/>
                <w:szCs w:val="19"/>
              </w:rPr>
              <w:t xml:space="preserve">Scraping de portales con JavaScript dinámico (OCC, Indeed).</w:t>
            </w:r>
          </w:p>
        </w:tc>
      </w:tr>
      <w:tr>
        <w:tc>
          <w:tcPr>
            <w:tcW w:type="dxa" w:w="2200"/>
            <w:tcBorders>
              <w:top w:val="single" w:color="CCCCCC" w:sz="1"/>
              <w:left w:val="single" w:color="CCCCCC" w:sz="1"/>
              <w:bottom w:val="single" w:color="CCCCCC" w:sz="1"/>
              <w:right w:val="single" w:color="CCCCCC" w:sz="1"/>
            </w:tcBorders>
            <w:shd w:fill="F4F4F2" w:val="clear"/>
            <w:tcMar>
              <w:top w:type="dxa" w:w="80"/>
              <w:left w:type="dxa" w:w="120"/>
              <w:bottom w:type="dxa" w:w="80"/>
              <w:right w:type="dxa" w:w="80"/>
            </w:tcMar>
          </w:tcPr>
          <w:p>
            <w:r>
              <w:rPr>
                <w:rFonts w:ascii="Arial" w:cs="Arial" w:eastAsia="Arial" w:hAnsi="Arial"/>
                <w:b/>
                <w:bCs/>
                <w:color w:val="1C1C1C"/>
                <w:sz w:val="19"/>
                <w:szCs w:val="19"/>
              </w:rPr>
              <w:t xml:space="preserve">Cheerio</w:t>
            </w:r>
          </w:p>
        </w:tc>
        <w:tc>
          <w:tcPr>
            <w:tcW w:type="dxa" w:w="1800"/>
            <w:tcBorders>
              <w:top w:val="single" w:color="CCCCCC" w:sz="1"/>
              <w:left w:val="single" w:color="CCCCCC" w:sz="1"/>
              <w:bottom w:val="single" w:color="CCCCCC" w:sz="1"/>
              <w:right w:val="single" w:color="CCCCCC" w:sz="1"/>
            </w:tcBorders>
            <w:shd w:fill="F4F4F2" w:val="clear"/>
            <w:tcMar>
              <w:top w:type="dxa" w:w="80"/>
              <w:left w:type="dxa" w:w="120"/>
              <w:bottom w:type="dxa" w:w="80"/>
              <w:right w:type="dxa" w:w="80"/>
            </w:tcMar>
          </w:tcPr>
          <w:p>
            <w:r>
              <w:rPr>
                <w:rFonts w:ascii="Arial" w:cs="Arial" w:eastAsia="Arial" w:hAnsi="Arial"/>
                <w:i/>
                <w:iCs/>
                <w:color w:val="3A3A3A"/>
                <w:sz w:val="19"/>
                <w:szCs w:val="19"/>
              </w:rPr>
              <w:t xml:space="preserve">1.0.0</w:t>
            </w:r>
          </w:p>
        </w:tc>
        <w:tc>
          <w:tcPr>
            <w:tcW w:type="dxa" w:w="5360"/>
            <w:tcBorders>
              <w:top w:val="single" w:color="CCCCCC" w:sz="1"/>
              <w:left w:val="single" w:color="CCCCCC" w:sz="1"/>
              <w:bottom w:val="single" w:color="CCCCCC" w:sz="1"/>
              <w:right w:val="single" w:color="CCCCCC" w:sz="1"/>
            </w:tcBorders>
            <w:shd w:fill="F4F4F2" w:val="clear"/>
            <w:tcMar>
              <w:top w:type="dxa" w:w="80"/>
              <w:left w:type="dxa" w:w="120"/>
              <w:bottom w:type="dxa" w:w="80"/>
              <w:right w:type="dxa" w:w="80"/>
            </w:tcMar>
          </w:tcPr>
          <w:p>
            <w:r>
              <w:rPr>
                <w:rFonts w:ascii="Arial" w:cs="Arial" w:eastAsia="Arial" w:hAnsi="Arial"/>
                <w:color w:val="4A4A4A"/>
                <w:sz w:val="19"/>
                <w:szCs w:val="19"/>
              </w:rPr>
              <w:t xml:space="preserve">Parsing HTML estático — rápido y sin overhead de browser.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bCs/>
                <w:color w:val="1C1C1C"/>
                <w:sz w:val="19"/>
                <w:szCs w:val="19"/>
              </w:rPr>
              <w:t xml:space="preserve">fastembed (npm)</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i/>
                <w:iCs/>
                <w:color w:val="3A3A3A"/>
                <w:sz w:val="19"/>
                <w:szCs w:val="19"/>
              </w:rPr>
              <w:t xml:space="preserve">1.14.x</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color w:val="4A4A4A"/>
                <w:sz w:val="19"/>
                <w:szCs w:val="19"/>
              </w:rPr>
              <w:t xml:space="preserve">Embeddings locales en Node.js — sin API externa, sin costo.</w:t>
            </w:r>
          </w:p>
        </w:tc>
      </w:tr>
      <w:tr>
        <w:tc>
          <w:tcPr>
            <w:tcW w:type="dxa" w:w="2200"/>
            <w:tcBorders>
              <w:top w:val="single" w:color="CCCCCC" w:sz="1"/>
              <w:left w:val="single" w:color="CCCCCC" w:sz="1"/>
              <w:bottom w:val="single" w:color="CCCCCC" w:sz="1"/>
              <w:right w:val="single" w:color="CCCCCC" w:sz="1"/>
            </w:tcBorders>
            <w:shd w:fill="F4F4F2" w:val="clear"/>
            <w:tcMar>
              <w:top w:type="dxa" w:w="80"/>
              <w:left w:type="dxa" w:w="120"/>
              <w:bottom w:type="dxa" w:w="80"/>
              <w:right w:type="dxa" w:w="80"/>
            </w:tcMar>
          </w:tcPr>
          <w:p>
            <w:r>
              <w:rPr>
                <w:rFonts w:ascii="Arial" w:cs="Arial" w:eastAsia="Arial" w:hAnsi="Arial"/>
                <w:b/>
                <w:bCs/>
                <w:color w:val="1C1C1C"/>
                <w:sz w:val="19"/>
                <w:szCs w:val="19"/>
              </w:rPr>
              <w:t xml:space="preserve">Qdrant</w:t>
            </w:r>
          </w:p>
        </w:tc>
        <w:tc>
          <w:tcPr>
            <w:tcW w:type="dxa" w:w="1800"/>
            <w:tcBorders>
              <w:top w:val="single" w:color="CCCCCC" w:sz="1"/>
              <w:left w:val="single" w:color="CCCCCC" w:sz="1"/>
              <w:bottom w:val="single" w:color="CCCCCC" w:sz="1"/>
              <w:right w:val="single" w:color="CCCCCC" w:sz="1"/>
            </w:tcBorders>
            <w:shd w:fill="F4F4F2" w:val="clear"/>
            <w:tcMar>
              <w:top w:type="dxa" w:w="80"/>
              <w:left w:type="dxa" w:w="120"/>
              <w:bottom w:type="dxa" w:w="80"/>
              <w:right w:type="dxa" w:w="80"/>
            </w:tcMar>
          </w:tcPr>
          <w:p>
            <w:r>
              <w:rPr>
                <w:rFonts w:ascii="Arial" w:cs="Arial" w:eastAsia="Arial" w:hAnsi="Arial"/>
                <w:i/>
                <w:iCs/>
                <w:color w:val="3A3A3A"/>
                <w:sz w:val="19"/>
                <w:szCs w:val="19"/>
              </w:rPr>
              <w:t xml:space="preserve">v1.16.0</w:t>
            </w:r>
          </w:p>
        </w:tc>
        <w:tc>
          <w:tcPr>
            <w:tcW w:type="dxa" w:w="5360"/>
            <w:tcBorders>
              <w:top w:val="single" w:color="CCCCCC" w:sz="1"/>
              <w:left w:val="single" w:color="CCCCCC" w:sz="1"/>
              <w:bottom w:val="single" w:color="CCCCCC" w:sz="1"/>
              <w:right w:val="single" w:color="CCCCCC" w:sz="1"/>
            </w:tcBorders>
            <w:shd w:fill="F4F4F2" w:val="clear"/>
            <w:tcMar>
              <w:top w:type="dxa" w:w="80"/>
              <w:left w:type="dxa" w:w="120"/>
              <w:bottom w:type="dxa" w:w="80"/>
              <w:right w:type="dxa" w:w="80"/>
            </w:tcMar>
          </w:tcPr>
          <w:p>
            <w:r>
              <w:rPr>
                <w:rFonts w:ascii="Arial" w:cs="Arial" w:eastAsia="Arial" w:hAnsi="Arial"/>
                <w:color w:val="4A4A4A"/>
                <w:sz w:val="19"/>
                <w:szCs w:val="19"/>
              </w:rPr>
              <w:t xml:space="preserve">Única base de datos — vectores + payload estructurado en Docker.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bCs/>
                <w:color w:val="1C1C1C"/>
                <w:sz w:val="19"/>
                <w:szCs w:val="19"/>
              </w:rPr>
              <w:t xml:space="preserve">Modelo embedding</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i/>
                <w:iCs/>
                <w:color w:val="3A3A3A"/>
                <w:sz w:val="19"/>
                <w:szCs w:val="19"/>
              </w:rPr>
              <w:t xml:space="preserve">bge-small-en-v1.5</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color w:val="4A4A4A"/>
                <w:sz w:val="19"/>
                <w:szCs w:val="19"/>
              </w:rPr>
              <w:t xml:space="preserve">384 dimensiones — equilibrio velocidad/precisión para texto de vacantes.</w:t>
            </w:r>
          </w:p>
        </w:tc>
      </w:tr>
      <w:tr>
        <w:tc>
          <w:tcPr>
            <w:tcW w:type="dxa" w:w="2200"/>
            <w:tcBorders>
              <w:top w:val="single" w:color="CCCCCC" w:sz="1"/>
              <w:left w:val="single" w:color="CCCCCC" w:sz="1"/>
              <w:bottom w:val="single" w:color="CCCCCC" w:sz="1"/>
              <w:right w:val="single" w:color="CCCCCC" w:sz="1"/>
            </w:tcBorders>
            <w:shd w:fill="F4F4F2" w:val="clear"/>
            <w:tcMar>
              <w:top w:type="dxa" w:w="80"/>
              <w:left w:type="dxa" w:w="120"/>
              <w:bottom w:type="dxa" w:w="80"/>
              <w:right w:type="dxa" w:w="80"/>
            </w:tcMar>
          </w:tcPr>
          <w:p>
            <w:r>
              <w:rPr>
                <w:rFonts w:ascii="Arial" w:cs="Arial" w:eastAsia="Arial" w:hAnsi="Arial"/>
                <w:b/>
                <w:bCs/>
                <w:color w:val="1C1C1C"/>
                <w:sz w:val="19"/>
                <w:szCs w:val="19"/>
              </w:rPr>
              <w:t xml:space="preserve">Pandoc</w:t>
            </w:r>
          </w:p>
        </w:tc>
        <w:tc>
          <w:tcPr>
            <w:tcW w:type="dxa" w:w="1800"/>
            <w:tcBorders>
              <w:top w:val="single" w:color="CCCCCC" w:sz="1"/>
              <w:left w:val="single" w:color="CCCCCC" w:sz="1"/>
              <w:bottom w:val="single" w:color="CCCCCC" w:sz="1"/>
              <w:right w:val="single" w:color="CCCCCC" w:sz="1"/>
            </w:tcBorders>
            <w:shd w:fill="F4F4F2" w:val="clear"/>
            <w:tcMar>
              <w:top w:type="dxa" w:w="80"/>
              <w:left w:type="dxa" w:w="120"/>
              <w:bottom w:type="dxa" w:w="80"/>
              <w:right w:type="dxa" w:w="80"/>
            </w:tcMar>
          </w:tcPr>
          <w:p>
            <w:r>
              <w:rPr>
                <w:rFonts w:ascii="Arial" w:cs="Arial" w:eastAsia="Arial" w:hAnsi="Arial"/>
                <w:i/>
                <w:iCs/>
                <w:color w:val="3A3A3A"/>
                <w:sz w:val="19"/>
                <w:szCs w:val="19"/>
              </w:rPr>
              <w:t xml:space="preserve">3.6.x</w:t>
            </w:r>
          </w:p>
        </w:tc>
        <w:tc>
          <w:tcPr>
            <w:tcW w:type="dxa" w:w="5360"/>
            <w:tcBorders>
              <w:top w:val="single" w:color="CCCCCC" w:sz="1"/>
              <w:left w:val="single" w:color="CCCCCC" w:sz="1"/>
              <w:bottom w:val="single" w:color="CCCCCC" w:sz="1"/>
              <w:right w:val="single" w:color="CCCCCC" w:sz="1"/>
            </w:tcBorders>
            <w:shd w:fill="F4F4F2" w:val="clear"/>
            <w:tcMar>
              <w:top w:type="dxa" w:w="80"/>
              <w:left w:type="dxa" w:w="120"/>
              <w:bottom w:type="dxa" w:w="80"/>
              <w:right w:type="dxa" w:w="80"/>
            </w:tcMar>
          </w:tcPr>
          <w:p>
            <w:r>
              <w:rPr>
                <w:rFonts w:ascii="Arial" w:cs="Arial" w:eastAsia="Arial" w:hAnsi="Arial"/>
                <w:color w:val="4A4A4A"/>
                <w:sz w:val="19"/>
                <w:szCs w:val="19"/>
              </w:rPr>
              <w:t xml:space="preserve">Exportación MD → PDF / DOCX — sin dependencias adicionales.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bCs/>
                <w:color w:val="1C1C1C"/>
                <w:sz w:val="19"/>
                <w:szCs w:val="19"/>
              </w:rPr>
              <w:t xml:space="preserve">Docker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i/>
                <w:iCs/>
                <w:color w:val="3A3A3A"/>
                <w:sz w:val="19"/>
                <w:szCs w:val="19"/>
              </w:rPr>
              <w:t xml:space="preserve">Latest</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color w:val="4A4A4A"/>
                <w:sz w:val="19"/>
                <w:szCs w:val="19"/>
              </w:rPr>
              <w:t xml:space="preserve">Contenerización de Qdrant y scraper para entorno reproducible.</w:t>
            </w:r>
          </w:p>
        </w:tc>
      </w:tr>
    </w:tbl>
    <w:p>
      <w:pPr>
        <w:spacing w:after="0" w:before="160"/>
      </w:pPr>
      <w:r>
        <w:t xml:space="preserve"/>
      </w:r>
    </w:p>
    <w:p>
      <w:pPr>
        <w:pStyle w:val="Heading2"/>
        <w:spacing w:after="100" w:before="280"/>
      </w:pPr>
      <w:r>
        <w:rPr>
          <w:rFonts w:ascii="Arial" w:cs="Arial" w:eastAsia="Arial" w:hAnsi="Arial"/>
          <w:b/>
          <w:bCs/>
          <w:color w:val="1C1C1C"/>
          <w:sz w:val="24"/>
          <w:szCs w:val="24"/>
        </w:rPr>
        <w:t xml:space="preserve">4.2 La Interfaz AIProvider — Núcleo del Diseño</w:t>
      </w:r>
    </w:p>
    <w:p>
      <w:pPr>
        <w:spacing w:after="80" w:before="60"/>
      </w:pPr>
      <w:r>
        <w:rPr>
          <w:rFonts w:ascii="Arial" w:cs="Arial" w:eastAsia="Arial" w:hAnsi="Arial"/>
          <w:color w:val="4A4A4A"/>
          <w:sz w:val="21"/>
          <w:szCs w:val="21"/>
        </w:rPr>
        <w:t xml:space="preserve">La decisión arquitectónica más importante de OfferTrack M82 es la interfaz AIProvider. Define un contrato formal con tres operaciones: Analyze (evalúa vacante vs. perfil), AdaptCV (reescribe el CV base) y Summarize (condensa texto largo). El núcleo Go solo interactúa con esta interfaz — nunca con proveedores concretos.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none" w:color="FFFFFF" w:sz="0"/>
              <w:left w:val="none" w:color="FFFFFF" w:sz="0"/>
              <w:bottom w:val="none" w:color="FFFFFF" w:sz="0"/>
              <w:right w:val="none" w:color="FFFFFF" w:sz="0"/>
            </w:tcBorders>
            <w:shd w:fill="1C1C1C" w:val="clear"/>
            <w:tcMar>
              <w:top w:type="dxa" w:w="120"/>
              <w:left w:type="dxa" w:w="160"/>
              <w:bottom w:type="dxa" w:w="120"/>
              <w:right w:type="dxa" w:w="80"/>
            </w:tcMar>
            <w:vAlign w:val="center"/>
          </w:tcPr>
          <w:p>
            <w:pPr>
              <w:jc w:val="center"/>
            </w:pPr>
            <w:r>
              <w:rPr>
                <w:rFonts w:ascii="Arial" w:cs="Arial" w:eastAsia="Arial" w:hAnsi="Arial"/>
                <w:b/>
                <w:bCs/>
                <w:color w:val="FFFFFF"/>
                <w:sz w:val="18"/>
                <w:szCs w:val="18"/>
              </w:rPr>
              <w:t xml:space="preserve">CONTRATO</w:t>
            </w:r>
          </w:p>
        </w:tc>
        <w:tc>
          <w:tcPr>
            <w:tcW w:type="dxa" w:w="7920"/>
            <w:tcBorders>
              <w:top w:val="none" w:color="FFFFFF" w:sz="0"/>
              <w:left w:val="none" w:color="FFFFFF" w:sz="0"/>
              <w:bottom w:val="none" w:color="FFFFFF" w:sz="0"/>
              <w:right w:val="none" w:color="FFFFFF" w:sz="0"/>
            </w:tcBorders>
            <w:shd w:fill="F4F4F2" w:val="clear"/>
            <w:tcMar>
              <w:top w:type="dxa" w:w="120"/>
              <w:left w:type="dxa" w:w="160"/>
              <w:bottom w:type="dxa" w:w="120"/>
              <w:right w:type="dxa" w:w="160"/>
            </w:tcMar>
          </w:tcPr>
          <w:p>
            <w:r>
              <w:rPr>
                <w:rFonts w:ascii="Arial" w:cs="Arial" w:eastAsia="Arial" w:hAnsi="Arial"/>
                <w:color w:val="4A4A4A"/>
                <w:sz w:val="20"/>
                <w:szCs w:val="20"/>
              </w:rPr>
              <w:t xml:space="preserve">AIProvider { Analyze(prompt) → AnalysisResult | AdaptCV(job, cv) → AdaptResult | Summarize(text) → string | Name() → string }</w:t>
            </w:r>
          </w:p>
        </w:tc>
      </w:tr>
    </w:tbl>
    <w:p>
      <w:pPr>
        <w:spacing w:after="0" w:before="80"/>
      </w:pPr>
      <w:r>
        <w:t xml:space="preserve"/>
      </w:r>
    </w:p>
    <w:p>
      <w:pPr>
        <w:spacing w:after="80" w:before="60"/>
      </w:pPr>
      <w:r>
        <w:rPr>
          <w:rFonts w:ascii="Arial" w:cs="Arial" w:eastAsia="Arial" w:hAnsi="Arial"/>
          <w:color w:val="4A4A4A"/>
          <w:sz w:val="21"/>
          <w:szCs w:val="21"/>
        </w:rPr>
        <w:t xml:space="preserve">Una factory en Go lee el proveedor activo desde config.yaml y construye la implementación correspondiente. Cambiar de Claude a Gemini requiere modificar una sola línea en el archivo de configuración — sin recompilar, sin tocar lógica de negocio.</w:t>
      </w:r>
    </w:p>
    <w:p>
      <w:pPr>
        <w:spacing w:after="0" w:before="80"/>
      </w:pPr>
      <w:r>
        <w:t xml:space="preserve"/>
      </w:r>
    </w:p>
    <w:p>
      <w:pPr>
        <w:pStyle w:val="Heading2"/>
        <w:spacing w:after="100" w:before="280"/>
      </w:pPr>
      <w:r>
        <w:rPr>
          <w:rFonts w:ascii="Arial" w:cs="Arial" w:eastAsia="Arial" w:hAnsi="Arial"/>
          <w:b/>
          <w:bCs/>
          <w:color w:val="1C1C1C"/>
          <w:sz w:val="24"/>
          <w:szCs w:val="24"/>
        </w:rPr>
        <w:t xml:space="preserve">4.3 Proveedores de IA Soportados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600"/>
        <w:gridCol w:w="1800"/>
        <w:gridCol w:w="3160"/>
      </w:tblGrid>
      <w:tr>
        <w:trPr>
          <w:tblHeader/>
        </w:trPr>
        <w:tc>
          <w:tcPr>
            <w:tcW w:type="dxa" w:w="1800"/>
            <w:tcBorders>
              <w:top w:val="single" w:color="0A0A0A" w:sz="1"/>
              <w:left w:val="single" w:color="0A0A0A" w:sz="1"/>
              <w:bottom w:val="single" w:color="0A0A0A" w:sz="1"/>
              <w:right w:val="single" w:color="0A0A0A" w:sz="1"/>
            </w:tcBorders>
            <w:shd w:fill="1C1C1C" w:val="clear"/>
            <w:tcMar>
              <w:top w:type="dxa" w:w="100"/>
              <w:left w:type="dxa" w:w="120"/>
              <w:bottom w:type="dxa" w:w="100"/>
              <w:right w:type="dxa" w:w="80"/>
            </w:tcMar>
          </w:tcPr>
          <w:p>
            <w:r>
              <w:rPr>
                <w:rFonts w:ascii="Arial" w:cs="Arial" w:eastAsia="Arial" w:hAnsi="Arial"/>
                <w:b/>
                <w:bCs/>
                <w:color w:val="FFFFFF"/>
                <w:sz w:val="20"/>
                <w:szCs w:val="20"/>
              </w:rPr>
              <w:t xml:space="preserve">Proveedor</w:t>
            </w:r>
          </w:p>
        </w:tc>
        <w:tc>
          <w:tcPr>
            <w:tcW w:type="dxa" w:w="2600"/>
            <w:tcBorders>
              <w:top w:val="single" w:color="0A0A0A" w:sz="1"/>
              <w:left w:val="single" w:color="0A0A0A" w:sz="1"/>
              <w:bottom w:val="single" w:color="0A0A0A" w:sz="1"/>
              <w:right w:val="single" w:color="0A0A0A" w:sz="1"/>
            </w:tcBorders>
            <w:shd w:fill="1C1C1C" w:val="clear"/>
            <w:tcMar>
              <w:top w:type="dxa" w:w="100"/>
              <w:left w:type="dxa" w:w="120"/>
              <w:bottom w:type="dxa" w:w="100"/>
              <w:right w:type="dxa" w:w="80"/>
            </w:tcMar>
          </w:tcPr>
          <w:p>
            <w:r>
              <w:rPr>
                <w:rFonts w:ascii="Arial" w:cs="Arial" w:eastAsia="Arial" w:hAnsi="Arial"/>
                <w:b/>
                <w:bCs/>
                <w:color w:val="FFFFFF"/>
                <w:sz w:val="20"/>
                <w:szCs w:val="20"/>
              </w:rPr>
              <w:t xml:space="preserve">Modelo recomendado</w:t>
            </w:r>
          </w:p>
        </w:tc>
        <w:tc>
          <w:tcPr>
            <w:tcW w:type="dxa" w:w="1800"/>
            <w:tcBorders>
              <w:top w:val="single" w:color="0A0A0A" w:sz="1"/>
              <w:left w:val="single" w:color="0A0A0A" w:sz="1"/>
              <w:bottom w:val="single" w:color="0A0A0A" w:sz="1"/>
              <w:right w:val="single" w:color="0A0A0A" w:sz="1"/>
            </w:tcBorders>
            <w:shd w:fill="1C1C1C" w:val="clear"/>
            <w:tcMar>
              <w:top w:type="dxa" w:w="100"/>
              <w:left w:type="dxa" w:w="120"/>
              <w:bottom w:type="dxa" w:w="100"/>
              <w:right w:type="dxa" w:w="80"/>
            </w:tcMar>
          </w:tcPr>
          <w:p>
            <w:r>
              <w:rPr>
                <w:rFonts w:ascii="Arial" w:cs="Arial" w:eastAsia="Arial" w:hAnsi="Arial"/>
                <w:b/>
                <w:bCs/>
                <w:color w:val="FFFFFF"/>
                <w:sz w:val="20"/>
                <w:szCs w:val="20"/>
              </w:rPr>
              <w:t xml:space="preserve">Costo</w:t>
            </w:r>
          </w:p>
        </w:tc>
        <w:tc>
          <w:tcPr>
            <w:tcW w:type="dxa" w:w="3160"/>
            <w:tcBorders>
              <w:top w:val="single" w:color="0A0A0A" w:sz="1"/>
              <w:left w:val="single" w:color="0A0A0A" w:sz="1"/>
              <w:bottom w:val="single" w:color="0A0A0A" w:sz="1"/>
              <w:right w:val="single" w:color="0A0A0A" w:sz="1"/>
            </w:tcBorders>
            <w:shd w:fill="1C1C1C" w:val="clear"/>
            <w:tcMar>
              <w:top w:type="dxa" w:w="100"/>
              <w:left w:type="dxa" w:w="120"/>
              <w:bottom w:type="dxa" w:w="100"/>
              <w:right w:type="dxa" w:w="80"/>
            </w:tcMar>
          </w:tcPr>
          <w:p>
            <w:r>
              <w:rPr>
                <w:rFonts w:ascii="Arial" w:cs="Arial" w:eastAsia="Arial" w:hAnsi="Arial"/>
                <w:b/>
                <w:bCs/>
                <w:color w:val="FFFFFF"/>
                <w:sz w:val="20"/>
                <w:szCs w:val="20"/>
              </w:rPr>
              <w:t xml:space="preserve">Caso de uso ideal</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bCs/>
                <w:color w:val="1C1C1C"/>
                <w:sz w:val="19"/>
                <w:szCs w:val="19"/>
              </w:rPr>
              <w:t xml:space="preserve">Claude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i/>
                <w:iCs/>
                <w:color w:val="3A3A3A"/>
                <w:sz w:val="19"/>
                <w:szCs w:val="19"/>
              </w:rPr>
              <w:t xml:space="preserve">claude-sonnet-4-5</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color w:val="4A4A4A"/>
                <w:sz w:val="19"/>
                <w:szCs w:val="19"/>
              </w:rPr>
              <w:t xml:space="preserve">Pago por uso</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color w:val="4A4A4A"/>
                <w:sz w:val="18"/>
                <w:szCs w:val="18"/>
              </w:rPr>
              <w:t xml:space="preserve">Análisis profundo y adaptación de CV — calidad máxima</w:t>
            </w:r>
          </w:p>
        </w:tc>
      </w:tr>
      <w:tr>
        <w:tc>
          <w:tcPr>
            <w:tcW w:type="dxa" w:w="1800"/>
            <w:tcBorders>
              <w:top w:val="single" w:color="CCCCCC" w:sz="1"/>
              <w:left w:val="single" w:color="CCCCCC" w:sz="1"/>
              <w:bottom w:val="single" w:color="CCCCCC" w:sz="1"/>
              <w:right w:val="single" w:color="CCCCCC" w:sz="1"/>
            </w:tcBorders>
            <w:shd w:fill="F4F4F2" w:val="clear"/>
            <w:tcMar>
              <w:top w:type="dxa" w:w="80"/>
              <w:left w:type="dxa" w:w="120"/>
              <w:bottom w:type="dxa" w:w="80"/>
              <w:right w:type="dxa" w:w="80"/>
            </w:tcMar>
          </w:tcPr>
          <w:p>
            <w:r>
              <w:rPr>
                <w:rFonts w:ascii="Arial" w:cs="Arial" w:eastAsia="Arial" w:hAnsi="Arial"/>
                <w:b/>
                <w:bCs/>
                <w:color w:val="1C1C1C"/>
                <w:sz w:val="19"/>
                <w:szCs w:val="19"/>
              </w:rPr>
              <w:t xml:space="preserve">Gemini</w:t>
            </w:r>
          </w:p>
        </w:tc>
        <w:tc>
          <w:tcPr>
            <w:tcW w:type="dxa" w:w="2600"/>
            <w:tcBorders>
              <w:top w:val="single" w:color="CCCCCC" w:sz="1"/>
              <w:left w:val="single" w:color="CCCCCC" w:sz="1"/>
              <w:bottom w:val="single" w:color="CCCCCC" w:sz="1"/>
              <w:right w:val="single" w:color="CCCCCC" w:sz="1"/>
            </w:tcBorders>
            <w:shd w:fill="F4F4F2" w:val="clear"/>
            <w:tcMar>
              <w:top w:type="dxa" w:w="80"/>
              <w:left w:type="dxa" w:w="120"/>
              <w:bottom w:type="dxa" w:w="80"/>
              <w:right w:type="dxa" w:w="80"/>
            </w:tcMar>
          </w:tcPr>
          <w:p>
            <w:r>
              <w:rPr>
                <w:rFonts w:ascii="Arial" w:cs="Arial" w:eastAsia="Arial" w:hAnsi="Arial"/>
                <w:i/>
                <w:iCs/>
                <w:color w:val="3A3A3A"/>
                <w:sz w:val="19"/>
                <w:szCs w:val="19"/>
              </w:rPr>
              <w:t xml:space="preserve">gemini-2.0-flash</w:t>
            </w:r>
          </w:p>
        </w:tc>
        <w:tc>
          <w:tcPr>
            <w:tcW w:type="dxa" w:w="1800"/>
            <w:tcBorders>
              <w:top w:val="single" w:color="CCCCCC" w:sz="1"/>
              <w:left w:val="single" w:color="CCCCCC" w:sz="1"/>
              <w:bottom w:val="single" w:color="CCCCCC" w:sz="1"/>
              <w:right w:val="single" w:color="CCCCCC" w:sz="1"/>
            </w:tcBorders>
            <w:shd w:fill="F4F4F2" w:val="clear"/>
            <w:tcMar>
              <w:top w:type="dxa" w:w="80"/>
              <w:left w:type="dxa" w:w="120"/>
              <w:bottom w:type="dxa" w:w="80"/>
              <w:right w:type="dxa" w:w="80"/>
            </w:tcMar>
          </w:tcPr>
          <w:p>
            <w:r>
              <w:rPr>
                <w:rFonts w:ascii="Arial" w:cs="Arial" w:eastAsia="Arial" w:hAnsi="Arial"/>
                <w:color w:val="4A4A4A"/>
                <w:sz w:val="19"/>
                <w:szCs w:val="19"/>
              </w:rPr>
              <w:t xml:space="preserve">Tier gratuito</w:t>
            </w:r>
          </w:p>
        </w:tc>
        <w:tc>
          <w:tcPr>
            <w:tcW w:type="dxa" w:w="3160"/>
            <w:tcBorders>
              <w:top w:val="single" w:color="CCCCCC" w:sz="1"/>
              <w:left w:val="single" w:color="CCCCCC" w:sz="1"/>
              <w:bottom w:val="single" w:color="CCCCCC" w:sz="1"/>
              <w:right w:val="single" w:color="CCCCCC" w:sz="1"/>
            </w:tcBorders>
            <w:shd w:fill="F4F4F2" w:val="clear"/>
            <w:tcMar>
              <w:top w:type="dxa" w:w="80"/>
              <w:left w:type="dxa" w:w="120"/>
              <w:bottom w:type="dxa" w:w="80"/>
              <w:right w:type="dxa" w:w="80"/>
            </w:tcMar>
          </w:tcPr>
          <w:p>
            <w:r>
              <w:rPr>
                <w:rFonts w:ascii="Arial" w:cs="Arial" w:eastAsia="Arial" w:hAnsi="Arial"/>
                <w:color w:val="4A4A4A"/>
                <w:sz w:val="18"/>
                <w:szCs w:val="18"/>
              </w:rPr>
              <w:t xml:space="preserve">Desarrollo y MVP — calidad sólida sin costo</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bCs/>
                <w:color w:val="1C1C1C"/>
                <w:sz w:val="19"/>
                <w:szCs w:val="19"/>
              </w:rPr>
              <w:t xml:space="preserve">Groq</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i/>
                <w:iCs/>
                <w:color w:val="3A3A3A"/>
                <w:sz w:val="19"/>
                <w:szCs w:val="19"/>
              </w:rPr>
              <w:t xml:space="preserve">llama-3.3-70b</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color w:val="4A4A4A"/>
                <w:sz w:val="19"/>
                <w:szCs w:val="19"/>
              </w:rPr>
              <w:t xml:space="preserve">Tier gratuito</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color w:val="4A4A4A"/>
                <w:sz w:val="18"/>
                <w:szCs w:val="18"/>
              </w:rPr>
              <w:t xml:space="preserve">Filtrado inicial rápido de vacantes — ultra velocidad</w:t>
            </w:r>
          </w:p>
        </w:tc>
      </w:tr>
      <w:tr>
        <w:tc>
          <w:tcPr>
            <w:tcW w:type="dxa" w:w="1800"/>
            <w:tcBorders>
              <w:top w:val="single" w:color="CCCCCC" w:sz="1"/>
              <w:left w:val="single" w:color="CCCCCC" w:sz="1"/>
              <w:bottom w:val="single" w:color="CCCCCC" w:sz="1"/>
              <w:right w:val="single" w:color="CCCCCC" w:sz="1"/>
            </w:tcBorders>
            <w:shd w:fill="F4F4F2" w:val="clear"/>
            <w:tcMar>
              <w:top w:type="dxa" w:w="80"/>
              <w:left w:type="dxa" w:w="120"/>
              <w:bottom w:type="dxa" w:w="80"/>
              <w:right w:type="dxa" w:w="80"/>
            </w:tcMar>
          </w:tcPr>
          <w:p>
            <w:r>
              <w:rPr>
                <w:rFonts w:ascii="Arial" w:cs="Arial" w:eastAsia="Arial" w:hAnsi="Arial"/>
                <w:b/>
                <w:bCs/>
                <w:color w:val="1C1C1C"/>
                <w:sz w:val="19"/>
                <w:szCs w:val="19"/>
              </w:rPr>
              <w:t xml:space="preserve">OpenRouter</w:t>
            </w:r>
          </w:p>
        </w:tc>
        <w:tc>
          <w:tcPr>
            <w:tcW w:type="dxa" w:w="2600"/>
            <w:tcBorders>
              <w:top w:val="single" w:color="CCCCCC" w:sz="1"/>
              <w:left w:val="single" w:color="CCCCCC" w:sz="1"/>
              <w:bottom w:val="single" w:color="CCCCCC" w:sz="1"/>
              <w:right w:val="single" w:color="CCCCCC" w:sz="1"/>
            </w:tcBorders>
            <w:shd w:fill="F4F4F2" w:val="clear"/>
            <w:tcMar>
              <w:top w:type="dxa" w:w="80"/>
              <w:left w:type="dxa" w:w="120"/>
              <w:bottom w:type="dxa" w:w="80"/>
              <w:right w:type="dxa" w:w="80"/>
            </w:tcMar>
          </w:tcPr>
          <w:p>
            <w:r>
              <w:rPr>
                <w:rFonts w:ascii="Arial" w:cs="Arial" w:eastAsia="Arial" w:hAnsi="Arial"/>
                <w:i/>
                <w:iCs/>
                <w:color w:val="3A3A3A"/>
                <w:sz w:val="19"/>
                <w:szCs w:val="19"/>
              </w:rPr>
              <w:t xml:space="preserve">Configurable</w:t>
            </w:r>
          </w:p>
        </w:tc>
        <w:tc>
          <w:tcPr>
            <w:tcW w:type="dxa" w:w="1800"/>
            <w:tcBorders>
              <w:top w:val="single" w:color="CCCCCC" w:sz="1"/>
              <w:left w:val="single" w:color="CCCCCC" w:sz="1"/>
              <w:bottom w:val="single" w:color="CCCCCC" w:sz="1"/>
              <w:right w:val="single" w:color="CCCCCC" w:sz="1"/>
            </w:tcBorders>
            <w:shd w:fill="F4F4F2" w:val="clear"/>
            <w:tcMar>
              <w:top w:type="dxa" w:w="80"/>
              <w:left w:type="dxa" w:w="120"/>
              <w:bottom w:type="dxa" w:w="80"/>
              <w:right w:type="dxa" w:w="80"/>
            </w:tcMar>
          </w:tcPr>
          <w:p>
            <w:r>
              <w:rPr>
                <w:rFonts w:ascii="Arial" w:cs="Arial" w:eastAsia="Arial" w:hAnsi="Arial"/>
                <w:color w:val="4A4A4A"/>
                <w:sz w:val="19"/>
                <w:szCs w:val="19"/>
              </w:rPr>
              <w:t xml:space="preserve">Gratis / Pago</w:t>
            </w:r>
          </w:p>
        </w:tc>
        <w:tc>
          <w:tcPr>
            <w:tcW w:type="dxa" w:w="3160"/>
            <w:tcBorders>
              <w:top w:val="single" w:color="CCCCCC" w:sz="1"/>
              <w:left w:val="single" w:color="CCCCCC" w:sz="1"/>
              <w:bottom w:val="single" w:color="CCCCCC" w:sz="1"/>
              <w:right w:val="single" w:color="CCCCCC" w:sz="1"/>
            </w:tcBorders>
            <w:shd w:fill="F4F4F2" w:val="clear"/>
            <w:tcMar>
              <w:top w:type="dxa" w:w="80"/>
              <w:left w:type="dxa" w:w="120"/>
              <w:bottom w:type="dxa" w:w="80"/>
              <w:right w:type="dxa" w:w="80"/>
            </w:tcMar>
          </w:tcPr>
          <w:p>
            <w:r>
              <w:rPr>
                <w:rFonts w:ascii="Arial" w:cs="Arial" w:eastAsia="Arial" w:hAnsi="Arial"/>
                <w:color w:val="4A4A4A"/>
                <w:sz w:val="18"/>
                <w:szCs w:val="18"/>
              </w:rPr>
              <w:t xml:space="preserve">Experimentación con múltiples modelos</w:t>
            </w:r>
          </w:p>
        </w:tc>
      </w:tr>
    </w:tbl>
    <w:p>
      <w:pPr>
        <w:spacing w:after="0" w:before="160"/>
      </w:pPr>
      <w:r>
        <w:t xml:space="preserve"/>
      </w:r>
    </w:p>
    <w:p>
      <w:pPr>
        <w:pStyle w:val="Heading2"/>
        <w:spacing w:after="100" w:before="280"/>
      </w:pPr>
      <w:r>
        <w:rPr>
          <w:rFonts w:ascii="Arial" w:cs="Arial" w:eastAsia="Arial" w:hAnsi="Arial"/>
          <w:b/>
          <w:bCs/>
          <w:color w:val="1C1C1C"/>
          <w:sz w:val="24"/>
          <w:szCs w:val="24"/>
        </w:rPr>
        <w:t xml:space="preserve">4.4 Diagrama de Flujo General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none" w:color="FFFFFF" w:sz="0"/>
              <w:left w:val="none" w:color="FFFFFF" w:sz="0"/>
              <w:bottom w:val="none" w:color="FFFFFF" w:sz="0"/>
              <w:right w:val="none" w:color="FFFFFF" w:sz="0"/>
            </w:tcBorders>
            <w:shd w:fill="E8E8E8" w:val="clear"/>
            <w:tcMar>
              <w:top w:type="dxa" w:w="120"/>
              <w:left w:type="dxa" w:w="160"/>
              <w:bottom w:type="dxa" w:w="120"/>
              <w:right w:type="dxa" w:w="80"/>
            </w:tcMar>
            <w:vAlign w:val="center"/>
          </w:tcPr>
          <w:p>
            <w:pPr>
              <w:jc w:val="center"/>
            </w:pPr>
            <w:r>
              <w:rPr>
                <w:rFonts w:ascii="Arial" w:cs="Arial" w:eastAsia="Arial" w:hAnsi="Arial"/>
                <w:b/>
                <w:bCs/>
                <w:color w:val="0A0A0A"/>
                <w:sz w:val="18"/>
                <w:szCs w:val="18"/>
              </w:rPr>
              <w:t xml:space="preserve">FLUJO</w:t>
            </w:r>
          </w:p>
        </w:tc>
        <w:tc>
          <w:tcPr>
            <w:tcW w:type="dxa" w:w="7920"/>
            <w:tcBorders>
              <w:top w:val="none" w:color="FFFFFF" w:sz="0"/>
              <w:left w:val="none" w:color="FFFFFF" w:sz="0"/>
              <w:bottom w:val="none" w:color="FFFFFF" w:sz="0"/>
              <w:right w:val="none" w:color="FFFFFF" w:sz="0"/>
            </w:tcBorders>
            <w:shd w:fill="F4F4F2" w:val="clear"/>
            <w:tcMar>
              <w:top w:type="dxa" w:w="120"/>
              <w:left w:type="dxa" w:w="160"/>
              <w:bottom w:type="dxa" w:w="120"/>
              <w:right w:type="dxa" w:w="160"/>
            </w:tcMar>
          </w:tcPr>
          <w:p>
            <w:r>
              <w:rPr>
                <w:rFonts w:ascii="Arial" w:cs="Arial" w:eastAsia="Arial" w:hAnsi="Arial"/>
                <w:color w:val="4A4A4A"/>
                <w:sz w:val="20"/>
                <w:szCs w:val="20"/>
              </w:rPr>
              <w:t xml:space="preserve">CLI Go (Orquestador) → Scraper Node.js (HTTP local) → fastembed (embeddings) → Qdrant v1.16 (vectores + payload) → AIProvider (interfaz) → [Claude | Gemini | Groq] → Pandoc (exportación PDF/DOCX)</w:t>
            </w:r>
          </w:p>
        </w:tc>
      </w:tr>
    </w:tbl>
    <w:p>
      <w:pPr>
        <w:spacing w:after="0" w:before="80"/>
      </w:pPr>
      <w:r>
        <w:t xml:space="preserve"/>
      </w:r>
    </w:p>
    <w:p>
      <w:pPr>
        <w:spacing w:after="80" w:before="60"/>
      </w:pPr>
      <w:r>
        <w:rPr>
          <w:rFonts w:ascii="Arial" w:cs="Arial" w:eastAsia="Arial" w:hAnsi="Arial"/>
          <w:color w:val="4A4A4A"/>
          <w:sz w:val="21"/>
          <w:szCs w:val="21"/>
        </w:rPr>
        <w:t xml:space="preserve">El usuario interactúa exclusivamente con la CLI en Go. Este componente actúa como orquestador único: invoca el scraper vía HTTP, genera embeddings a través del servicio Node.js, almacena y consulta Qdrant, delega el análisis a la interfaz AIProvider y exporta resultados finales con Pandoc.</w:t>
      </w:r>
    </w:p>
    <w:p>
      <w:pPr>
        <w:pBdr>
          <w:bottom w:val="single" w:color="CCCCCC" w:sz="1" w:space="1"/>
        </w:pBdr>
        <w:spacing w:after="280" w:before="280"/>
      </w:pPr>
      <w:r>
        <w:t xml:space="preserve"/>
      </w:r>
    </w:p>
    <w:p>
      <w:pPr>
        <w:pStyle w:val="Heading1"/>
        <w:pBdr>
          <w:bottom w:val="single" w:color="0A0A0A" w:sz="4" w:space="6"/>
        </w:pBdr>
        <w:spacing w:after="160" w:before="400"/>
      </w:pPr>
      <w:r>
        <w:rPr>
          <w:rFonts w:ascii="Arial" w:cs="Arial" w:eastAsia="Arial" w:hAnsi="Arial"/>
          <w:b/>
          <w:bCs/>
          <w:caps/>
          <w:color w:val="0A0A0A"/>
          <w:sz w:val="30"/>
          <w:szCs w:val="30"/>
        </w:rPr>
        <w:t xml:space="preserve">5. Módulos del Sistema</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000"/>
        <w:gridCol w:w="3760"/>
        <w:gridCol w:w="2000"/>
        <w:gridCol w:w="1100"/>
      </w:tblGrid>
      <w:tr>
        <w:trPr>
          <w:tblHeader/>
        </w:trPr>
        <w:tc>
          <w:tcPr>
            <w:tcW w:type="dxa" w:w="500"/>
            <w:tcBorders>
              <w:top w:val="single" w:color="0A0A0A" w:sz="1"/>
              <w:left w:val="single" w:color="0A0A0A" w:sz="1"/>
              <w:bottom w:val="single" w:color="0A0A0A" w:sz="1"/>
              <w:right w:val="single" w:color="0A0A0A" w:sz="1"/>
            </w:tcBorders>
            <w:shd w:fill="1C1C1C" w:val="clear"/>
            <w:tcMar>
              <w:top w:type="dxa" w:w="100"/>
              <w:left w:type="dxa" w:w="120"/>
              <w:bottom w:type="dxa" w:w="100"/>
              <w:right w:type="dxa" w:w="80"/>
            </w:tcMar>
          </w:tcPr>
          <w:p>
            <w:pPr>
              <w:jc w:val="left"/>
            </w:pPr>
            <w:r>
              <w:rPr>
                <w:rFonts w:ascii="Arial" w:cs="Arial" w:eastAsia="Arial" w:hAnsi="Arial"/>
                <w:b/>
                <w:bCs/>
                <w:color w:val="FFFFFF"/>
                <w:sz w:val="20"/>
                <w:szCs w:val="20"/>
              </w:rPr>
              <w:t xml:space="preserve">#</w:t>
            </w:r>
          </w:p>
        </w:tc>
        <w:tc>
          <w:tcPr>
            <w:tcW w:type="dxa" w:w="2000"/>
            <w:tcBorders>
              <w:top w:val="single" w:color="0A0A0A" w:sz="1"/>
              <w:left w:val="single" w:color="0A0A0A" w:sz="1"/>
              <w:bottom w:val="single" w:color="0A0A0A" w:sz="1"/>
              <w:right w:val="single" w:color="0A0A0A" w:sz="1"/>
            </w:tcBorders>
            <w:shd w:fill="1C1C1C" w:val="clear"/>
            <w:tcMar>
              <w:top w:type="dxa" w:w="100"/>
              <w:left w:type="dxa" w:w="120"/>
              <w:bottom w:type="dxa" w:w="100"/>
              <w:right w:type="dxa" w:w="80"/>
            </w:tcMar>
          </w:tcPr>
          <w:p>
            <w:pPr>
              <w:jc w:val="left"/>
            </w:pPr>
            <w:r>
              <w:rPr>
                <w:rFonts w:ascii="Arial" w:cs="Arial" w:eastAsia="Arial" w:hAnsi="Arial"/>
                <w:b/>
                <w:bCs/>
                <w:color w:val="FFFFFF"/>
                <w:sz w:val="20"/>
                <w:szCs w:val="20"/>
              </w:rPr>
              <w:t xml:space="preserve">Módulo</w:t>
            </w:r>
          </w:p>
        </w:tc>
        <w:tc>
          <w:tcPr>
            <w:tcW w:type="dxa" w:w="3760"/>
            <w:tcBorders>
              <w:top w:val="single" w:color="0A0A0A" w:sz="1"/>
              <w:left w:val="single" w:color="0A0A0A" w:sz="1"/>
              <w:bottom w:val="single" w:color="0A0A0A" w:sz="1"/>
              <w:right w:val="single" w:color="0A0A0A" w:sz="1"/>
            </w:tcBorders>
            <w:shd w:fill="1C1C1C" w:val="clear"/>
            <w:tcMar>
              <w:top w:type="dxa" w:w="100"/>
              <w:left w:type="dxa" w:w="120"/>
              <w:bottom w:type="dxa" w:w="100"/>
              <w:right w:type="dxa" w:w="80"/>
            </w:tcMar>
          </w:tcPr>
          <w:p>
            <w:pPr>
              <w:jc w:val="left"/>
            </w:pPr>
            <w:r>
              <w:rPr>
                <w:rFonts w:ascii="Arial" w:cs="Arial" w:eastAsia="Arial" w:hAnsi="Arial"/>
                <w:b/>
                <w:bCs/>
                <w:color w:val="FFFFFF"/>
                <w:sz w:val="20"/>
                <w:szCs w:val="20"/>
              </w:rPr>
              <w:t xml:space="preserve">Descripción</w:t>
            </w:r>
          </w:p>
        </w:tc>
        <w:tc>
          <w:tcPr>
            <w:tcW w:type="dxa" w:w="2000"/>
            <w:tcBorders>
              <w:top w:val="single" w:color="0A0A0A" w:sz="1"/>
              <w:left w:val="single" w:color="0A0A0A" w:sz="1"/>
              <w:bottom w:val="single" w:color="0A0A0A" w:sz="1"/>
              <w:right w:val="single" w:color="0A0A0A" w:sz="1"/>
            </w:tcBorders>
            <w:shd w:fill="1C1C1C" w:val="clear"/>
            <w:tcMar>
              <w:top w:type="dxa" w:w="100"/>
              <w:left w:type="dxa" w:w="120"/>
              <w:bottom w:type="dxa" w:w="100"/>
              <w:right w:type="dxa" w:w="80"/>
            </w:tcMar>
          </w:tcPr>
          <w:p>
            <w:pPr>
              <w:jc w:val="left"/>
            </w:pPr>
            <w:r>
              <w:rPr>
                <w:rFonts w:ascii="Arial" w:cs="Arial" w:eastAsia="Arial" w:hAnsi="Arial"/>
                <w:b/>
                <w:bCs/>
                <w:color w:val="FFFFFF"/>
                <w:sz w:val="20"/>
                <w:szCs w:val="20"/>
              </w:rPr>
              <w:t xml:space="preserve">Stack</w:t>
            </w:r>
          </w:p>
        </w:tc>
        <w:tc>
          <w:tcPr>
            <w:tcW w:type="dxa" w:w="1100"/>
            <w:tcBorders>
              <w:top w:val="single" w:color="0A0A0A" w:sz="1"/>
              <w:left w:val="single" w:color="0A0A0A" w:sz="1"/>
              <w:bottom w:val="single" w:color="0A0A0A" w:sz="1"/>
              <w:right w:val="single" w:color="0A0A0A" w:sz="1"/>
            </w:tcBorders>
            <w:shd w:fill="1C1C1C" w:val="clear"/>
            <w:tcMar>
              <w:top w:type="dxa" w:w="100"/>
              <w:left w:type="dxa" w:w="120"/>
              <w:bottom w:type="dxa" w:w="100"/>
              <w:right w:type="dxa" w:w="80"/>
            </w:tcMar>
          </w:tcPr>
          <w:p>
            <w:pPr>
              <w:jc w:val="left"/>
            </w:pPr>
            <w:r>
              <w:rPr>
                <w:rFonts w:ascii="Arial" w:cs="Arial" w:eastAsia="Arial" w:hAnsi="Arial"/>
                <w:b/>
                <w:bCs/>
                <w:color w:val="FFFFFF"/>
                <w:sz w:val="20"/>
                <w:szCs w:val="20"/>
              </w:rPr>
              <w:t xml:space="preserve">Fase</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80"/>
            </w:tcMar>
          </w:tcPr>
          <w:p>
            <w:pPr>
              <w:jc w:val="center"/>
            </w:pPr>
            <w:r>
              <w:rPr>
                <w:rFonts w:ascii="Arial" w:cs="Arial" w:eastAsia="Arial" w:hAnsi="Arial"/>
                <w:b/>
                <w:bCs/>
                <w:color w:val="0A0A0A"/>
                <w:sz w:val="19"/>
                <w:szCs w:val="19"/>
              </w:rPr>
              <w:t xml:space="preserve">M1</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bCs/>
                <w:color w:val="1C1C1C"/>
                <w:sz w:val="19"/>
                <w:szCs w:val="19"/>
              </w:rPr>
              <w:t xml:space="preserve">CLI Core</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color w:val="4A4A4A"/>
                <w:sz w:val="18"/>
                <w:szCs w:val="18"/>
              </w:rPr>
              <w:t xml:space="preserve">Interfaz de terminal, configuración global, enrutamiento de comandos y TUI interactiva</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i/>
                <w:iCs/>
                <w:color w:val="3A3A3A"/>
                <w:sz w:val="17"/>
                <w:szCs w:val="17"/>
              </w:rPr>
              <w:t xml:space="preserve">Go, Cobra, Bubble Tea</w:t>
            </w:r>
          </w:p>
        </w:tc>
        <w:tc>
          <w:tcPr>
            <w:tcW w:type="dxa" w:w="11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jc w:val="center"/>
            </w:pPr>
            <w:r>
              <w:rPr>
                <w:rFonts w:ascii="Arial" w:cs="Arial" w:eastAsia="Arial" w:hAnsi="Arial"/>
                <w:b/>
                <w:bCs/>
                <w:color w:val="2D6A2D"/>
                <w:sz w:val="18"/>
                <w:szCs w:val="18"/>
              </w:rPr>
              <w:t xml:space="preserve">✓ MVP</w:t>
            </w:r>
          </w:p>
        </w:tc>
      </w:tr>
      <w:tr>
        <w:tc>
          <w:tcPr>
            <w:tcW w:type="dxa" w:w="500"/>
            <w:tcBorders>
              <w:top w:val="single" w:color="CCCCCC" w:sz="1"/>
              <w:left w:val="single" w:color="CCCCCC" w:sz="1"/>
              <w:bottom w:val="single" w:color="CCCCCC" w:sz="1"/>
              <w:right w:val="single" w:color="CCCCCC" w:sz="1"/>
            </w:tcBorders>
            <w:shd w:fill="F4F4F2" w:val="clear"/>
            <w:tcMar>
              <w:top w:type="dxa" w:w="80"/>
              <w:left w:type="dxa" w:w="100"/>
              <w:bottom w:type="dxa" w:w="80"/>
              <w:right w:type="dxa" w:w="80"/>
            </w:tcMar>
          </w:tcPr>
          <w:p>
            <w:pPr>
              <w:jc w:val="center"/>
            </w:pPr>
            <w:r>
              <w:rPr>
                <w:rFonts w:ascii="Arial" w:cs="Arial" w:eastAsia="Arial" w:hAnsi="Arial"/>
                <w:b/>
                <w:bCs/>
                <w:color w:val="0A0A0A"/>
                <w:sz w:val="19"/>
                <w:szCs w:val="19"/>
              </w:rPr>
              <w:t xml:space="preserve">M2</w:t>
            </w:r>
          </w:p>
        </w:tc>
        <w:tc>
          <w:tcPr>
            <w:tcW w:type="dxa" w:w="2000"/>
            <w:tcBorders>
              <w:top w:val="single" w:color="CCCCCC" w:sz="1"/>
              <w:left w:val="single" w:color="CCCCCC" w:sz="1"/>
              <w:bottom w:val="single" w:color="CCCCCC" w:sz="1"/>
              <w:right w:val="single" w:color="CCCCCC" w:sz="1"/>
            </w:tcBorders>
            <w:shd w:fill="F4F4F2" w:val="clear"/>
            <w:tcMar>
              <w:top w:type="dxa" w:w="80"/>
              <w:left w:type="dxa" w:w="120"/>
              <w:bottom w:type="dxa" w:w="80"/>
              <w:right w:type="dxa" w:w="80"/>
            </w:tcMar>
          </w:tcPr>
          <w:p>
            <w:r>
              <w:rPr>
                <w:rFonts w:ascii="Arial" w:cs="Arial" w:eastAsia="Arial" w:hAnsi="Arial"/>
                <w:b/>
                <w:bCs/>
                <w:color w:val="1C1C1C"/>
                <w:sz w:val="19"/>
                <w:szCs w:val="19"/>
              </w:rPr>
              <w:t xml:space="preserve">AIProvider</w:t>
            </w:r>
          </w:p>
        </w:tc>
        <w:tc>
          <w:tcPr>
            <w:tcW w:type="dxa" w:w="3760"/>
            <w:tcBorders>
              <w:top w:val="single" w:color="CCCCCC" w:sz="1"/>
              <w:left w:val="single" w:color="CCCCCC" w:sz="1"/>
              <w:bottom w:val="single" w:color="CCCCCC" w:sz="1"/>
              <w:right w:val="single" w:color="CCCCCC" w:sz="1"/>
            </w:tcBorders>
            <w:shd w:fill="F4F4F2" w:val="clear"/>
            <w:tcMar>
              <w:top w:type="dxa" w:w="80"/>
              <w:left w:type="dxa" w:w="120"/>
              <w:bottom w:type="dxa" w:w="80"/>
              <w:right w:type="dxa" w:w="80"/>
            </w:tcMar>
          </w:tcPr>
          <w:p>
            <w:r>
              <w:rPr>
                <w:rFonts w:ascii="Arial" w:cs="Arial" w:eastAsia="Arial" w:hAnsi="Arial"/>
                <w:color w:val="4A4A4A"/>
                <w:sz w:val="18"/>
                <w:szCs w:val="18"/>
              </w:rPr>
              <w:t xml:space="preserve">Interfaz de abstracción de IA con factory pattern. Implementaciones: Claude, Gemini, Groq, OpenRouter</w:t>
            </w:r>
          </w:p>
        </w:tc>
        <w:tc>
          <w:tcPr>
            <w:tcW w:type="dxa" w:w="2000"/>
            <w:tcBorders>
              <w:top w:val="single" w:color="CCCCCC" w:sz="1"/>
              <w:left w:val="single" w:color="CCCCCC" w:sz="1"/>
              <w:bottom w:val="single" w:color="CCCCCC" w:sz="1"/>
              <w:right w:val="single" w:color="CCCCCC" w:sz="1"/>
            </w:tcBorders>
            <w:shd w:fill="F4F4F2" w:val="clear"/>
            <w:tcMar>
              <w:top w:type="dxa" w:w="80"/>
              <w:left w:type="dxa" w:w="120"/>
              <w:bottom w:type="dxa" w:w="80"/>
              <w:right w:type="dxa" w:w="80"/>
            </w:tcMar>
          </w:tcPr>
          <w:p>
            <w:r>
              <w:rPr>
                <w:rFonts w:ascii="Arial" w:cs="Arial" w:eastAsia="Arial" w:hAnsi="Arial"/>
                <w:i/>
                <w:iCs/>
                <w:color w:val="3A3A3A"/>
                <w:sz w:val="17"/>
                <w:szCs w:val="17"/>
              </w:rPr>
              <w:t xml:space="preserve">Go, HTTP</w:t>
            </w:r>
          </w:p>
        </w:tc>
        <w:tc>
          <w:tcPr>
            <w:tcW w:type="dxa" w:w="1100"/>
            <w:tcBorders>
              <w:top w:val="single" w:color="CCCCCC" w:sz="1"/>
              <w:left w:val="single" w:color="CCCCCC" w:sz="1"/>
              <w:bottom w:val="single" w:color="CCCCCC" w:sz="1"/>
              <w:right w:val="single" w:color="CCCCCC" w:sz="1"/>
            </w:tcBorders>
            <w:shd w:fill="F4F4F2" w:val="clear"/>
            <w:tcMar>
              <w:top w:type="dxa" w:w="80"/>
              <w:left w:type="dxa" w:w="80"/>
              <w:bottom w:type="dxa" w:w="80"/>
              <w:right w:type="dxa" w:w="80"/>
            </w:tcMar>
          </w:tcPr>
          <w:p>
            <w:pPr>
              <w:jc w:val="center"/>
            </w:pPr>
            <w:r>
              <w:rPr>
                <w:rFonts w:ascii="Arial" w:cs="Arial" w:eastAsia="Arial" w:hAnsi="Arial"/>
                <w:b/>
                <w:bCs/>
                <w:color w:val="2D6A2D"/>
                <w:sz w:val="18"/>
                <w:szCs w:val="18"/>
              </w:rPr>
              <w:t xml:space="preserve">✓ MVP</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80"/>
            </w:tcMar>
          </w:tcPr>
          <w:p>
            <w:pPr>
              <w:jc w:val="center"/>
            </w:pPr>
            <w:r>
              <w:rPr>
                <w:rFonts w:ascii="Arial" w:cs="Arial" w:eastAsia="Arial" w:hAnsi="Arial"/>
                <w:b/>
                <w:bCs/>
                <w:color w:val="0A0A0A"/>
                <w:sz w:val="19"/>
                <w:szCs w:val="19"/>
              </w:rPr>
              <w:t xml:space="preserve">M3</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bCs/>
                <w:color w:val="1C1C1C"/>
                <w:sz w:val="19"/>
                <w:szCs w:val="19"/>
              </w:rPr>
              <w:t xml:space="preserve">Recolector de Vacantes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color w:val="4A4A4A"/>
                <w:sz w:val="18"/>
                <w:szCs w:val="18"/>
              </w:rPr>
              <w:t xml:space="preserve">Scraping multiportal con deduplicación, normalización y generación de embeddings locales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i/>
                <w:iCs/>
                <w:color w:val="3A3A3A"/>
                <w:sz w:val="17"/>
                <w:szCs w:val="17"/>
              </w:rPr>
              <w:t xml:space="preserve">Node.js, Playwright</w:t>
            </w:r>
          </w:p>
        </w:tc>
        <w:tc>
          <w:tcPr>
            <w:tcW w:type="dxa" w:w="11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jc w:val="center"/>
            </w:pPr>
            <w:r>
              <w:rPr>
                <w:rFonts w:ascii="Arial" w:cs="Arial" w:eastAsia="Arial" w:hAnsi="Arial"/>
                <w:b/>
                <w:bCs/>
                <w:color w:val="2D6A2D"/>
                <w:sz w:val="18"/>
                <w:szCs w:val="18"/>
              </w:rPr>
              <w:t xml:space="preserve">✓ MVP</w:t>
            </w:r>
          </w:p>
        </w:tc>
      </w:tr>
      <w:tr>
        <w:tc>
          <w:tcPr>
            <w:tcW w:type="dxa" w:w="500"/>
            <w:tcBorders>
              <w:top w:val="single" w:color="CCCCCC" w:sz="1"/>
              <w:left w:val="single" w:color="CCCCCC" w:sz="1"/>
              <w:bottom w:val="single" w:color="CCCCCC" w:sz="1"/>
              <w:right w:val="single" w:color="CCCCCC" w:sz="1"/>
            </w:tcBorders>
            <w:shd w:fill="F4F4F2" w:val="clear"/>
            <w:tcMar>
              <w:top w:type="dxa" w:w="80"/>
              <w:left w:type="dxa" w:w="100"/>
              <w:bottom w:type="dxa" w:w="80"/>
              <w:right w:type="dxa" w:w="80"/>
            </w:tcMar>
          </w:tcPr>
          <w:p>
            <w:pPr>
              <w:jc w:val="center"/>
            </w:pPr>
            <w:r>
              <w:rPr>
                <w:rFonts w:ascii="Arial" w:cs="Arial" w:eastAsia="Arial" w:hAnsi="Arial"/>
                <w:b/>
                <w:bCs/>
                <w:color w:val="0A0A0A"/>
                <w:sz w:val="19"/>
                <w:szCs w:val="19"/>
              </w:rPr>
              <w:t xml:space="preserve">M4</w:t>
            </w:r>
          </w:p>
        </w:tc>
        <w:tc>
          <w:tcPr>
            <w:tcW w:type="dxa" w:w="2000"/>
            <w:tcBorders>
              <w:top w:val="single" w:color="CCCCCC" w:sz="1"/>
              <w:left w:val="single" w:color="CCCCCC" w:sz="1"/>
              <w:bottom w:val="single" w:color="CCCCCC" w:sz="1"/>
              <w:right w:val="single" w:color="CCCCCC" w:sz="1"/>
            </w:tcBorders>
            <w:shd w:fill="F4F4F2" w:val="clear"/>
            <w:tcMar>
              <w:top w:type="dxa" w:w="80"/>
              <w:left w:type="dxa" w:w="120"/>
              <w:bottom w:type="dxa" w:w="80"/>
              <w:right w:type="dxa" w:w="80"/>
            </w:tcMar>
          </w:tcPr>
          <w:p>
            <w:r>
              <w:rPr>
                <w:rFonts w:ascii="Arial" w:cs="Arial" w:eastAsia="Arial" w:hAnsi="Arial"/>
                <w:b/>
                <w:bCs/>
                <w:color w:val="1C1C1C"/>
                <w:sz w:val="19"/>
                <w:szCs w:val="19"/>
              </w:rPr>
              <w:t xml:space="preserve">Analizador IA</w:t>
            </w:r>
          </w:p>
        </w:tc>
        <w:tc>
          <w:tcPr>
            <w:tcW w:type="dxa" w:w="3760"/>
            <w:tcBorders>
              <w:top w:val="single" w:color="CCCCCC" w:sz="1"/>
              <w:left w:val="single" w:color="CCCCCC" w:sz="1"/>
              <w:bottom w:val="single" w:color="CCCCCC" w:sz="1"/>
              <w:right w:val="single" w:color="CCCCCC" w:sz="1"/>
            </w:tcBorders>
            <w:shd w:fill="F4F4F2" w:val="clear"/>
            <w:tcMar>
              <w:top w:type="dxa" w:w="80"/>
              <w:left w:type="dxa" w:w="120"/>
              <w:bottom w:type="dxa" w:w="80"/>
              <w:right w:type="dxa" w:w="80"/>
            </w:tcMar>
          </w:tcPr>
          <w:p>
            <w:r>
              <w:rPr>
                <w:rFonts w:ascii="Arial" w:cs="Arial" w:eastAsia="Arial" w:hAnsi="Arial"/>
                <w:color w:val="4A4A4A"/>
                <w:sz w:val="18"/>
                <w:szCs w:val="18"/>
              </w:rPr>
              <w:t xml:space="preserve">Evaluación de compatibilidad vacante-perfil con scoring, brechas y recomendación final</w:t>
            </w:r>
          </w:p>
        </w:tc>
        <w:tc>
          <w:tcPr>
            <w:tcW w:type="dxa" w:w="2000"/>
            <w:tcBorders>
              <w:top w:val="single" w:color="CCCCCC" w:sz="1"/>
              <w:left w:val="single" w:color="CCCCCC" w:sz="1"/>
              <w:bottom w:val="single" w:color="CCCCCC" w:sz="1"/>
              <w:right w:val="single" w:color="CCCCCC" w:sz="1"/>
            </w:tcBorders>
            <w:shd w:fill="F4F4F2" w:val="clear"/>
            <w:tcMar>
              <w:top w:type="dxa" w:w="80"/>
              <w:left w:type="dxa" w:w="120"/>
              <w:bottom w:type="dxa" w:w="80"/>
              <w:right w:type="dxa" w:w="80"/>
            </w:tcMar>
          </w:tcPr>
          <w:p>
            <w:r>
              <w:rPr>
                <w:rFonts w:ascii="Arial" w:cs="Arial" w:eastAsia="Arial" w:hAnsi="Arial"/>
                <w:i/>
                <w:iCs/>
                <w:color w:val="3A3A3A"/>
                <w:sz w:val="17"/>
                <w:szCs w:val="17"/>
              </w:rPr>
              <w:t xml:space="preserve">Go + AIProvider</w:t>
            </w:r>
          </w:p>
        </w:tc>
        <w:tc>
          <w:tcPr>
            <w:tcW w:type="dxa" w:w="1100"/>
            <w:tcBorders>
              <w:top w:val="single" w:color="CCCCCC" w:sz="1"/>
              <w:left w:val="single" w:color="CCCCCC" w:sz="1"/>
              <w:bottom w:val="single" w:color="CCCCCC" w:sz="1"/>
              <w:right w:val="single" w:color="CCCCCC" w:sz="1"/>
            </w:tcBorders>
            <w:shd w:fill="F4F4F2" w:val="clear"/>
            <w:tcMar>
              <w:top w:type="dxa" w:w="80"/>
              <w:left w:type="dxa" w:w="80"/>
              <w:bottom w:type="dxa" w:w="80"/>
              <w:right w:type="dxa" w:w="80"/>
            </w:tcMar>
          </w:tcPr>
          <w:p>
            <w:pPr>
              <w:jc w:val="center"/>
            </w:pPr>
            <w:r>
              <w:rPr>
                <w:rFonts w:ascii="Arial" w:cs="Arial" w:eastAsia="Arial" w:hAnsi="Arial"/>
                <w:b/>
                <w:bCs/>
                <w:color w:val="2D6A2D"/>
                <w:sz w:val="18"/>
                <w:szCs w:val="18"/>
              </w:rPr>
              <w:t xml:space="preserve">✓ MVP</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80"/>
            </w:tcMar>
          </w:tcPr>
          <w:p>
            <w:pPr>
              <w:jc w:val="center"/>
            </w:pPr>
            <w:r>
              <w:rPr>
                <w:rFonts w:ascii="Arial" w:cs="Arial" w:eastAsia="Arial" w:hAnsi="Arial"/>
                <w:b/>
                <w:bCs/>
                <w:color w:val="0A0A0A"/>
                <w:sz w:val="19"/>
                <w:szCs w:val="19"/>
              </w:rPr>
              <w:t xml:space="preserve">M5</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bCs/>
                <w:color w:val="1C1C1C"/>
                <w:sz w:val="19"/>
                <w:szCs w:val="19"/>
              </w:rPr>
              <w:t xml:space="preserve">Adaptador de CV</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color w:val="4A4A4A"/>
                <w:sz w:val="18"/>
                <w:szCs w:val="18"/>
              </w:rPr>
              <w:t xml:space="preserve">Reescritura del CV base orientada a vacante específica, preservando coherencia profesional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i/>
                <w:iCs/>
                <w:color w:val="3A3A3A"/>
                <w:sz w:val="17"/>
                <w:szCs w:val="17"/>
              </w:rPr>
              <w:t xml:space="preserve">Go + AIProvider</w:t>
            </w:r>
          </w:p>
        </w:tc>
        <w:tc>
          <w:tcPr>
            <w:tcW w:type="dxa" w:w="11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jc w:val="center"/>
            </w:pPr>
            <w:r>
              <w:rPr>
                <w:rFonts w:ascii="Arial" w:cs="Arial" w:eastAsia="Arial" w:hAnsi="Arial"/>
                <w:b/>
                <w:bCs/>
                <w:color w:val="2D6A2D"/>
                <w:sz w:val="18"/>
                <w:szCs w:val="18"/>
              </w:rPr>
              <w:t xml:space="preserve">✓ MVP</w:t>
            </w:r>
          </w:p>
        </w:tc>
      </w:tr>
      <w:tr>
        <w:tc>
          <w:tcPr>
            <w:tcW w:type="dxa" w:w="500"/>
            <w:tcBorders>
              <w:top w:val="single" w:color="CCCCCC" w:sz="1"/>
              <w:left w:val="single" w:color="CCCCCC" w:sz="1"/>
              <w:bottom w:val="single" w:color="CCCCCC" w:sz="1"/>
              <w:right w:val="single" w:color="CCCCCC" w:sz="1"/>
            </w:tcBorders>
            <w:shd w:fill="F4F4F2" w:val="clear"/>
            <w:tcMar>
              <w:top w:type="dxa" w:w="80"/>
              <w:left w:type="dxa" w:w="100"/>
              <w:bottom w:type="dxa" w:w="80"/>
              <w:right w:type="dxa" w:w="80"/>
            </w:tcMar>
          </w:tcPr>
          <w:p>
            <w:pPr>
              <w:jc w:val="center"/>
            </w:pPr>
            <w:r>
              <w:rPr>
                <w:rFonts w:ascii="Arial" w:cs="Arial" w:eastAsia="Arial" w:hAnsi="Arial"/>
                <w:b/>
                <w:bCs/>
                <w:color w:val="0A0A0A"/>
                <w:sz w:val="19"/>
                <w:szCs w:val="19"/>
              </w:rPr>
              <w:t xml:space="preserve">M6</w:t>
            </w:r>
          </w:p>
        </w:tc>
        <w:tc>
          <w:tcPr>
            <w:tcW w:type="dxa" w:w="2000"/>
            <w:tcBorders>
              <w:top w:val="single" w:color="CCCCCC" w:sz="1"/>
              <w:left w:val="single" w:color="CCCCCC" w:sz="1"/>
              <w:bottom w:val="single" w:color="CCCCCC" w:sz="1"/>
              <w:right w:val="single" w:color="CCCCCC" w:sz="1"/>
            </w:tcBorders>
            <w:shd w:fill="F4F4F2" w:val="clear"/>
            <w:tcMar>
              <w:top w:type="dxa" w:w="80"/>
              <w:left w:type="dxa" w:w="120"/>
              <w:bottom w:type="dxa" w:w="80"/>
              <w:right w:type="dxa" w:w="80"/>
            </w:tcMar>
          </w:tcPr>
          <w:p>
            <w:r>
              <w:rPr>
                <w:rFonts w:ascii="Arial" w:cs="Arial" w:eastAsia="Arial" w:hAnsi="Arial"/>
                <w:b/>
                <w:bCs/>
                <w:color w:val="1C1C1C"/>
                <w:sz w:val="19"/>
                <w:szCs w:val="19"/>
              </w:rPr>
              <w:t xml:space="preserve">Almacenamiento Qdrant</w:t>
            </w:r>
          </w:p>
        </w:tc>
        <w:tc>
          <w:tcPr>
            <w:tcW w:type="dxa" w:w="3760"/>
            <w:tcBorders>
              <w:top w:val="single" w:color="CCCCCC" w:sz="1"/>
              <w:left w:val="single" w:color="CCCCCC" w:sz="1"/>
              <w:bottom w:val="single" w:color="CCCCCC" w:sz="1"/>
              <w:right w:val="single" w:color="CCCCCC" w:sz="1"/>
            </w:tcBorders>
            <w:shd w:fill="F4F4F2" w:val="clear"/>
            <w:tcMar>
              <w:top w:type="dxa" w:w="80"/>
              <w:left w:type="dxa" w:w="120"/>
              <w:bottom w:type="dxa" w:w="80"/>
              <w:right w:type="dxa" w:w="80"/>
            </w:tcMar>
          </w:tcPr>
          <w:p>
            <w:r>
              <w:rPr>
                <w:rFonts w:ascii="Arial" w:cs="Arial" w:eastAsia="Arial" w:hAnsi="Arial"/>
                <w:color w:val="4A4A4A"/>
                <w:sz w:val="18"/>
                <w:szCs w:val="18"/>
              </w:rPr>
              <w:t xml:space="preserve">Colecciones: jobs, perfil, cv_versions, memoria de contexto — vector + payload unificados</w:t>
            </w:r>
          </w:p>
        </w:tc>
        <w:tc>
          <w:tcPr>
            <w:tcW w:type="dxa" w:w="2000"/>
            <w:tcBorders>
              <w:top w:val="single" w:color="CCCCCC" w:sz="1"/>
              <w:left w:val="single" w:color="CCCCCC" w:sz="1"/>
              <w:bottom w:val="single" w:color="CCCCCC" w:sz="1"/>
              <w:right w:val="single" w:color="CCCCCC" w:sz="1"/>
            </w:tcBorders>
            <w:shd w:fill="F4F4F2" w:val="clear"/>
            <w:tcMar>
              <w:top w:type="dxa" w:w="80"/>
              <w:left w:type="dxa" w:w="120"/>
              <w:bottom w:type="dxa" w:w="80"/>
              <w:right w:type="dxa" w:w="80"/>
            </w:tcMar>
          </w:tcPr>
          <w:p>
            <w:r>
              <w:rPr>
                <w:rFonts w:ascii="Arial" w:cs="Arial" w:eastAsia="Arial" w:hAnsi="Arial"/>
                <w:i/>
                <w:iCs/>
                <w:color w:val="3A3A3A"/>
                <w:sz w:val="17"/>
                <w:szCs w:val="17"/>
              </w:rPr>
              <w:t xml:space="preserve">Qdrant v1.16</w:t>
            </w:r>
          </w:p>
        </w:tc>
        <w:tc>
          <w:tcPr>
            <w:tcW w:type="dxa" w:w="1100"/>
            <w:tcBorders>
              <w:top w:val="single" w:color="CCCCCC" w:sz="1"/>
              <w:left w:val="single" w:color="CCCCCC" w:sz="1"/>
              <w:bottom w:val="single" w:color="CCCCCC" w:sz="1"/>
              <w:right w:val="single" w:color="CCCCCC" w:sz="1"/>
            </w:tcBorders>
            <w:shd w:fill="F4F4F2" w:val="clear"/>
            <w:tcMar>
              <w:top w:type="dxa" w:w="80"/>
              <w:left w:type="dxa" w:w="80"/>
              <w:bottom w:type="dxa" w:w="80"/>
              <w:right w:type="dxa" w:w="80"/>
            </w:tcMar>
          </w:tcPr>
          <w:p>
            <w:pPr>
              <w:jc w:val="center"/>
            </w:pPr>
            <w:r>
              <w:rPr>
                <w:rFonts w:ascii="Arial" w:cs="Arial" w:eastAsia="Arial" w:hAnsi="Arial"/>
                <w:b/>
                <w:bCs/>
                <w:color w:val="2D6A2D"/>
                <w:sz w:val="18"/>
                <w:szCs w:val="18"/>
              </w:rPr>
              <w:t xml:space="preserve">✓ MVP</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80"/>
            </w:tcMar>
          </w:tcPr>
          <w:p>
            <w:pPr>
              <w:jc w:val="center"/>
            </w:pPr>
            <w:r>
              <w:rPr>
                <w:rFonts w:ascii="Arial" w:cs="Arial" w:eastAsia="Arial" w:hAnsi="Arial"/>
                <w:b/>
                <w:bCs/>
                <w:color w:val="0A0A0A"/>
                <w:sz w:val="19"/>
                <w:szCs w:val="19"/>
              </w:rPr>
              <w:t xml:space="preserve">M7</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bCs/>
                <w:color w:val="1C1C1C"/>
                <w:sz w:val="19"/>
                <w:szCs w:val="19"/>
              </w:rPr>
              <w:t xml:space="preserve">Postulación Asistida</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color w:val="4A4A4A"/>
                <w:sz w:val="18"/>
                <w:szCs w:val="18"/>
              </w:rPr>
              <w:t xml:space="preserve">Evaluación de conveniencia y flujo semiautomático con confirmación explícita del usuario</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i/>
                <w:iCs/>
                <w:color w:val="3A3A3A"/>
                <w:sz w:val="17"/>
                <w:szCs w:val="17"/>
              </w:rPr>
              <w:t xml:space="preserve">Go, Playwright</w:t>
            </w:r>
          </w:p>
        </w:tc>
        <w:tc>
          <w:tcPr>
            <w:tcW w:type="dxa" w:w="11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jc w:val="center"/>
            </w:pPr>
            <w:r>
              <w:rPr>
                <w:rFonts w:ascii="Arial" w:cs="Arial" w:eastAsia="Arial" w:hAnsi="Arial"/>
                <w:b/>
                <w:bCs/>
                <w:color w:val="7A5500"/>
                <w:sz w:val="18"/>
                <w:szCs w:val="18"/>
              </w:rPr>
              <w:t xml:space="preserve">Fase 2</w:t>
            </w:r>
          </w:p>
        </w:tc>
      </w:tr>
      <w:tr>
        <w:tc>
          <w:tcPr>
            <w:tcW w:type="dxa" w:w="500"/>
            <w:tcBorders>
              <w:top w:val="single" w:color="CCCCCC" w:sz="1"/>
              <w:left w:val="single" w:color="CCCCCC" w:sz="1"/>
              <w:bottom w:val="single" w:color="CCCCCC" w:sz="1"/>
              <w:right w:val="single" w:color="CCCCCC" w:sz="1"/>
            </w:tcBorders>
            <w:shd w:fill="F4F4F2" w:val="clear"/>
            <w:tcMar>
              <w:top w:type="dxa" w:w="80"/>
              <w:left w:type="dxa" w:w="100"/>
              <w:bottom w:type="dxa" w:w="80"/>
              <w:right w:type="dxa" w:w="80"/>
            </w:tcMar>
          </w:tcPr>
          <w:p>
            <w:pPr>
              <w:jc w:val="center"/>
            </w:pPr>
            <w:r>
              <w:rPr>
                <w:rFonts w:ascii="Arial" w:cs="Arial" w:eastAsia="Arial" w:hAnsi="Arial"/>
                <w:b/>
                <w:bCs/>
                <w:color w:val="0A0A0A"/>
                <w:sz w:val="19"/>
                <w:szCs w:val="19"/>
              </w:rPr>
              <w:t xml:space="preserve">M8</w:t>
            </w:r>
          </w:p>
        </w:tc>
        <w:tc>
          <w:tcPr>
            <w:tcW w:type="dxa" w:w="2000"/>
            <w:tcBorders>
              <w:top w:val="single" w:color="CCCCCC" w:sz="1"/>
              <w:left w:val="single" w:color="CCCCCC" w:sz="1"/>
              <w:bottom w:val="single" w:color="CCCCCC" w:sz="1"/>
              <w:right w:val="single" w:color="CCCCCC" w:sz="1"/>
            </w:tcBorders>
            <w:shd w:fill="F4F4F2" w:val="clear"/>
            <w:tcMar>
              <w:top w:type="dxa" w:w="80"/>
              <w:left w:type="dxa" w:w="120"/>
              <w:bottom w:type="dxa" w:w="80"/>
              <w:right w:type="dxa" w:w="80"/>
            </w:tcMar>
          </w:tcPr>
          <w:p>
            <w:r>
              <w:rPr>
                <w:rFonts w:ascii="Arial" w:cs="Arial" w:eastAsia="Arial" w:hAnsi="Arial"/>
                <w:b/>
                <w:bCs/>
                <w:color w:val="1C1C1C"/>
                <w:sz w:val="19"/>
                <w:szCs w:val="19"/>
              </w:rPr>
              <w:t xml:space="preserve">Dashboard Web</w:t>
            </w:r>
          </w:p>
        </w:tc>
        <w:tc>
          <w:tcPr>
            <w:tcW w:type="dxa" w:w="3760"/>
            <w:tcBorders>
              <w:top w:val="single" w:color="CCCCCC" w:sz="1"/>
              <w:left w:val="single" w:color="CCCCCC" w:sz="1"/>
              <w:bottom w:val="single" w:color="CCCCCC" w:sz="1"/>
              <w:right w:val="single" w:color="CCCCCC" w:sz="1"/>
            </w:tcBorders>
            <w:shd w:fill="F4F4F2" w:val="clear"/>
            <w:tcMar>
              <w:top w:type="dxa" w:w="80"/>
              <w:left w:type="dxa" w:w="120"/>
              <w:bottom w:type="dxa" w:w="80"/>
              <w:right w:type="dxa" w:w="80"/>
            </w:tcMar>
          </w:tcPr>
          <w:p>
            <w:r>
              <w:rPr>
                <w:rFonts w:ascii="Arial" w:cs="Arial" w:eastAsia="Arial" w:hAnsi="Arial"/>
                <w:color w:val="4A4A4A"/>
                <w:sz w:val="18"/>
                <w:szCs w:val="18"/>
              </w:rPr>
              <w:t xml:space="preserve">Visualización del pipeline de postulaciones, estadísticas y estado de candidaturas</w:t>
            </w:r>
          </w:p>
        </w:tc>
        <w:tc>
          <w:tcPr>
            <w:tcW w:type="dxa" w:w="2000"/>
            <w:tcBorders>
              <w:top w:val="single" w:color="CCCCCC" w:sz="1"/>
              <w:left w:val="single" w:color="CCCCCC" w:sz="1"/>
              <w:bottom w:val="single" w:color="CCCCCC" w:sz="1"/>
              <w:right w:val="single" w:color="CCCCCC" w:sz="1"/>
            </w:tcBorders>
            <w:shd w:fill="F4F4F2" w:val="clear"/>
            <w:tcMar>
              <w:top w:type="dxa" w:w="80"/>
              <w:left w:type="dxa" w:w="120"/>
              <w:bottom w:type="dxa" w:w="80"/>
              <w:right w:type="dxa" w:w="80"/>
            </w:tcMar>
          </w:tcPr>
          <w:p>
            <w:r>
              <w:rPr>
                <w:rFonts w:ascii="Arial" w:cs="Arial" w:eastAsia="Arial" w:hAnsi="Arial"/>
                <w:i/>
                <w:iCs/>
                <w:color w:val="3A3A3A"/>
                <w:sz w:val="17"/>
                <w:szCs w:val="17"/>
              </w:rPr>
              <w:t xml:space="preserve">Next.js, Tailwind</w:t>
            </w:r>
          </w:p>
        </w:tc>
        <w:tc>
          <w:tcPr>
            <w:tcW w:type="dxa" w:w="1100"/>
            <w:tcBorders>
              <w:top w:val="single" w:color="CCCCCC" w:sz="1"/>
              <w:left w:val="single" w:color="CCCCCC" w:sz="1"/>
              <w:bottom w:val="single" w:color="CCCCCC" w:sz="1"/>
              <w:right w:val="single" w:color="CCCCCC" w:sz="1"/>
            </w:tcBorders>
            <w:shd w:fill="F4F4F2" w:val="clear"/>
            <w:tcMar>
              <w:top w:type="dxa" w:w="80"/>
              <w:left w:type="dxa" w:w="80"/>
              <w:bottom w:type="dxa" w:w="80"/>
              <w:right w:type="dxa" w:w="80"/>
            </w:tcMar>
          </w:tcPr>
          <w:p>
            <w:pPr>
              <w:jc w:val="center"/>
            </w:pPr>
            <w:r>
              <w:rPr>
                <w:rFonts w:ascii="Arial" w:cs="Arial" w:eastAsia="Arial" w:hAnsi="Arial"/>
                <w:b/>
                <w:bCs/>
                <w:color w:val="7A5500"/>
                <w:sz w:val="18"/>
                <w:szCs w:val="18"/>
              </w:rPr>
              <w:t xml:space="preserve">Fase 2</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80"/>
            </w:tcMar>
          </w:tcPr>
          <w:p>
            <w:pPr>
              <w:jc w:val="center"/>
            </w:pPr>
            <w:r>
              <w:rPr>
                <w:rFonts w:ascii="Arial" w:cs="Arial" w:eastAsia="Arial" w:hAnsi="Arial"/>
                <w:b/>
                <w:bCs/>
                <w:color w:val="0A0A0A"/>
                <w:sz w:val="19"/>
                <w:szCs w:val="19"/>
              </w:rPr>
              <w:t xml:space="preserve">M9</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bCs/>
                <w:color w:val="1C1C1C"/>
                <w:sz w:val="19"/>
                <w:szCs w:val="19"/>
              </w:rPr>
              <w:t xml:space="preserve">Notificaciones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color w:val="4A4A4A"/>
                <w:sz w:val="18"/>
                <w:szCs w:val="18"/>
              </w:rPr>
              <w:t xml:space="preserve">Alertas por nuevas vacantes prioritarias vía correo o Telegram</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i/>
                <w:iCs/>
                <w:color w:val="3A3A3A"/>
                <w:sz w:val="17"/>
                <w:szCs w:val="17"/>
              </w:rPr>
              <w:t xml:space="preserve">Go, SMTP/Bot API</w:t>
            </w:r>
          </w:p>
        </w:tc>
        <w:tc>
          <w:tcPr>
            <w:tcW w:type="dxa" w:w="11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jc w:val="center"/>
            </w:pPr>
            <w:r>
              <w:rPr>
                <w:rFonts w:ascii="Arial" w:cs="Arial" w:eastAsia="Arial" w:hAnsi="Arial"/>
                <w:b/>
                <w:bCs/>
                <w:color w:val="7A5500"/>
                <w:sz w:val="18"/>
                <w:szCs w:val="18"/>
              </w:rPr>
              <w:t xml:space="preserve">Fase 3</w:t>
            </w:r>
          </w:p>
        </w:tc>
      </w:tr>
    </w:tbl>
    <w:p>
      <w:pPr>
        <w:pBdr>
          <w:bottom w:val="single" w:color="CCCCCC" w:sz="1" w:space="1"/>
        </w:pBdr>
        <w:spacing w:after="280" w:before="280"/>
      </w:pPr>
      <w:r>
        <w:t xml:space="preserve"/>
      </w:r>
    </w:p>
    <w:p>
      <w:pPr>
        <w:pStyle w:val="Heading1"/>
        <w:pBdr>
          <w:bottom w:val="single" w:color="0A0A0A" w:sz="4" w:space="6"/>
        </w:pBdr>
        <w:spacing w:after="160" w:before="400"/>
      </w:pPr>
      <w:r>
        <w:rPr>
          <w:rFonts w:ascii="Arial" w:cs="Arial" w:eastAsia="Arial" w:hAnsi="Arial"/>
          <w:b/>
          <w:bCs/>
          <w:caps/>
          <w:color w:val="0A0A0A"/>
          <w:sz w:val="30"/>
          <w:szCs w:val="30"/>
        </w:rPr>
        <w:t xml:space="preserve">6. Descripción Detallada de Módulos</w:t>
      </w:r>
    </w:p>
    <w:p>
      <w:pPr>
        <w:pStyle w:val="Heading2"/>
        <w:spacing w:after="100" w:before="280"/>
      </w:pPr>
      <w:r>
        <w:rPr>
          <w:rFonts w:ascii="Arial" w:cs="Arial" w:eastAsia="Arial" w:hAnsi="Arial"/>
          <w:b/>
          <w:bCs/>
          <w:color w:val="1C1C1C"/>
          <w:sz w:val="24"/>
          <w:szCs w:val="24"/>
        </w:rPr>
        <w:t xml:space="preserve">M1 — CLI Core</w:t>
      </w:r>
    </w:p>
    <w:p>
      <w:pPr>
        <w:spacing w:after="80" w:before="60"/>
      </w:pPr>
      <w:r>
        <w:rPr>
          <w:rFonts w:ascii="Arial" w:cs="Arial" w:eastAsia="Arial" w:hAnsi="Arial"/>
          <w:color w:val="4A4A4A"/>
          <w:sz w:val="21"/>
          <w:szCs w:val="21"/>
        </w:rPr>
        <w:t xml:space="preserve">Desarrollada en Go con Cobra (gestión de comandos) y Bubble Tea (TUI interactiva). Punto de entrada único del sistema. Gestiona la configuración global del usuario, invoca servicios correspondientes y presenta resultados con formato enriquecido en terminal.</w:t>
      </w:r>
    </w:p>
    <w:p>
      <w:pPr>
        <w:spacing w:after="0" w:before="60"/>
      </w:pPr>
      <w:r>
        <w:t xml:space="preserve"/>
      </w:r>
    </w:p>
    <w:p>
      <w:pPr>
        <w:spacing w:after="80" w:before="60"/>
      </w:pPr>
      <w:r>
        <w:rPr>
          <w:rFonts w:ascii="Arial" w:cs="Arial" w:eastAsia="Arial" w:hAnsi="Arial"/>
          <w:color w:val="4A4A4A"/>
          <w:sz w:val="21"/>
          <w:szCs w:val="21"/>
        </w:rPr>
        <w:t xml:space="preserve">Comandos principales:</w:t>
      </w:r>
    </w:p>
    <w:p>
      <w:pPr>
        <w:pStyle w:val="ListParagraph"/>
        <w:numPr>
          <w:ilvl w:val="0"/>
          <w:numId w:val="2"/>
        </w:numPr>
        <w:spacing w:after="40" w:before="40"/>
      </w:pPr>
      <w:r>
        <w:rPr>
          <w:rFonts w:ascii="Arial" w:cs="Arial" w:eastAsia="Arial" w:hAnsi="Arial"/>
          <w:color w:val="4A4A4A"/>
          <w:sz w:val="21"/>
          <w:szCs w:val="21"/>
        </w:rPr>
        <w:t xml:space="preserve">offertrack search — Lanza búsqueda de vacantes con parámetros configurados</w:t>
      </w:r>
    </w:p>
    <w:p>
      <w:pPr>
        <w:pStyle w:val="ListParagraph"/>
        <w:numPr>
          <w:ilvl w:val="0"/>
          <w:numId w:val="2"/>
        </w:numPr>
        <w:spacing w:after="40" w:before="40"/>
      </w:pPr>
      <w:r>
        <w:rPr>
          <w:rFonts w:ascii="Arial" w:cs="Arial" w:eastAsia="Arial" w:hAnsi="Arial"/>
          <w:color w:val="4A4A4A"/>
          <w:sz w:val="21"/>
          <w:szCs w:val="21"/>
        </w:rPr>
        <w:t xml:space="preserve">offertrack analyze &lt;id&gt; — Analiza vacante específica contra perfil del usuario</w:t>
      </w:r>
    </w:p>
    <w:p>
      <w:pPr>
        <w:pStyle w:val="ListParagraph"/>
        <w:numPr>
          <w:ilvl w:val="0"/>
          <w:numId w:val="2"/>
        </w:numPr>
        <w:spacing w:after="40" w:before="40"/>
      </w:pPr>
      <w:r>
        <w:rPr>
          <w:rFonts w:ascii="Arial" w:cs="Arial" w:eastAsia="Arial" w:hAnsi="Arial"/>
          <w:color w:val="4A4A4A"/>
          <w:sz w:val="21"/>
          <w:szCs w:val="21"/>
        </w:rPr>
        <w:t xml:space="preserve">offertrack adapt-cv &lt;id&gt; — Genera CV adaptado para la vacante seleccionada</w:t>
      </w:r>
    </w:p>
    <w:p>
      <w:pPr>
        <w:pStyle w:val="ListParagraph"/>
        <w:numPr>
          <w:ilvl w:val="0"/>
          <w:numId w:val="2"/>
        </w:numPr>
        <w:spacing w:after="40" w:before="40"/>
      </w:pPr>
      <w:r>
        <w:rPr>
          <w:rFonts w:ascii="Arial" w:cs="Arial" w:eastAsia="Arial" w:hAnsi="Arial"/>
          <w:color w:val="4A4A4A"/>
          <w:sz w:val="21"/>
          <w:szCs w:val="21"/>
        </w:rPr>
        <w:t xml:space="preserve">offertrack list — Muestra historial de vacantes con su estado y score</w:t>
      </w:r>
    </w:p>
    <w:p>
      <w:pPr>
        <w:pStyle w:val="ListParagraph"/>
        <w:numPr>
          <w:ilvl w:val="0"/>
          <w:numId w:val="2"/>
        </w:numPr>
        <w:spacing w:after="40" w:before="40"/>
      </w:pPr>
      <w:r>
        <w:rPr>
          <w:rFonts w:ascii="Arial" w:cs="Arial" w:eastAsia="Arial" w:hAnsi="Arial"/>
          <w:color w:val="4A4A4A"/>
          <w:sz w:val="21"/>
          <w:szCs w:val="21"/>
        </w:rPr>
        <w:t xml:space="preserve">offertrack config — Gestiona perfil, preferencias y proveedor de IA activo</w:t>
      </w:r>
    </w:p>
    <w:p>
      <w:pPr>
        <w:pStyle w:val="ListParagraph"/>
        <w:numPr>
          <w:ilvl w:val="0"/>
          <w:numId w:val="2"/>
        </w:numPr>
        <w:spacing w:after="40" w:before="40"/>
      </w:pPr>
      <w:r>
        <w:rPr>
          <w:rFonts w:ascii="Arial" w:cs="Arial" w:eastAsia="Arial" w:hAnsi="Arial"/>
          <w:color w:val="4A4A4A"/>
          <w:sz w:val="21"/>
          <w:szCs w:val="21"/>
        </w:rPr>
        <w:t xml:space="preserve">offertrack config set-provider &lt;nombre&gt; — Cambia proveedor sin recompilar</w:t>
      </w:r>
    </w:p>
    <w:p>
      <w:pPr>
        <w:spacing w:after="0" w:before="80"/>
      </w:pPr>
      <w:r>
        <w:t xml:space="preserve"/>
      </w:r>
    </w:p>
    <w:p>
      <w:pPr>
        <w:pStyle w:val="Heading2"/>
        <w:spacing w:after="100" w:before="280"/>
      </w:pPr>
      <w:r>
        <w:rPr>
          <w:rFonts w:ascii="Arial" w:cs="Arial" w:eastAsia="Arial" w:hAnsi="Arial"/>
          <w:b/>
          <w:bCs/>
          <w:color w:val="1C1C1C"/>
          <w:sz w:val="24"/>
          <w:szCs w:val="24"/>
        </w:rPr>
        <w:t xml:space="preserve">M2 — AIProvider (Arquitectura Provider-Agnostic)</w:t>
      </w:r>
    </w:p>
    <w:p>
      <w:pPr>
        <w:spacing w:after="80" w:before="60"/>
      </w:pPr>
      <w:r>
        <w:rPr>
          <w:rFonts w:ascii="Arial" w:cs="Arial" w:eastAsia="Arial" w:hAnsi="Arial"/>
          <w:color w:val="4A4A4A"/>
          <w:sz w:val="21"/>
          <w:szCs w:val="21"/>
        </w:rPr>
        <w:t xml:space="preserve">El módulo más crítico del sistema. Define la interfaz Go que todos los proveedores implementan y una factory que construye el proveedor correcto según config.yaml. El núcleo nunca importa un proveedor concreto — solo la interfaz.</w:t>
      </w:r>
    </w:p>
    <w:p>
      <w:pPr>
        <w:spacing w:after="0" w:before="60"/>
      </w:pPr>
      <w:r>
        <w:t xml:space="preserve"/>
      </w:r>
    </w:p>
    <w:p>
      <w:pPr>
        <w:spacing w:after="80" w:before="60"/>
      </w:pPr>
      <w:r>
        <w:rPr>
          <w:rFonts w:ascii="Arial" w:cs="Arial" w:eastAsia="Arial" w:hAnsi="Arial"/>
          <w:color w:val="4A4A4A"/>
          <w:sz w:val="21"/>
          <w:szCs w:val="21"/>
        </w:rPr>
        <w:t xml:space="preserve">Estructura de la interfaz:</w:t>
      </w:r>
    </w:p>
    <w:p>
      <w:pPr>
        <w:pStyle w:val="ListParagraph"/>
        <w:numPr>
          <w:ilvl w:val="0"/>
          <w:numId w:val="2"/>
        </w:numPr>
        <w:spacing w:after="40" w:before="40"/>
      </w:pPr>
      <w:r>
        <w:rPr>
          <w:rFonts w:ascii="Arial" w:cs="Arial" w:eastAsia="Arial" w:hAnsi="Arial"/>
          <w:color w:val="4A4A4A"/>
          <w:sz w:val="21"/>
          <w:szCs w:val="21"/>
        </w:rPr>
        <w:t xml:space="preserve">Analyze(ctx, AnalysisRequest) → AnalysisResult — evaluación completa de vacante</w:t>
      </w:r>
    </w:p>
    <w:p>
      <w:pPr>
        <w:pStyle w:val="ListParagraph"/>
        <w:numPr>
          <w:ilvl w:val="0"/>
          <w:numId w:val="2"/>
        </w:numPr>
        <w:spacing w:after="40" w:before="40"/>
      </w:pPr>
      <w:r>
        <w:rPr>
          <w:rFonts w:ascii="Arial" w:cs="Arial" w:eastAsia="Arial" w:hAnsi="Arial"/>
          <w:color w:val="4A4A4A"/>
          <w:sz w:val="21"/>
          <w:szCs w:val="21"/>
        </w:rPr>
        <w:t xml:space="preserve">AdaptCV(ctx, AdaptRequest) → AdaptResult — reescritura inteligente del CV</w:t>
      </w:r>
    </w:p>
    <w:p>
      <w:pPr>
        <w:pStyle w:val="ListParagraph"/>
        <w:numPr>
          <w:ilvl w:val="0"/>
          <w:numId w:val="2"/>
        </w:numPr>
        <w:spacing w:after="40" w:before="40"/>
      </w:pPr>
      <w:r>
        <w:rPr>
          <w:rFonts w:ascii="Arial" w:cs="Arial" w:eastAsia="Arial" w:hAnsi="Arial"/>
          <w:color w:val="4A4A4A"/>
          <w:sz w:val="21"/>
          <w:szCs w:val="21"/>
        </w:rPr>
        <w:t xml:space="preserve">Summarize(ctx, text) → string — condensación de texto largo</w:t>
      </w:r>
    </w:p>
    <w:p>
      <w:pPr>
        <w:pStyle w:val="ListParagraph"/>
        <w:numPr>
          <w:ilvl w:val="0"/>
          <w:numId w:val="2"/>
        </w:numPr>
        <w:spacing w:after="40" w:before="40"/>
      </w:pPr>
      <w:r>
        <w:rPr>
          <w:rFonts w:ascii="Arial" w:cs="Arial" w:eastAsia="Arial" w:hAnsi="Arial"/>
          <w:color w:val="4A4A4A"/>
          <w:sz w:val="21"/>
          <w:szCs w:val="21"/>
        </w:rPr>
        <w:t xml:space="preserve">Name() → string — identificador del proveedor activo para logs y UI</w:t>
      </w:r>
    </w:p>
    <w:p>
      <w:pPr>
        <w:spacing w:after="0" w:before="80"/>
      </w:pPr>
      <w:r>
        <w:t xml:space="preserve"/>
      </w:r>
    </w:p>
    <w:p>
      <w:pPr>
        <w:pStyle w:val="Heading2"/>
        <w:spacing w:after="100" w:before="280"/>
      </w:pPr>
      <w:r>
        <w:rPr>
          <w:rFonts w:ascii="Arial" w:cs="Arial" w:eastAsia="Arial" w:hAnsi="Arial"/>
          <w:b/>
          <w:bCs/>
          <w:color w:val="1C1C1C"/>
          <w:sz w:val="24"/>
          <w:szCs w:val="24"/>
        </w:rPr>
        <w:t xml:space="preserve">M3 — Recolector de Vacantes</w:t>
      </w:r>
    </w:p>
    <w:p>
      <w:pPr>
        <w:spacing w:after="80" w:before="60"/>
      </w:pPr>
      <w:r>
        <w:rPr>
          <w:rFonts w:ascii="Arial" w:cs="Arial" w:eastAsia="Arial" w:hAnsi="Arial"/>
          <w:color w:val="4A4A4A"/>
          <w:sz w:val="21"/>
          <w:szCs w:val="21"/>
        </w:rPr>
        <w:t xml:space="preserve">Microservicio en Node.js + TypeScript que expone una API REST local. Utiliza Playwright para portales con JavaScript dinámico y Cheerio para HTML estático. Incluye rotación de User-Agent, delays aleatorios y manejo de errores por portal. Genera embeddings localmente con fastembed antes de entregar los datos al orquestador Go.</w:t>
      </w:r>
    </w:p>
    <w:p>
      <w:pPr>
        <w:spacing w:after="0" w:before="60"/>
      </w:pPr>
      <w:r>
        <w:t xml:space="preserve"/>
      </w:r>
    </w:p>
    <w:p>
      <w:pPr>
        <w:spacing w:after="80" w:before="60"/>
      </w:pPr>
      <w:r>
        <w:rPr>
          <w:rFonts w:ascii="Arial" w:cs="Arial" w:eastAsia="Arial" w:hAnsi="Arial"/>
          <w:color w:val="4A4A4A"/>
          <w:sz w:val="21"/>
          <w:szCs w:val="21"/>
        </w:rPr>
        <w:t xml:space="preserve">Portales MVP: OCC Mundial, Computrabajo, Indeed México. Fase 2: LinkedIn Jobs, Glassdoor, Bumerán.</w:t>
      </w:r>
    </w:p>
    <w:p>
      <w:pPr>
        <w:spacing w:after="0" w:before="80"/>
      </w:pPr>
      <w:r>
        <w:t xml:space="preserve"/>
      </w:r>
    </w:p>
    <w:p>
      <w:pPr>
        <w:pStyle w:val="Heading2"/>
        <w:spacing w:after="100" w:before="280"/>
      </w:pPr>
      <w:r>
        <w:rPr>
          <w:rFonts w:ascii="Arial" w:cs="Arial" w:eastAsia="Arial" w:hAnsi="Arial"/>
          <w:b/>
          <w:bCs/>
          <w:color w:val="1C1C1C"/>
          <w:sz w:val="24"/>
          <w:szCs w:val="24"/>
        </w:rPr>
        <w:t xml:space="preserve">M4 — Analizador IA</w:t>
      </w:r>
    </w:p>
    <w:p>
      <w:pPr>
        <w:spacing w:after="80" w:before="60"/>
      </w:pPr>
      <w:r>
        <w:rPr>
          <w:rFonts w:ascii="Arial" w:cs="Arial" w:eastAsia="Arial" w:hAnsi="Arial"/>
          <w:color w:val="4A4A4A"/>
          <w:sz w:val="21"/>
          <w:szCs w:val="21"/>
        </w:rPr>
        <w:t xml:space="preserve">Construye prompts estructurados combinando la descripción de la vacante y el perfil del usuario, los envía a través de la interfaz AIProvider y parsea la respuesta JSON. El análisis cubre:</w:t>
      </w:r>
    </w:p>
    <w:p>
      <w:pPr>
        <w:pStyle w:val="ListParagraph"/>
        <w:numPr>
          <w:ilvl w:val="0"/>
          <w:numId w:val="2"/>
        </w:numPr>
        <w:spacing w:after="40" w:before="40"/>
      </w:pPr>
      <w:r>
        <w:rPr>
          <w:rFonts w:ascii="Arial" w:cs="Arial" w:eastAsia="Arial" w:hAnsi="Arial"/>
          <w:color w:val="4A4A4A"/>
          <w:sz w:val="21"/>
          <w:szCs w:val="21"/>
        </w:rPr>
        <w:t xml:space="preserve">Porcentaje de compatibilidad general (0–100%)</w:t>
      </w:r>
    </w:p>
    <w:p>
      <w:pPr>
        <w:pStyle w:val="ListParagraph"/>
        <w:numPr>
          <w:ilvl w:val="0"/>
          <w:numId w:val="2"/>
        </w:numPr>
        <w:spacing w:after="40" w:before="40"/>
      </w:pPr>
      <w:r>
        <w:rPr>
          <w:rFonts w:ascii="Arial" w:cs="Arial" w:eastAsia="Arial" w:hAnsi="Arial"/>
          <w:color w:val="4A4A4A"/>
          <w:sz w:val="21"/>
          <w:szCs w:val="21"/>
        </w:rPr>
        <w:t xml:space="preserve">Requisitos cumplidos vs. requisitos faltantes</w:t>
      </w:r>
    </w:p>
    <w:p>
      <w:pPr>
        <w:pStyle w:val="ListParagraph"/>
        <w:numPr>
          <w:ilvl w:val="0"/>
          <w:numId w:val="2"/>
        </w:numPr>
        <w:spacing w:after="40" w:before="40"/>
      </w:pPr>
      <w:r>
        <w:rPr>
          <w:rFonts w:ascii="Arial" w:cs="Arial" w:eastAsia="Arial" w:hAnsi="Arial"/>
          <w:color w:val="4A4A4A"/>
          <w:sz w:val="21"/>
          <w:szCs w:val="21"/>
        </w:rPr>
        <w:t xml:space="preserve">Brecha de habilidades con recomendaciones de mejora</w:t>
      </w:r>
    </w:p>
    <w:p>
      <w:pPr>
        <w:pStyle w:val="ListParagraph"/>
        <w:numPr>
          <w:ilvl w:val="0"/>
          <w:numId w:val="2"/>
        </w:numPr>
        <w:spacing w:after="40" w:before="40"/>
      </w:pPr>
      <w:r>
        <w:rPr>
          <w:rFonts w:ascii="Arial" w:cs="Arial" w:eastAsia="Arial" w:hAnsi="Arial"/>
          <w:color w:val="4A4A4A"/>
          <w:sz w:val="21"/>
          <w:szCs w:val="21"/>
        </w:rPr>
        <w:t xml:space="preserve">Estimación salarial comparativa con el mercado</w:t>
      </w:r>
    </w:p>
    <w:p>
      <w:pPr>
        <w:pStyle w:val="ListParagraph"/>
        <w:numPr>
          <w:ilvl w:val="0"/>
          <w:numId w:val="2"/>
        </w:numPr>
        <w:spacing w:after="40" w:before="40"/>
      </w:pPr>
      <w:r>
        <w:rPr>
          <w:rFonts w:ascii="Arial" w:cs="Arial" w:eastAsia="Arial" w:hAnsi="Arial"/>
          <w:color w:val="4A4A4A"/>
          <w:sz w:val="21"/>
          <w:szCs w:val="21"/>
        </w:rPr>
        <w:t xml:space="preserve">Ventajas y desventajas de la posición</w:t>
      </w:r>
    </w:p>
    <w:p>
      <w:pPr>
        <w:pStyle w:val="ListParagraph"/>
        <w:numPr>
          <w:ilvl w:val="0"/>
          <w:numId w:val="2"/>
        </w:numPr>
        <w:spacing w:after="40" w:before="40"/>
      </w:pPr>
      <w:r>
        <w:rPr>
          <w:rFonts w:ascii="Arial" w:cs="Arial" w:eastAsia="Arial" w:hAnsi="Arial"/>
          <w:color w:val="4A4A4A"/>
          <w:sz w:val="21"/>
          <w:szCs w:val="21"/>
        </w:rPr>
        <w:t xml:space="preserve">Recomendación final: postular / considerar / descartar</w:t>
      </w:r>
    </w:p>
    <w:p>
      <w:pPr>
        <w:spacing w:after="0" w:before="80"/>
      </w:pPr>
      <w:r>
        <w:t xml:space="preserve"/>
      </w:r>
    </w:p>
    <w:p>
      <w:pPr>
        <w:pStyle w:val="Heading2"/>
        <w:spacing w:after="100" w:before="280"/>
      </w:pPr>
      <w:r>
        <w:rPr>
          <w:rFonts w:ascii="Arial" w:cs="Arial" w:eastAsia="Arial" w:hAnsi="Arial"/>
          <w:b/>
          <w:bCs/>
          <w:color w:val="1C1C1C"/>
          <w:sz w:val="24"/>
          <w:szCs w:val="24"/>
        </w:rPr>
        <w:t xml:space="preserve">M5 — Adaptador de CV</w:t>
      </w:r>
    </w:p>
    <w:p>
      <w:pPr>
        <w:spacing w:after="80" w:before="60"/>
      </w:pPr>
      <w:r>
        <w:rPr>
          <w:rFonts w:ascii="Arial" w:cs="Arial" w:eastAsia="Arial" w:hAnsi="Arial"/>
          <w:color w:val="4A4A4A"/>
          <w:sz w:val="21"/>
          <w:szCs w:val="21"/>
        </w:rPr>
        <w:t xml:space="preserve">Recibe el CV base en formato Markdown estructurado y la descripción de una vacante. Genera un prompt detallado que instruye al proveedor de IA activo a reescribir el CV maximizando relevancia para esa oferta específica.</w:t>
      </w:r>
    </w:p>
    <w:p>
      <w:pPr>
        <w:spacing w:after="0" w:before="60"/>
      </w:pPr>
      <w:r>
        <w:t xml:space="preserve"/>
      </w:r>
    </w:p>
    <w:p>
      <w:pPr>
        <w:spacing w:after="80" w:before="60"/>
      </w:pPr>
      <w:r>
        <w:rPr>
          <w:rFonts w:ascii="Arial" w:cs="Arial" w:eastAsia="Arial" w:hAnsi="Arial"/>
          <w:color w:val="4A4A4A"/>
          <w:sz w:val="21"/>
          <w:szCs w:val="21"/>
        </w:rPr>
        <w:t xml:space="preserve">Restricciones de integridad:</w:t>
      </w:r>
    </w:p>
    <w:p>
      <w:pPr>
        <w:pStyle w:val="ListParagraph"/>
        <w:numPr>
          <w:ilvl w:val="0"/>
          <w:numId w:val="2"/>
        </w:numPr>
        <w:spacing w:after="40" w:before="40"/>
      </w:pPr>
      <w:r>
        <w:rPr>
          <w:rFonts w:ascii="Arial" w:cs="Arial" w:eastAsia="Arial" w:hAnsi="Arial"/>
          <w:color w:val="4A4A4A"/>
          <w:sz w:val="21"/>
          <w:szCs w:val="21"/>
        </w:rPr>
        <w:t xml:space="preserve">No se inventan experiencias ni habilidades inexistentes</w:t>
      </w:r>
    </w:p>
    <w:p>
      <w:pPr>
        <w:pStyle w:val="ListParagraph"/>
        <w:numPr>
          <w:ilvl w:val="0"/>
          <w:numId w:val="2"/>
        </w:numPr>
        <w:spacing w:after="40" w:before="40"/>
      </w:pPr>
      <w:r>
        <w:rPr>
          <w:rFonts w:ascii="Arial" w:cs="Arial" w:eastAsia="Arial" w:hAnsi="Arial"/>
          <w:color w:val="4A4A4A"/>
          <w:sz w:val="21"/>
          <w:szCs w:val="21"/>
        </w:rPr>
        <w:t xml:space="preserve">Toda la información debe estar respaldada en el CV base</w:t>
      </w:r>
    </w:p>
    <w:p>
      <w:pPr>
        <w:pStyle w:val="ListParagraph"/>
        <w:numPr>
          <w:ilvl w:val="0"/>
          <w:numId w:val="2"/>
        </w:numPr>
        <w:spacing w:after="40" w:before="40"/>
      </w:pPr>
      <w:r>
        <w:rPr>
          <w:rFonts w:ascii="Arial" w:cs="Arial" w:eastAsia="Arial" w:hAnsi="Arial"/>
          <w:color w:val="4A4A4A"/>
          <w:sz w:val="21"/>
          <w:szCs w:val="21"/>
        </w:rPr>
        <w:t xml:space="preserve">Se preserva la línea de tiempo laboral y coherencia narrativa</w:t>
      </w:r>
    </w:p>
    <w:p>
      <w:pPr>
        <w:pStyle w:val="ListParagraph"/>
        <w:numPr>
          <w:ilvl w:val="0"/>
          <w:numId w:val="2"/>
        </w:numPr>
        <w:spacing w:after="40" w:before="40"/>
      </w:pPr>
      <w:r>
        <w:rPr>
          <w:rFonts w:ascii="Arial" w:cs="Arial" w:eastAsia="Arial" w:hAnsi="Arial"/>
          <w:color w:val="4A4A4A"/>
          <w:sz w:val="21"/>
          <w:szCs w:val="21"/>
        </w:rPr>
        <w:t xml:space="preserve">Exportación automática en Markdown, PDF y DOCX vía Pandoc</w:t>
      </w:r>
    </w:p>
    <w:p>
      <w:pPr>
        <w:spacing w:after="0" w:before="80"/>
      </w:pPr>
      <w:r>
        <w:t xml:space="preserve"/>
      </w:r>
    </w:p>
    <w:p>
      <w:pPr>
        <w:pStyle w:val="Heading2"/>
        <w:spacing w:after="100" w:before="280"/>
      </w:pPr>
      <w:r>
        <w:rPr>
          <w:rFonts w:ascii="Arial" w:cs="Arial" w:eastAsia="Arial" w:hAnsi="Arial"/>
          <w:b/>
          <w:bCs/>
          <w:color w:val="1C1C1C"/>
          <w:sz w:val="24"/>
          <w:szCs w:val="24"/>
        </w:rPr>
        <w:t xml:space="preserve">M7 — Postulación Asistida (Fase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none" w:color="FFFFFF" w:sz="0"/>
              <w:left w:val="none" w:color="FFFFFF" w:sz="0"/>
              <w:bottom w:val="none" w:color="FFFFFF" w:sz="0"/>
              <w:right w:val="none" w:color="FFFFFF" w:sz="0"/>
            </w:tcBorders>
            <w:shd w:fill="E8E8E8" w:val="clear"/>
            <w:tcMar>
              <w:top w:type="dxa" w:w="120"/>
              <w:left w:type="dxa" w:w="160"/>
              <w:bottom w:type="dxa" w:w="120"/>
              <w:right w:type="dxa" w:w="80"/>
            </w:tcMar>
            <w:vAlign w:val="center"/>
          </w:tcPr>
          <w:p>
            <w:pPr>
              <w:jc w:val="center"/>
            </w:pPr>
            <w:r>
              <w:rPr>
                <w:rFonts w:ascii="Arial" w:cs="Arial" w:eastAsia="Arial" w:hAnsi="Arial"/>
                <w:b/>
                <w:bCs/>
                <w:color w:val="0A0A0A"/>
                <w:sz w:val="18"/>
                <w:szCs w:val="18"/>
              </w:rPr>
              <w:t xml:space="preserve">⚠  DISEÑO DELIBERADO</w:t>
            </w:r>
          </w:p>
        </w:tc>
        <w:tc>
          <w:tcPr>
            <w:tcW w:type="dxa" w:w="7920"/>
            <w:tcBorders>
              <w:top w:val="none" w:color="FFFFFF" w:sz="0"/>
              <w:left w:val="none" w:color="FFFFFF" w:sz="0"/>
              <w:bottom w:val="none" w:color="FFFFFF" w:sz="0"/>
              <w:right w:val="none" w:color="FFFFFF" w:sz="0"/>
            </w:tcBorders>
            <w:shd w:fill="F4F4F2" w:val="clear"/>
            <w:tcMar>
              <w:top w:type="dxa" w:w="120"/>
              <w:left w:type="dxa" w:w="160"/>
              <w:bottom w:type="dxa" w:w="120"/>
              <w:right w:type="dxa" w:w="160"/>
            </w:tcMar>
          </w:tcPr>
          <w:p>
            <w:r>
              <w:rPr>
                <w:rFonts w:ascii="Arial" w:cs="Arial" w:eastAsia="Arial" w:hAnsi="Arial"/>
                <w:color w:val="4A4A4A"/>
                <w:sz w:val="20"/>
                <w:szCs w:val="20"/>
              </w:rPr>
              <w:t xml:space="preserve">La postulación implementa un flujo asistido con confirmación explícita del usuario, no automatización total. El sistema prepara y verifica; el usuario decide el envío final.</w:t>
            </w:r>
          </w:p>
        </w:tc>
      </w:tr>
    </w:tbl>
    <w:p>
      <w:pPr>
        <w:spacing w:after="0" w:before="80"/>
      </w:pPr>
      <w:r>
        <w:t xml:space="preserve"/>
      </w:r>
    </w:p>
    <w:p>
      <w:pPr>
        <w:spacing w:after="80" w:before="60"/>
      </w:pPr>
      <w:r>
        <w:rPr>
          <w:rFonts w:ascii="Arial" w:cs="Arial" w:eastAsia="Arial" w:hAnsi="Arial"/>
          <w:color w:val="4A4A4A"/>
          <w:sz w:val="21"/>
          <w:szCs w:val="21"/>
        </w:rPr>
        <w:t xml:space="preserve">Justificación: los portales de empleo prohíben en sus Términos de Servicio la automatización de postulaciones. Un envío no supervisado puede dañar la reputación del candidato. La revisión humana previa añade criterio que la IA no puede reemplazar completamente.</w:t>
      </w:r>
    </w:p>
    <w:p>
      <w:pPr>
        <w:pBdr>
          <w:bottom w:val="single" w:color="CCCCCC" w:sz="1" w:space="1"/>
        </w:pBdr>
        <w:spacing w:after="280" w:before="280"/>
      </w:pPr>
      <w:r>
        <w:t xml:space="preserve"/>
      </w:r>
    </w:p>
    <w:p>
      <w:pPr>
        <w:pStyle w:val="Heading1"/>
        <w:pBdr>
          <w:bottom w:val="single" w:color="0A0A0A" w:sz="4" w:space="6"/>
        </w:pBdr>
        <w:spacing w:after="160" w:before="400"/>
      </w:pPr>
      <w:r>
        <w:rPr>
          <w:rFonts w:ascii="Arial" w:cs="Arial" w:eastAsia="Arial" w:hAnsi="Arial"/>
          <w:b/>
          <w:bCs/>
          <w:caps/>
          <w:color w:val="0A0A0A"/>
          <w:sz w:val="30"/>
          <w:szCs w:val="30"/>
        </w:rPr>
        <w:t xml:space="preserve">7. Estructura del Repositorio</w:t>
      </w:r>
    </w:p>
    <w:p>
      <w:pPr>
        <w:spacing w:after="80" w:before="60"/>
      </w:pPr>
      <w:r>
        <w:rPr>
          <w:rFonts w:ascii="Arial" w:cs="Arial" w:eastAsia="Arial" w:hAnsi="Arial"/>
          <w:color w:val="4A4A4A"/>
          <w:sz w:val="21"/>
          <w:szCs w:val="21"/>
        </w:rPr>
        <w:t xml:space="preserve">El proyecto se organiza como monorepo con dos módulos independientes: core (Go) y scraper (Node.js), más infraestructura compartida en docker/ y config/.</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none" w:color="FFFFFF" w:sz="0"/>
              <w:left w:val="none" w:color="FFFFFF" w:sz="0"/>
              <w:bottom w:val="none" w:color="FFFFFF" w:sz="0"/>
              <w:right w:val="none" w:color="FFFFFF" w:sz="0"/>
            </w:tcBorders>
            <w:shd w:fill="E8E8E8" w:val="clear"/>
            <w:tcMar>
              <w:top w:type="dxa" w:w="120"/>
              <w:left w:type="dxa" w:w="160"/>
              <w:bottom w:type="dxa" w:w="120"/>
              <w:right w:type="dxa" w:w="80"/>
            </w:tcMar>
            <w:vAlign w:val="center"/>
          </w:tcPr>
          <w:p>
            <w:pPr>
              <w:jc w:val="center"/>
            </w:pPr>
            <w:r>
              <w:rPr>
                <w:rFonts w:ascii="Arial" w:cs="Arial" w:eastAsia="Arial" w:hAnsi="Arial"/>
                <w:b/>
                <w:bCs/>
                <w:color w:val="0A0A0A"/>
                <w:sz w:val="18"/>
                <w:szCs w:val="18"/>
              </w:rPr>
              <w:t xml:space="preserve">RAÍZ</w:t>
            </w:r>
          </w:p>
        </w:tc>
        <w:tc>
          <w:tcPr>
            <w:tcW w:type="dxa" w:w="7920"/>
            <w:tcBorders>
              <w:top w:val="none" w:color="FFFFFF" w:sz="0"/>
              <w:left w:val="none" w:color="FFFFFF" w:sz="0"/>
              <w:bottom w:val="none" w:color="FFFFFF" w:sz="0"/>
              <w:right w:val="none" w:color="FFFFFF" w:sz="0"/>
            </w:tcBorders>
            <w:shd w:fill="F4F4F2" w:val="clear"/>
            <w:tcMar>
              <w:top w:type="dxa" w:w="120"/>
              <w:left w:type="dxa" w:w="160"/>
              <w:bottom w:type="dxa" w:w="120"/>
              <w:right w:type="dxa" w:w="160"/>
            </w:tcMar>
          </w:tcPr>
          <w:p>
            <w:r>
              <w:rPr>
                <w:rFonts w:ascii="Arial" w:cs="Arial" w:eastAsia="Arial" w:hAnsi="Arial"/>
                <w:color w:val="4A4A4A"/>
                <w:sz w:val="20"/>
                <w:szCs w:val="20"/>
              </w:rPr>
              <w:t xml:space="preserve">offertrack-m82/ │ core/ (Go) │ scraper/ (Node.js) │ docker/ (Dockerfiles + Qdrant config) │ config/ (app.yaml, providers.yaml) │ scripts/ (setup.sh, seed-profile.sh) │ cv/ (base y adaptados) │ exports/ │ docker-compose.yml</w:t>
            </w:r>
          </w:p>
        </w:tc>
      </w:tr>
    </w:tbl>
    <w:p>
      <w:pPr>
        <w:pBdr>
          <w:bottom w:val="single" w:color="CCCCCC" w:sz="1" w:space="1"/>
        </w:pBdr>
        <w:spacing w:after="280" w:before="280"/>
      </w:pPr>
      <w:r>
        <w:t xml:space="preserve"/>
      </w:r>
    </w:p>
    <w:p>
      <w:pPr>
        <w:pStyle w:val="Heading1"/>
        <w:pBdr>
          <w:bottom w:val="single" w:color="0A0A0A" w:sz="4" w:space="6"/>
        </w:pBdr>
        <w:spacing w:after="160" w:before="400"/>
      </w:pPr>
      <w:r>
        <w:rPr>
          <w:rFonts w:ascii="Arial" w:cs="Arial" w:eastAsia="Arial" w:hAnsi="Arial"/>
          <w:b/>
          <w:bCs/>
          <w:caps/>
          <w:color w:val="0A0A0A"/>
          <w:sz w:val="30"/>
          <w:szCs w:val="30"/>
        </w:rPr>
        <w:t xml:space="preserve">8. Alcance del MVP (Versión 1.0)</w:t>
      </w:r>
    </w:p>
    <w:p>
      <w:pPr>
        <w:spacing w:after="80" w:before="60"/>
      </w:pPr>
      <w:r>
        <w:rPr>
          <w:rFonts w:ascii="Arial" w:cs="Arial" w:eastAsia="Arial" w:hAnsi="Arial"/>
          <w:color w:val="4A4A4A"/>
          <w:sz w:val="21"/>
          <w:szCs w:val="21"/>
        </w:rPr>
        <w:t xml:space="preserve">El MVP prioriza los módulos M1 a M6: CLI funcional, abstracción AIProvider completa, scraper con al menos dos portales, análisis de compatibilidad, adaptación de CV y almacenamiento en Qdrant.</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none" w:color="FFFFFF" w:sz="0"/>
              <w:left w:val="none" w:color="FFFFFF" w:sz="0"/>
              <w:bottom w:val="none" w:color="FFFFFF" w:sz="0"/>
              <w:right w:val="none" w:color="FFFFFF" w:sz="0"/>
            </w:tcBorders>
            <w:shd w:fill="1C1C1C" w:val="clear"/>
            <w:tcMar>
              <w:top w:type="dxa" w:w="120"/>
              <w:left w:type="dxa" w:w="160"/>
              <w:bottom w:type="dxa" w:w="120"/>
              <w:right w:type="dxa" w:w="80"/>
            </w:tcMar>
            <w:vAlign w:val="center"/>
          </w:tcPr>
          <w:p>
            <w:pPr>
              <w:jc w:val="center"/>
            </w:pPr>
            <w:r>
              <w:rPr>
                <w:rFonts w:ascii="Arial" w:cs="Arial" w:eastAsia="Arial" w:hAnsi="Arial"/>
                <w:b/>
                <w:bCs/>
                <w:color w:val="FFFFFF"/>
                <w:sz w:val="18"/>
                <w:szCs w:val="18"/>
              </w:rPr>
              <w:t xml:space="preserve">META MVP</w:t>
            </w:r>
          </w:p>
        </w:tc>
        <w:tc>
          <w:tcPr>
            <w:tcW w:type="dxa" w:w="7920"/>
            <w:tcBorders>
              <w:top w:val="none" w:color="FFFFFF" w:sz="0"/>
              <w:left w:val="none" w:color="FFFFFF" w:sz="0"/>
              <w:bottom w:val="none" w:color="FFFFFF" w:sz="0"/>
              <w:right w:val="none" w:color="FFFFFF" w:sz="0"/>
            </w:tcBorders>
            <w:shd w:fill="F4F4F2" w:val="clear"/>
            <w:tcMar>
              <w:top w:type="dxa" w:w="120"/>
              <w:left w:type="dxa" w:w="160"/>
              <w:bottom w:type="dxa" w:w="120"/>
              <w:right w:type="dxa" w:w="160"/>
            </w:tcMar>
          </w:tcPr>
          <w:p>
            <w:r>
              <w:rPr>
                <w:rFonts w:ascii="Arial" w:cs="Arial" w:eastAsia="Arial" w:hAnsi="Arial"/>
                <w:color w:val="4A4A4A"/>
                <w:sz w:val="20"/>
                <w:szCs w:val="20"/>
              </w:rPr>
              <w:t xml:space="preserve">El usuario ejecuta una búsqueda desde terminal, ve análisis de compatibilidad de cada oferta y genera un CV adaptado — todo en menos de 5 minutos, con el proveedor de IA que prefiera.</w:t>
            </w:r>
          </w:p>
        </w:tc>
      </w:tr>
    </w:tbl>
    <w:p>
      <w:pPr>
        <w:spacing w:after="0" w:before="80"/>
      </w:pPr>
      <w:r>
        <w:t xml:space="preserve"/>
      </w:r>
    </w:p>
    <w:p>
      <w:pPr>
        <w:spacing w:after="80" w:before="60"/>
      </w:pPr>
      <w:r>
        <w:rPr>
          <w:rFonts w:ascii="Arial" w:cs="Arial" w:eastAsia="Arial" w:hAnsi="Arial"/>
          <w:color w:val="4A4A4A"/>
          <w:sz w:val="21"/>
          <w:szCs w:val="21"/>
        </w:rPr>
        <w:t xml:space="preserve">Criterios de aceptación del MVP:</w:t>
      </w:r>
    </w:p>
    <w:p>
      <w:pPr>
        <w:pStyle w:val="ListParagraph"/>
        <w:numPr>
          <w:ilvl w:val="0"/>
          <w:numId w:val="2"/>
        </w:numPr>
        <w:spacing w:after="40" w:before="40"/>
      </w:pPr>
      <w:r>
        <w:rPr>
          <w:rFonts w:ascii="Arial" w:cs="Arial" w:eastAsia="Arial" w:hAnsi="Arial"/>
          <w:color w:val="4A4A4A"/>
          <w:sz w:val="21"/>
          <w:szCs w:val="21"/>
        </w:rPr>
        <w:t xml:space="preserve">CLI responde a los comandos básicos: search, analyze, adapt-cv, list, config</w:t>
      </w:r>
    </w:p>
    <w:p>
      <w:pPr>
        <w:pStyle w:val="ListParagraph"/>
        <w:numPr>
          <w:ilvl w:val="0"/>
          <w:numId w:val="2"/>
        </w:numPr>
        <w:spacing w:after="40" w:before="40"/>
      </w:pPr>
      <w:r>
        <w:rPr>
          <w:rFonts w:ascii="Arial" w:cs="Arial" w:eastAsia="Arial" w:hAnsi="Arial"/>
          <w:color w:val="4A4A4A"/>
          <w:sz w:val="21"/>
          <w:szCs w:val="21"/>
        </w:rPr>
        <w:t xml:space="preserve">AIProvider implementado para Gemini (gratuito) y Claude (pago) como mínimo</w:t>
      </w:r>
    </w:p>
    <w:p>
      <w:pPr>
        <w:pStyle w:val="ListParagraph"/>
        <w:numPr>
          <w:ilvl w:val="0"/>
          <w:numId w:val="2"/>
        </w:numPr>
        <w:spacing w:after="40" w:before="40"/>
      </w:pPr>
      <w:r>
        <w:rPr>
          <w:rFonts w:ascii="Arial" w:cs="Arial" w:eastAsia="Arial" w:hAnsi="Arial"/>
          <w:color w:val="4A4A4A"/>
          <w:sz w:val="21"/>
          <w:szCs w:val="21"/>
        </w:rPr>
        <w:t xml:space="preserve">Scraper extrae vacantes de OCC Mundial y Computrabajo</w:t>
      </w:r>
    </w:p>
    <w:p>
      <w:pPr>
        <w:pStyle w:val="ListParagraph"/>
        <w:numPr>
          <w:ilvl w:val="0"/>
          <w:numId w:val="2"/>
        </w:numPr>
        <w:spacing w:after="40" w:before="40"/>
      </w:pPr>
      <w:r>
        <w:rPr>
          <w:rFonts w:ascii="Arial" w:cs="Arial" w:eastAsia="Arial" w:hAnsi="Arial"/>
          <w:color w:val="4A4A4A"/>
          <w:sz w:val="21"/>
          <w:szCs w:val="21"/>
        </w:rPr>
        <w:t xml:space="preserve">Embeddings generados localmente con fastembed sin API externa</w:t>
      </w:r>
    </w:p>
    <w:p>
      <w:pPr>
        <w:pStyle w:val="ListParagraph"/>
        <w:numPr>
          <w:ilvl w:val="0"/>
          <w:numId w:val="2"/>
        </w:numPr>
        <w:spacing w:after="40" w:before="40"/>
      </w:pPr>
      <w:r>
        <w:rPr>
          <w:rFonts w:ascii="Arial" w:cs="Arial" w:eastAsia="Arial" w:hAnsi="Arial"/>
          <w:color w:val="4A4A4A"/>
          <w:sz w:val="21"/>
          <w:szCs w:val="21"/>
        </w:rPr>
        <w:t xml:space="preserve">Qdrant almacena vectores y payload estructurado de cada vacante</w:t>
      </w:r>
    </w:p>
    <w:p>
      <w:pPr>
        <w:pStyle w:val="ListParagraph"/>
        <w:numPr>
          <w:ilvl w:val="0"/>
          <w:numId w:val="2"/>
        </w:numPr>
        <w:spacing w:after="40" w:before="40"/>
      </w:pPr>
      <w:r>
        <w:rPr>
          <w:rFonts w:ascii="Arial" w:cs="Arial" w:eastAsia="Arial" w:hAnsi="Arial"/>
          <w:color w:val="4A4A4A"/>
          <w:sz w:val="21"/>
          <w:szCs w:val="21"/>
        </w:rPr>
        <w:t xml:space="preserve">Analizador produce reporte de compatibilidad con score y recomendación</w:t>
      </w:r>
    </w:p>
    <w:p>
      <w:pPr>
        <w:pStyle w:val="ListParagraph"/>
        <w:numPr>
          <w:ilvl w:val="0"/>
          <w:numId w:val="2"/>
        </w:numPr>
        <w:spacing w:after="40" w:before="40"/>
      </w:pPr>
      <w:r>
        <w:rPr>
          <w:rFonts w:ascii="Arial" w:cs="Arial" w:eastAsia="Arial" w:hAnsi="Arial"/>
          <w:color w:val="4A4A4A"/>
          <w:sz w:val="21"/>
          <w:szCs w:val="21"/>
        </w:rPr>
        <w:t xml:space="preserve">Adaptador genera CV en Markdown con cambios visibles respecto al original</w:t>
      </w:r>
    </w:p>
    <w:p>
      <w:pPr>
        <w:pStyle w:val="ListParagraph"/>
        <w:numPr>
          <w:ilvl w:val="0"/>
          <w:numId w:val="2"/>
        </w:numPr>
        <w:spacing w:after="40" w:before="40"/>
      </w:pPr>
      <w:r>
        <w:rPr>
          <w:rFonts w:ascii="Arial" w:cs="Arial" w:eastAsia="Arial" w:hAnsi="Arial"/>
          <w:color w:val="4A4A4A"/>
          <w:sz w:val="21"/>
          <w:szCs w:val="21"/>
        </w:rPr>
        <w:t xml:space="preserve">Exportación a PDF y DOCX vía Pandoc funcionando</w:t>
      </w:r>
    </w:p>
    <w:p>
      <w:pPr>
        <w:pStyle w:val="ListParagraph"/>
        <w:numPr>
          <w:ilvl w:val="0"/>
          <w:numId w:val="2"/>
        </w:numPr>
        <w:spacing w:after="40" w:before="40"/>
      </w:pPr>
      <w:r>
        <w:rPr>
          <w:rFonts w:ascii="Arial" w:cs="Arial" w:eastAsia="Arial" w:hAnsi="Arial"/>
          <w:color w:val="4A4A4A"/>
          <w:sz w:val="21"/>
          <w:szCs w:val="21"/>
        </w:rPr>
        <w:t xml:space="preserve">Tiempo de análisis completo inferior a 30 segundos</w:t>
      </w:r>
    </w:p>
    <w:p>
      <w:pPr>
        <w:spacing w:after="0" w:before="80"/>
      </w:pPr>
      <w:r>
        <w:t xml:space="preserve"/>
      </w:r>
    </w:p>
    <w:p>
      <w:pPr>
        <w:spacing w:after="80" w:before="60"/>
      </w:pPr>
      <w:r>
        <w:rPr>
          <w:rFonts w:ascii="Arial" w:cs="Arial" w:eastAsia="Arial" w:hAnsi="Arial"/>
          <w:color w:val="4A4A4A"/>
          <w:sz w:val="21"/>
          <w:szCs w:val="21"/>
        </w:rPr>
        <w:t xml:space="preserve">Funcionalidades excluidas del MVP:</w:t>
      </w:r>
    </w:p>
    <w:p>
      <w:pPr>
        <w:pStyle w:val="ListParagraph"/>
        <w:numPr>
          <w:ilvl w:val="0"/>
          <w:numId w:val="2"/>
        </w:numPr>
        <w:spacing w:after="40" w:before="40"/>
      </w:pPr>
      <w:r>
        <w:rPr>
          <w:rFonts w:ascii="Arial" w:cs="Arial" w:eastAsia="Arial" w:hAnsi="Arial"/>
          <w:color w:val="4A4A4A"/>
          <w:sz w:val="21"/>
          <w:szCs w:val="21"/>
        </w:rPr>
        <w:t xml:space="preserve">Postulación automatizada o asistida</w:t>
      </w:r>
    </w:p>
    <w:p>
      <w:pPr>
        <w:pStyle w:val="ListParagraph"/>
        <w:numPr>
          <w:ilvl w:val="0"/>
          <w:numId w:val="2"/>
        </w:numPr>
        <w:spacing w:after="40" w:before="40"/>
      </w:pPr>
      <w:r>
        <w:rPr>
          <w:rFonts w:ascii="Arial" w:cs="Arial" w:eastAsia="Arial" w:hAnsi="Arial"/>
          <w:color w:val="4A4A4A"/>
          <w:sz w:val="21"/>
          <w:szCs w:val="21"/>
        </w:rPr>
        <w:t xml:space="preserve">Dashboard web</w:t>
      </w:r>
    </w:p>
    <w:p>
      <w:pPr>
        <w:pStyle w:val="ListParagraph"/>
        <w:numPr>
          <w:ilvl w:val="0"/>
          <w:numId w:val="2"/>
        </w:numPr>
        <w:spacing w:after="40" w:before="40"/>
      </w:pPr>
      <w:r>
        <w:rPr>
          <w:rFonts w:ascii="Arial" w:cs="Arial" w:eastAsia="Arial" w:hAnsi="Arial"/>
          <w:color w:val="4A4A4A"/>
          <w:sz w:val="21"/>
          <w:szCs w:val="21"/>
        </w:rPr>
        <w:t xml:space="preserve">Notificaciones</w:t>
      </w:r>
    </w:p>
    <w:p>
      <w:pPr>
        <w:pStyle w:val="ListParagraph"/>
        <w:numPr>
          <w:ilvl w:val="0"/>
          <w:numId w:val="2"/>
        </w:numPr>
        <w:spacing w:after="40" w:before="40"/>
      </w:pPr>
      <w:r>
        <w:rPr>
          <w:rFonts w:ascii="Arial" w:cs="Arial" w:eastAsia="Arial" w:hAnsi="Arial"/>
          <w:color w:val="4A4A4A"/>
          <w:sz w:val="21"/>
          <w:szCs w:val="21"/>
        </w:rPr>
        <w:t xml:space="preserve">Soporte LinkedIn Jobs y Glassdoor</w:t>
      </w:r>
    </w:p>
    <w:p>
      <w:pPr>
        <w:pStyle w:val="ListParagraph"/>
        <w:numPr>
          <w:ilvl w:val="0"/>
          <w:numId w:val="2"/>
        </w:numPr>
        <w:spacing w:after="40" w:before="40"/>
      </w:pPr>
      <w:r>
        <w:rPr>
          <w:rFonts w:ascii="Arial" w:cs="Arial" w:eastAsia="Arial" w:hAnsi="Arial"/>
          <w:color w:val="4A4A4A"/>
          <w:sz w:val="21"/>
          <w:szCs w:val="21"/>
        </w:rPr>
        <w:t xml:space="preserve">Comparativa salarial con datos de mercado en tiempo real</w:t>
      </w:r>
    </w:p>
    <w:p>
      <w:pPr>
        <w:pBdr>
          <w:bottom w:val="single" w:color="CCCCCC" w:sz="1" w:space="1"/>
        </w:pBdr>
        <w:spacing w:after="280" w:before="280"/>
      </w:pPr>
      <w:r>
        <w:t xml:space="preserve"/>
      </w:r>
    </w:p>
    <w:p>
      <w:pPr>
        <w:pStyle w:val="Heading1"/>
        <w:pBdr>
          <w:bottom w:val="single" w:color="0A0A0A" w:sz="4" w:space="6"/>
        </w:pBdr>
        <w:spacing w:after="160" w:before="400"/>
      </w:pPr>
      <w:r>
        <w:rPr>
          <w:rFonts w:ascii="Arial" w:cs="Arial" w:eastAsia="Arial" w:hAnsi="Arial"/>
          <w:b/>
          <w:bCs/>
          <w:caps/>
          <w:color w:val="0A0A0A"/>
          <w:sz w:val="30"/>
          <w:szCs w:val="30"/>
        </w:rPr>
        <w:t xml:space="preserve">9. Riesgos del Proyecto</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100"/>
        <w:gridCol w:w="800"/>
        <w:gridCol w:w="5060"/>
      </w:tblGrid>
      <w:tr>
        <w:trPr>
          <w:tblHeader/>
        </w:trPr>
        <w:tc>
          <w:tcPr>
            <w:tcW w:type="dxa" w:w="2400"/>
            <w:tcBorders>
              <w:top w:val="single" w:color="0A0A0A" w:sz="1"/>
              <w:left w:val="single" w:color="0A0A0A" w:sz="1"/>
              <w:bottom w:val="single" w:color="0A0A0A" w:sz="1"/>
              <w:right w:val="single" w:color="0A0A0A" w:sz="1"/>
            </w:tcBorders>
            <w:shd w:fill="1C1C1C" w:val="clear"/>
            <w:tcMar>
              <w:top w:type="dxa" w:w="100"/>
              <w:left w:type="dxa" w:w="120"/>
              <w:bottom w:type="dxa" w:w="100"/>
              <w:right w:type="dxa" w:w="80"/>
            </w:tcMar>
          </w:tcPr>
          <w:p>
            <w:r>
              <w:rPr>
                <w:rFonts w:ascii="Arial" w:cs="Arial" w:eastAsia="Arial" w:hAnsi="Arial"/>
                <w:b/>
                <w:bCs/>
                <w:color w:val="FFFFFF"/>
                <w:sz w:val="20"/>
                <w:szCs w:val="20"/>
              </w:rPr>
              <w:t xml:space="preserve">Riesgo</w:t>
            </w:r>
          </w:p>
        </w:tc>
        <w:tc>
          <w:tcPr>
            <w:tcW w:type="dxa" w:w="1100"/>
            <w:tcBorders>
              <w:top w:val="single" w:color="0A0A0A" w:sz="1"/>
              <w:left w:val="single" w:color="0A0A0A" w:sz="1"/>
              <w:bottom w:val="single" w:color="0A0A0A" w:sz="1"/>
              <w:right w:val="single" w:color="0A0A0A" w:sz="1"/>
            </w:tcBorders>
            <w:shd w:fill="1C1C1C" w:val="clear"/>
            <w:tcMar>
              <w:top w:type="dxa" w:w="100"/>
              <w:left w:type="dxa" w:w="120"/>
              <w:bottom w:type="dxa" w:w="100"/>
              <w:right w:type="dxa" w:w="80"/>
            </w:tcMar>
          </w:tcPr>
          <w:p>
            <w:r>
              <w:rPr>
                <w:rFonts w:ascii="Arial" w:cs="Arial" w:eastAsia="Arial" w:hAnsi="Arial"/>
                <w:b/>
                <w:bCs/>
                <w:color w:val="FFFFFF"/>
                <w:sz w:val="20"/>
                <w:szCs w:val="20"/>
              </w:rPr>
              <w:t xml:space="preserve">Categoría</w:t>
            </w:r>
          </w:p>
        </w:tc>
        <w:tc>
          <w:tcPr>
            <w:tcW w:type="dxa" w:w="800"/>
            <w:tcBorders>
              <w:top w:val="single" w:color="0A0A0A" w:sz="1"/>
              <w:left w:val="single" w:color="0A0A0A" w:sz="1"/>
              <w:bottom w:val="single" w:color="0A0A0A" w:sz="1"/>
              <w:right w:val="single" w:color="0A0A0A" w:sz="1"/>
            </w:tcBorders>
            <w:shd w:fill="1C1C1C" w:val="clear"/>
            <w:tcMar>
              <w:top w:type="dxa" w:w="100"/>
              <w:left w:type="dxa" w:w="120"/>
              <w:bottom w:type="dxa" w:w="100"/>
              <w:right w:type="dxa" w:w="80"/>
            </w:tcMar>
          </w:tcPr>
          <w:p>
            <w:r>
              <w:rPr>
                <w:rFonts w:ascii="Arial" w:cs="Arial" w:eastAsia="Arial" w:hAnsi="Arial"/>
                <w:b/>
                <w:bCs/>
                <w:color w:val="FFFFFF"/>
                <w:sz w:val="20"/>
                <w:szCs w:val="20"/>
              </w:rPr>
              <w:t xml:space="preserve">Impacto</w:t>
            </w:r>
          </w:p>
        </w:tc>
        <w:tc>
          <w:tcPr>
            <w:tcW w:type="dxa" w:w="5060"/>
            <w:tcBorders>
              <w:top w:val="single" w:color="0A0A0A" w:sz="1"/>
              <w:left w:val="single" w:color="0A0A0A" w:sz="1"/>
              <w:bottom w:val="single" w:color="0A0A0A" w:sz="1"/>
              <w:right w:val="single" w:color="0A0A0A" w:sz="1"/>
            </w:tcBorders>
            <w:shd w:fill="1C1C1C" w:val="clear"/>
            <w:tcMar>
              <w:top w:type="dxa" w:w="100"/>
              <w:left w:type="dxa" w:w="120"/>
              <w:bottom w:type="dxa" w:w="100"/>
              <w:right w:type="dxa" w:w="80"/>
            </w:tcMar>
          </w:tcPr>
          <w:p>
            <w:r>
              <w:rPr>
                <w:rFonts w:ascii="Arial" w:cs="Arial" w:eastAsia="Arial" w:hAnsi="Arial"/>
                <w:b/>
                <w:bCs/>
                <w:color w:val="FFFFFF"/>
                <w:sz w:val="20"/>
                <w:szCs w:val="20"/>
              </w:rPr>
              <w:t xml:space="preserve">Mitigación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color w:val="1C1C1C"/>
                <w:sz w:val="18"/>
                <w:szCs w:val="18"/>
              </w:rPr>
              <w:t xml:space="preserve">Bloqueo de portales por scraping</w:t>
            </w:r>
          </w:p>
        </w:tc>
        <w:tc>
          <w:tcPr>
            <w:tcW w:type="dxa" w:w="11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80"/>
            </w:tcMar>
          </w:tcPr>
          <w:p>
            <w:pPr>
              <w:jc w:val="center"/>
            </w:pPr>
            <w:r>
              <w:rPr>
                <w:rFonts w:ascii="Arial" w:cs="Arial" w:eastAsia="Arial" w:hAnsi="Arial"/>
                <w:b/>
                <w:bCs/>
                <w:color w:val="3A3A3A"/>
                <w:sz w:val="18"/>
                <w:szCs w:val="18"/>
              </w:rPr>
              <w:t xml:space="preserve">Técnico</w:t>
            </w:r>
          </w:p>
        </w:tc>
        <w:tc>
          <w:tcPr>
            <w:tcW w:type="dxa" w:w="8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jc w:val="center"/>
            </w:pPr>
            <w:r>
              <w:rPr>
                <w:rFonts w:ascii="Arial" w:cs="Arial" w:eastAsia="Arial" w:hAnsi="Arial"/>
                <w:b/>
                <w:bCs/>
                <w:color w:val="7A5500"/>
                <w:sz w:val="18"/>
                <w:szCs w:val="18"/>
              </w:rPr>
              <w:t xml:space="preserve">Medio</w:t>
            </w:r>
          </w:p>
        </w:tc>
        <w:tc>
          <w:tcPr>
            <w:tcW w:type="dxa" w:w="5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color w:val="4A4A4A"/>
                <w:sz w:val="18"/>
                <w:szCs w:val="18"/>
              </w:rPr>
              <w:t xml:space="preserve">Rotación de User-Agent, delays aleatorios, Playwright con perfil real. Evaluar APIs oficiales si existen.</w:t>
            </w:r>
          </w:p>
        </w:tc>
      </w:tr>
      <w:tr>
        <w:tc>
          <w:tcPr>
            <w:tcW w:type="dxa" w:w="2400"/>
            <w:tcBorders>
              <w:top w:val="single" w:color="CCCCCC" w:sz="1"/>
              <w:left w:val="single" w:color="CCCCCC" w:sz="1"/>
              <w:bottom w:val="single" w:color="CCCCCC" w:sz="1"/>
              <w:right w:val="single" w:color="CCCCCC" w:sz="1"/>
            </w:tcBorders>
            <w:shd w:fill="F4F4F2" w:val="clear"/>
            <w:tcMar>
              <w:top w:type="dxa" w:w="80"/>
              <w:left w:type="dxa" w:w="120"/>
              <w:bottom w:type="dxa" w:w="80"/>
              <w:right w:type="dxa" w:w="80"/>
            </w:tcMar>
          </w:tcPr>
          <w:p>
            <w:r>
              <w:rPr>
                <w:rFonts w:ascii="Arial" w:cs="Arial" w:eastAsia="Arial" w:hAnsi="Arial"/>
                <w:color w:val="1C1C1C"/>
                <w:sz w:val="18"/>
                <w:szCs w:val="18"/>
              </w:rPr>
              <w:t xml:space="preserve">Cambios en HTML de los portales</w:t>
            </w:r>
          </w:p>
        </w:tc>
        <w:tc>
          <w:tcPr>
            <w:tcW w:type="dxa" w:w="1100"/>
            <w:tcBorders>
              <w:top w:val="single" w:color="CCCCCC" w:sz="1"/>
              <w:left w:val="single" w:color="CCCCCC" w:sz="1"/>
              <w:bottom w:val="single" w:color="CCCCCC" w:sz="1"/>
              <w:right w:val="single" w:color="CCCCCC" w:sz="1"/>
            </w:tcBorders>
            <w:shd w:fill="F4F4F2" w:val="clear"/>
            <w:tcMar>
              <w:top w:type="dxa" w:w="80"/>
              <w:left w:type="dxa" w:w="100"/>
              <w:bottom w:type="dxa" w:w="80"/>
              <w:right w:type="dxa" w:w="80"/>
            </w:tcMar>
          </w:tcPr>
          <w:p>
            <w:pPr>
              <w:jc w:val="center"/>
            </w:pPr>
            <w:r>
              <w:rPr>
                <w:rFonts w:ascii="Arial" w:cs="Arial" w:eastAsia="Arial" w:hAnsi="Arial"/>
                <w:b/>
                <w:bCs/>
                <w:color w:val="3A3A3A"/>
                <w:sz w:val="18"/>
                <w:szCs w:val="18"/>
              </w:rPr>
              <w:t xml:space="preserve">Técnico</w:t>
            </w:r>
          </w:p>
        </w:tc>
        <w:tc>
          <w:tcPr>
            <w:tcW w:type="dxa" w:w="800"/>
            <w:tcBorders>
              <w:top w:val="single" w:color="CCCCCC" w:sz="1"/>
              <w:left w:val="single" w:color="CCCCCC" w:sz="1"/>
              <w:bottom w:val="single" w:color="CCCCCC" w:sz="1"/>
              <w:right w:val="single" w:color="CCCCCC" w:sz="1"/>
            </w:tcBorders>
            <w:shd w:fill="F4F4F2" w:val="clear"/>
            <w:tcMar>
              <w:top w:type="dxa" w:w="80"/>
              <w:left w:type="dxa" w:w="80"/>
              <w:bottom w:type="dxa" w:w="80"/>
              <w:right w:type="dxa" w:w="80"/>
            </w:tcMar>
          </w:tcPr>
          <w:p>
            <w:pPr>
              <w:jc w:val="center"/>
            </w:pPr>
            <w:r>
              <w:rPr>
                <w:rFonts w:ascii="Arial" w:cs="Arial" w:eastAsia="Arial" w:hAnsi="Arial"/>
                <w:b/>
                <w:bCs/>
                <w:color w:val="7A5500"/>
                <w:sz w:val="18"/>
                <w:szCs w:val="18"/>
              </w:rPr>
              <w:t xml:space="preserve">Medio</w:t>
            </w:r>
          </w:p>
        </w:tc>
        <w:tc>
          <w:tcPr>
            <w:tcW w:type="dxa" w:w="5060"/>
            <w:tcBorders>
              <w:top w:val="single" w:color="CCCCCC" w:sz="1"/>
              <w:left w:val="single" w:color="CCCCCC" w:sz="1"/>
              <w:bottom w:val="single" w:color="CCCCCC" w:sz="1"/>
              <w:right w:val="single" w:color="CCCCCC" w:sz="1"/>
            </w:tcBorders>
            <w:shd w:fill="F4F4F2" w:val="clear"/>
            <w:tcMar>
              <w:top w:type="dxa" w:w="80"/>
              <w:left w:type="dxa" w:w="120"/>
              <w:bottom w:type="dxa" w:w="80"/>
              <w:right w:type="dxa" w:w="80"/>
            </w:tcMar>
          </w:tcPr>
          <w:p>
            <w:r>
              <w:rPr>
                <w:rFonts w:ascii="Arial" w:cs="Arial" w:eastAsia="Arial" w:hAnsi="Arial"/>
                <w:color w:val="4A4A4A"/>
                <w:sz w:val="18"/>
                <w:szCs w:val="18"/>
              </w:rPr>
              <w:t xml:space="preserve">Selectores desacoplados por portal. Tests de integración periódicos. Fácil actualización.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color w:val="1C1C1C"/>
                <w:sz w:val="18"/>
                <w:szCs w:val="18"/>
              </w:rPr>
              <w:t xml:space="preserve">Costo de APIs de IA</w:t>
            </w:r>
          </w:p>
        </w:tc>
        <w:tc>
          <w:tcPr>
            <w:tcW w:type="dxa" w:w="11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80"/>
            </w:tcMar>
          </w:tcPr>
          <w:p>
            <w:pPr>
              <w:jc w:val="center"/>
            </w:pPr>
            <w:r>
              <w:rPr>
                <w:rFonts w:ascii="Arial" w:cs="Arial" w:eastAsia="Arial" w:hAnsi="Arial"/>
                <w:b/>
                <w:bCs/>
                <w:color w:val="3A3A3A"/>
                <w:sz w:val="18"/>
                <w:szCs w:val="18"/>
              </w:rPr>
              <w:t xml:space="preserve">Económico</w:t>
            </w:r>
          </w:p>
        </w:tc>
        <w:tc>
          <w:tcPr>
            <w:tcW w:type="dxa" w:w="8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jc w:val="center"/>
            </w:pPr>
            <w:r>
              <w:rPr>
                <w:rFonts w:ascii="Arial" w:cs="Arial" w:eastAsia="Arial" w:hAnsi="Arial"/>
                <w:b/>
                <w:bCs/>
                <w:color w:val="2D6A2D"/>
                <w:sz w:val="18"/>
                <w:szCs w:val="18"/>
              </w:rPr>
              <w:t xml:space="preserve">Bajo</w:t>
            </w:r>
          </w:p>
        </w:tc>
        <w:tc>
          <w:tcPr>
            <w:tcW w:type="dxa" w:w="5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color w:val="4A4A4A"/>
                <w:sz w:val="18"/>
                <w:szCs w:val="18"/>
              </w:rPr>
              <w:t xml:space="preserve">Arrancar con Gemini gratuito. Cachear análisis realizados. Límite mensual configurable.</w:t>
            </w:r>
          </w:p>
        </w:tc>
      </w:tr>
      <w:tr>
        <w:tc>
          <w:tcPr>
            <w:tcW w:type="dxa" w:w="2400"/>
            <w:tcBorders>
              <w:top w:val="single" w:color="CCCCCC" w:sz="1"/>
              <w:left w:val="single" w:color="CCCCCC" w:sz="1"/>
              <w:bottom w:val="single" w:color="CCCCCC" w:sz="1"/>
              <w:right w:val="single" w:color="CCCCCC" w:sz="1"/>
            </w:tcBorders>
            <w:shd w:fill="F4F4F2" w:val="clear"/>
            <w:tcMar>
              <w:top w:type="dxa" w:w="80"/>
              <w:left w:type="dxa" w:w="120"/>
              <w:bottom w:type="dxa" w:w="80"/>
              <w:right w:type="dxa" w:w="80"/>
            </w:tcMar>
          </w:tcPr>
          <w:p>
            <w:r>
              <w:rPr>
                <w:rFonts w:ascii="Arial" w:cs="Arial" w:eastAsia="Arial" w:hAnsi="Arial"/>
                <w:color w:val="1C1C1C"/>
                <w:sz w:val="18"/>
                <w:szCs w:val="18"/>
              </w:rPr>
              <w:t xml:space="preserve">Violación de ToS de portales</w:t>
            </w:r>
          </w:p>
        </w:tc>
        <w:tc>
          <w:tcPr>
            <w:tcW w:type="dxa" w:w="1100"/>
            <w:tcBorders>
              <w:top w:val="single" w:color="CCCCCC" w:sz="1"/>
              <w:left w:val="single" w:color="CCCCCC" w:sz="1"/>
              <w:bottom w:val="single" w:color="CCCCCC" w:sz="1"/>
              <w:right w:val="single" w:color="CCCCCC" w:sz="1"/>
            </w:tcBorders>
            <w:shd w:fill="F4F4F2" w:val="clear"/>
            <w:tcMar>
              <w:top w:type="dxa" w:w="80"/>
              <w:left w:type="dxa" w:w="100"/>
              <w:bottom w:type="dxa" w:w="80"/>
              <w:right w:type="dxa" w:w="80"/>
            </w:tcMar>
          </w:tcPr>
          <w:p>
            <w:pPr>
              <w:jc w:val="center"/>
            </w:pPr>
            <w:r>
              <w:rPr>
                <w:rFonts w:ascii="Arial" w:cs="Arial" w:eastAsia="Arial" w:hAnsi="Arial"/>
                <w:b/>
                <w:bCs/>
                <w:color w:val="3A3A3A"/>
                <w:sz w:val="18"/>
                <w:szCs w:val="18"/>
              </w:rPr>
              <w:t xml:space="preserve">Legal</w:t>
            </w:r>
          </w:p>
        </w:tc>
        <w:tc>
          <w:tcPr>
            <w:tcW w:type="dxa" w:w="800"/>
            <w:tcBorders>
              <w:top w:val="single" w:color="CCCCCC" w:sz="1"/>
              <w:left w:val="single" w:color="CCCCCC" w:sz="1"/>
              <w:bottom w:val="single" w:color="CCCCCC" w:sz="1"/>
              <w:right w:val="single" w:color="CCCCCC" w:sz="1"/>
            </w:tcBorders>
            <w:shd w:fill="F4F4F2" w:val="clear"/>
            <w:tcMar>
              <w:top w:type="dxa" w:w="80"/>
              <w:left w:type="dxa" w:w="80"/>
              <w:bottom w:type="dxa" w:w="80"/>
              <w:right w:type="dxa" w:w="80"/>
            </w:tcMar>
          </w:tcPr>
          <w:p>
            <w:pPr>
              <w:jc w:val="center"/>
            </w:pPr>
            <w:r>
              <w:rPr>
                <w:rFonts w:ascii="Arial" w:cs="Arial" w:eastAsia="Arial" w:hAnsi="Arial"/>
                <w:b/>
                <w:bCs/>
                <w:color w:val="8B0000"/>
                <w:sz w:val="18"/>
                <w:szCs w:val="18"/>
              </w:rPr>
              <w:t xml:space="preserve">Alto</w:t>
            </w:r>
          </w:p>
        </w:tc>
        <w:tc>
          <w:tcPr>
            <w:tcW w:type="dxa" w:w="5060"/>
            <w:tcBorders>
              <w:top w:val="single" w:color="CCCCCC" w:sz="1"/>
              <w:left w:val="single" w:color="CCCCCC" w:sz="1"/>
              <w:bottom w:val="single" w:color="CCCCCC" w:sz="1"/>
              <w:right w:val="single" w:color="CCCCCC" w:sz="1"/>
            </w:tcBorders>
            <w:shd w:fill="F4F4F2" w:val="clear"/>
            <w:tcMar>
              <w:top w:type="dxa" w:w="80"/>
              <w:left w:type="dxa" w:w="120"/>
              <w:bottom w:type="dxa" w:w="80"/>
              <w:right w:type="dxa" w:w="80"/>
            </w:tcMar>
          </w:tcPr>
          <w:p>
            <w:r>
              <w:rPr>
                <w:rFonts w:ascii="Arial" w:cs="Arial" w:eastAsia="Arial" w:hAnsi="Arial"/>
                <w:color w:val="4A4A4A"/>
                <w:sz w:val="18"/>
                <w:szCs w:val="18"/>
              </w:rPr>
              <w:t xml:space="preserve">Postulación siempre manual con confirmación. Uso moderado del scraping. Revisar ToS de cada portal.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color w:val="1C1C1C"/>
                <w:sz w:val="18"/>
                <w:szCs w:val="18"/>
              </w:rPr>
              <w:t xml:space="preserve">Privacidad del CV del usuario</w:t>
            </w:r>
          </w:p>
        </w:tc>
        <w:tc>
          <w:tcPr>
            <w:tcW w:type="dxa" w:w="11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80"/>
            </w:tcMar>
          </w:tcPr>
          <w:p>
            <w:pPr>
              <w:jc w:val="center"/>
            </w:pPr>
            <w:r>
              <w:rPr>
                <w:rFonts w:ascii="Arial" w:cs="Arial" w:eastAsia="Arial" w:hAnsi="Arial"/>
                <w:b/>
                <w:bCs/>
                <w:color w:val="3A3A3A"/>
                <w:sz w:val="18"/>
                <w:szCs w:val="18"/>
              </w:rPr>
              <w:t xml:space="preserve">Legal</w:t>
            </w:r>
          </w:p>
        </w:tc>
        <w:tc>
          <w:tcPr>
            <w:tcW w:type="dxa" w:w="8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jc w:val="center"/>
            </w:pPr>
            <w:r>
              <w:rPr>
                <w:rFonts w:ascii="Arial" w:cs="Arial" w:eastAsia="Arial" w:hAnsi="Arial"/>
                <w:b/>
                <w:bCs/>
                <w:color w:val="8B0000"/>
                <w:sz w:val="18"/>
                <w:szCs w:val="18"/>
              </w:rPr>
              <w:t xml:space="preserve">Alto</w:t>
            </w:r>
          </w:p>
        </w:tc>
        <w:tc>
          <w:tcPr>
            <w:tcW w:type="dxa" w:w="5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color w:val="4A4A4A"/>
                <w:sz w:val="18"/>
                <w:szCs w:val="18"/>
              </w:rPr>
              <w:t xml:space="preserve">Todos los datos se almacenan localmente. Ningún dato personal se envía externamente salvo al proveedor IA bajo su política.</w:t>
            </w:r>
          </w:p>
        </w:tc>
      </w:tr>
      <w:tr>
        <w:tc>
          <w:tcPr>
            <w:tcW w:type="dxa" w:w="2400"/>
            <w:tcBorders>
              <w:top w:val="single" w:color="CCCCCC" w:sz="1"/>
              <w:left w:val="single" w:color="CCCCCC" w:sz="1"/>
              <w:bottom w:val="single" w:color="CCCCCC" w:sz="1"/>
              <w:right w:val="single" w:color="CCCCCC" w:sz="1"/>
            </w:tcBorders>
            <w:shd w:fill="F4F4F2" w:val="clear"/>
            <w:tcMar>
              <w:top w:type="dxa" w:w="80"/>
              <w:left w:type="dxa" w:w="120"/>
              <w:bottom w:type="dxa" w:w="80"/>
              <w:right w:type="dxa" w:w="80"/>
            </w:tcMar>
          </w:tcPr>
          <w:p>
            <w:r>
              <w:rPr>
                <w:rFonts w:ascii="Arial" w:cs="Arial" w:eastAsia="Arial" w:hAnsi="Arial"/>
                <w:color w:val="1C1C1C"/>
                <w:sz w:val="18"/>
                <w:szCs w:val="18"/>
              </w:rPr>
              <w:t xml:space="preserve">Calidad variable según proveedor IA</w:t>
            </w:r>
          </w:p>
        </w:tc>
        <w:tc>
          <w:tcPr>
            <w:tcW w:type="dxa" w:w="1100"/>
            <w:tcBorders>
              <w:top w:val="single" w:color="CCCCCC" w:sz="1"/>
              <w:left w:val="single" w:color="CCCCCC" w:sz="1"/>
              <w:bottom w:val="single" w:color="CCCCCC" w:sz="1"/>
              <w:right w:val="single" w:color="CCCCCC" w:sz="1"/>
            </w:tcBorders>
            <w:shd w:fill="F4F4F2" w:val="clear"/>
            <w:tcMar>
              <w:top w:type="dxa" w:w="80"/>
              <w:left w:type="dxa" w:w="100"/>
              <w:bottom w:type="dxa" w:w="80"/>
              <w:right w:type="dxa" w:w="80"/>
            </w:tcMar>
          </w:tcPr>
          <w:p>
            <w:pPr>
              <w:jc w:val="center"/>
            </w:pPr>
            <w:r>
              <w:rPr>
                <w:rFonts w:ascii="Arial" w:cs="Arial" w:eastAsia="Arial" w:hAnsi="Arial"/>
                <w:b/>
                <w:bCs/>
                <w:color w:val="3A3A3A"/>
                <w:sz w:val="18"/>
                <w:szCs w:val="18"/>
              </w:rPr>
              <w:t xml:space="preserve">Técnico</w:t>
            </w:r>
          </w:p>
        </w:tc>
        <w:tc>
          <w:tcPr>
            <w:tcW w:type="dxa" w:w="800"/>
            <w:tcBorders>
              <w:top w:val="single" w:color="CCCCCC" w:sz="1"/>
              <w:left w:val="single" w:color="CCCCCC" w:sz="1"/>
              <w:bottom w:val="single" w:color="CCCCCC" w:sz="1"/>
              <w:right w:val="single" w:color="CCCCCC" w:sz="1"/>
            </w:tcBorders>
            <w:shd w:fill="F4F4F2" w:val="clear"/>
            <w:tcMar>
              <w:top w:type="dxa" w:w="80"/>
              <w:left w:type="dxa" w:w="80"/>
              <w:bottom w:type="dxa" w:w="80"/>
              <w:right w:type="dxa" w:w="80"/>
            </w:tcMar>
          </w:tcPr>
          <w:p>
            <w:pPr>
              <w:jc w:val="center"/>
            </w:pPr>
            <w:r>
              <w:rPr>
                <w:rFonts w:ascii="Arial" w:cs="Arial" w:eastAsia="Arial" w:hAnsi="Arial"/>
                <w:b/>
                <w:bCs/>
                <w:color w:val="7A5500"/>
                <w:sz w:val="18"/>
                <w:szCs w:val="18"/>
              </w:rPr>
              <w:t xml:space="preserve">Medio</w:t>
            </w:r>
          </w:p>
        </w:tc>
        <w:tc>
          <w:tcPr>
            <w:tcW w:type="dxa" w:w="5060"/>
            <w:tcBorders>
              <w:top w:val="single" w:color="CCCCCC" w:sz="1"/>
              <w:left w:val="single" w:color="CCCCCC" w:sz="1"/>
              <w:bottom w:val="single" w:color="CCCCCC" w:sz="1"/>
              <w:right w:val="single" w:color="CCCCCC" w:sz="1"/>
            </w:tcBorders>
            <w:shd w:fill="F4F4F2" w:val="clear"/>
            <w:tcMar>
              <w:top w:type="dxa" w:w="80"/>
              <w:left w:type="dxa" w:w="120"/>
              <w:bottom w:type="dxa" w:w="80"/>
              <w:right w:type="dxa" w:w="80"/>
            </w:tcMar>
          </w:tcPr>
          <w:p>
            <w:r>
              <w:rPr>
                <w:rFonts w:ascii="Arial" w:cs="Arial" w:eastAsia="Arial" w:hAnsi="Arial"/>
                <w:color w:val="4A4A4A"/>
                <w:sz w:val="18"/>
                <w:szCs w:val="18"/>
              </w:rPr>
              <w:t xml:space="preserve">Sistema de versionado de prompts. Tests con vacantes reales. La interfaz AIProvider permite cambiar si la calidad no es suficiente.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color w:val="1C1C1C"/>
                <w:sz w:val="18"/>
                <w:szCs w:val="18"/>
              </w:rPr>
              <w:t xml:space="preserve">Compatibilidad entre versiones Qdrant</w:t>
            </w:r>
          </w:p>
        </w:tc>
        <w:tc>
          <w:tcPr>
            <w:tcW w:type="dxa" w:w="11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80"/>
            </w:tcMar>
          </w:tcPr>
          <w:p>
            <w:pPr>
              <w:jc w:val="center"/>
            </w:pPr>
            <w:r>
              <w:rPr>
                <w:rFonts w:ascii="Arial" w:cs="Arial" w:eastAsia="Arial" w:hAnsi="Arial"/>
                <w:b/>
                <w:bCs/>
                <w:color w:val="3A3A3A"/>
                <w:sz w:val="18"/>
                <w:szCs w:val="18"/>
              </w:rPr>
              <w:t xml:space="preserve">Técnico</w:t>
            </w:r>
          </w:p>
        </w:tc>
        <w:tc>
          <w:tcPr>
            <w:tcW w:type="dxa" w:w="8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jc w:val="center"/>
            </w:pPr>
            <w:r>
              <w:rPr>
                <w:rFonts w:ascii="Arial" w:cs="Arial" w:eastAsia="Arial" w:hAnsi="Arial"/>
                <w:b/>
                <w:bCs/>
                <w:color w:val="7A5500"/>
                <w:sz w:val="18"/>
                <w:szCs w:val="18"/>
              </w:rPr>
              <w:t xml:space="preserve">Medio</w:t>
            </w:r>
          </w:p>
        </w:tc>
        <w:tc>
          <w:tcPr>
            <w:tcW w:type="dxa" w:w="5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color w:val="4A4A4A"/>
                <w:sz w:val="18"/>
                <w:szCs w:val="18"/>
              </w:rPr>
              <w:t xml:space="preserve">Fijado en v1.16.x. Upgrade uno en uno — v1.17 elimina RocksDB, requiere migración incremental.</w:t>
            </w:r>
          </w:p>
        </w:tc>
      </w:tr>
      <w:tr>
        <w:tc>
          <w:tcPr>
            <w:tcW w:type="dxa" w:w="2400"/>
            <w:tcBorders>
              <w:top w:val="single" w:color="CCCCCC" w:sz="1"/>
              <w:left w:val="single" w:color="CCCCCC" w:sz="1"/>
              <w:bottom w:val="single" w:color="CCCCCC" w:sz="1"/>
              <w:right w:val="single" w:color="CCCCCC" w:sz="1"/>
            </w:tcBorders>
            <w:shd w:fill="F4F4F2" w:val="clear"/>
            <w:tcMar>
              <w:top w:type="dxa" w:w="80"/>
              <w:left w:type="dxa" w:w="120"/>
              <w:bottom w:type="dxa" w:w="80"/>
              <w:right w:type="dxa" w:w="80"/>
            </w:tcMar>
          </w:tcPr>
          <w:p>
            <w:r>
              <w:rPr>
                <w:rFonts w:ascii="Arial" w:cs="Arial" w:eastAsia="Arial" w:hAnsi="Arial"/>
                <w:color w:val="1C1C1C"/>
                <w:sz w:val="18"/>
                <w:szCs w:val="18"/>
              </w:rPr>
              <w:t xml:space="preserve">Dependencia de proveedor IA</w:t>
            </w:r>
          </w:p>
        </w:tc>
        <w:tc>
          <w:tcPr>
            <w:tcW w:type="dxa" w:w="1100"/>
            <w:tcBorders>
              <w:top w:val="single" w:color="CCCCCC" w:sz="1"/>
              <w:left w:val="single" w:color="CCCCCC" w:sz="1"/>
              <w:bottom w:val="single" w:color="CCCCCC" w:sz="1"/>
              <w:right w:val="single" w:color="CCCCCC" w:sz="1"/>
            </w:tcBorders>
            <w:shd w:fill="F4F4F2" w:val="clear"/>
            <w:tcMar>
              <w:top w:type="dxa" w:w="80"/>
              <w:left w:type="dxa" w:w="100"/>
              <w:bottom w:type="dxa" w:w="80"/>
              <w:right w:type="dxa" w:w="80"/>
            </w:tcMar>
          </w:tcPr>
          <w:p>
            <w:pPr>
              <w:jc w:val="center"/>
            </w:pPr>
            <w:r>
              <w:rPr>
                <w:rFonts w:ascii="Arial" w:cs="Arial" w:eastAsia="Arial" w:hAnsi="Arial"/>
                <w:b/>
                <w:bCs/>
                <w:color w:val="3A3A3A"/>
                <w:sz w:val="18"/>
                <w:szCs w:val="18"/>
              </w:rPr>
              <w:t xml:space="preserve">Estratégico</w:t>
            </w:r>
          </w:p>
        </w:tc>
        <w:tc>
          <w:tcPr>
            <w:tcW w:type="dxa" w:w="800"/>
            <w:tcBorders>
              <w:top w:val="single" w:color="CCCCCC" w:sz="1"/>
              <w:left w:val="single" w:color="CCCCCC" w:sz="1"/>
              <w:bottom w:val="single" w:color="CCCCCC" w:sz="1"/>
              <w:right w:val="single" w:color="CCCCCC" w:sz="1"/>
            </w:tcBorders>
            <w:shd w:fill="F4F4F2" w:val="clear"/>
            <w:tcMar>
              <w:top w:type="dxa" w:w="80"/>
              <w:left w:type="dxa" w:w="80"/>
              <w:bottom w:type="dxa" w:w="80"/>
              <w:right w:type="dxa" w:w="80"/>
            </w:tcMar>
          </w:tcPr>
          <w:p>
            <w:pPr>
              <w:jc w:val="center"/>
            </w:pPr>
            <w:r>
              <w:rPr>
                <w:rFonts w:ascii="Arial" w:cs="Arial" w:eastAsia="Arial" w:hAnsi="Arial"/>
                <w:b/>
                <w:bCs/>
                <w:color w:val="2D6A2D"/>
                <w:sz w:val="18"/>
                <w:szCs w:val="18"/>
              </w:rPr>
              <w:t xml:space="preserve">Bajo</w:t>
            </w:r>
          </w:p>
        </w:tc>
        <w:tc>
          <w:tcPr>
            <w:tcW w:type="dxa" w:w="5060"/>
            <w:tcBorders>
              <w:top w:val="single" w:color="CCCCCC" w:sz="1"/>
              <w:left w:val="single" w:color="CCCCCC" w:sz="1"/>
              <w:bottom w:val="single" w:color="CCCCCC" w:sz="1"/>
              <w:right w:val="single" w:color="CCCCCC" w:sz="1"/>
            </w:tcBorders>
            <w:shd w:fill="F4F4F2" w:val="clear"/>
            <w:tcMar>
              <w:top w:type="dxa" w:w="80"/>
              <w:left w:type="dxa" w:w="120"/>
              <w:bottom w:type="dxa" w:w="80"/>
              <w:right w:type="dxa" w:w="80"/>
            </w:tcMar>
          </w:tcPr>
          <w:p>
            <w:r>
              <w:rPr>
                <w:rFonts w:ascii="Arial" w:cs="Arial" w:eastAsia="Arial" w:hAnsi="Arial"/>
                <w:color w:val="4A4A4A"/>
                <w:sz w:val="18"/>
                <w:szCs w:val="18"/>
              </w:rPr>
              <w:t xml:space="preserve">Resuelto por diseño. La interfaz AIProvider permite migración instantánea entre proveedores sin cambios de código.</w:t>
            </w:r>
          </w:p>
        </w:tc>
      </w:tr>
    </w:tbl>
    <w:p>
      <w:pPr>
        <w:pBdr>
          <w:bottom w:val="single" w:color="CCCCCC" w:sz="1" w:space="1"/>
        </w:pBdr>
        <w:spacing w:after="280" w:before="280"/>
      </w:pPr>
      <w:r>
        <w:t xml:space="preserve"/>
      </w:r>
    </w:p>
    <w:p>
      <w:pPr>
        <w:pStyle w:val="Heading1"/>
        <w:pBdr>
          <w:bottom w:val="single" w:color="0A0A0A" w:sz="4" w:space="6"/>
        </w:pBdr>
        <w:spacing w:after="160" w:before="400"/>
      </w:pPr>
      <w:r>
        <w:rPr>
          <w:rFonts w:ascii="Arial" w:cs="Arial" w:eastAsia="Arial" w:hAnsi="Arial"/>
          <w:b/>
          <w:bCs/>
          <w:caps/>
          <w:color w:val="0A0A0A"/>
          <w:sz w:val="30"/>
          <w:szCs w:val="30"/>
        </w:rPr>
        <w:t xml:space="preserve">10. Hoja de Ruta de Desarrollo</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5760"/>
      </w:tblGrid>
      <w:tr>
        <w:trPr>
          <w:tblHeader/>
        </w:trPr>
        <w:tc>
          <w:tcPr>
            <w:tcW w:type="dxa" w:w="1600"/>
            <w:tcBorders>
              <w:top w:val="single" w:color="0A0A0A" w:sz="1"/>
              <w:left w:val="single" w:color="0A0A0A" w:sz="1"/>
              <w:bottom w:val="single" w:color="0A0A0A" w:sz="1"/>
              <w:right w:val="single" w:color="0A0A0A" w:sz="1"/>
            </w:tcBorders>
            <w:shd w:fill="1C1C1C" w:val="clear"/>
            <w:tcMar>
              <w:top w:type="dxa" w:w="100"/>
              <w:left w:type="dxa" w:w="120"/>
              <w:bottom w:type="dxa" w:w="100"/>
              <w:right w:type="dxa" w:w="80"/>
            </w:tcMar>
          </w:tcPr>
          <w:p>
            <w:r>
              <w:rPr>
                <w:rFonts w:ascii="Arial" w:cs="Arial" w:eastAsia="Arial" w:hAnsi="Arial"/>
                <w:b/>
                <w:bCs/>
                <w:color w:val="FFFFFF"/>
                <w:sz w:val="20"/>
                <w:szCs w:val="20"/>
              </w:rPr>
              <w:t xml:space="preserve">Fase</w:t>
            </w:r>
          </w:p>
        </w:tc>
        <w:tc>
          <w:tcPr>
            <w:tcW w:type="dxa" w:w="2000"/>
            <w:tcBorders>
              <w:top w:val="single" w:color="0A0A0A" w:sz="1"/>
              <w:left w:val="single" w:color="0A0A0A" w:sz="1"/>
              <w:bottom w:val="single" w:color="0A0A0A" w:sz="1"/>
              <w:right w:val="single" w:color="0A0A0A" w:sz="1"/>
            </w:tcBorders>
            <w:shd w:fill="1C1C1C" w:val="clear"/>
            <w:tcMar>
              <w:top w:type="dxa" w:w="100"/>
              <w:left w:type="dxa" w:w="120"/>
              <w:bottom w:type="dxa" w:w="100"/>
              <w:right w:type="dxa" w:w="80"/>
            </w:tcMar>
          </w:tcPr>
          <w:p>
            <w:r>
              <w:rPr>
                <w:rFonts w:ascii="Arial" w:cs="Arial" w:eastAsia="Arial" w:hAnsi="Arial"/>
                <w:b/>
                <w:bCs/>
                <w:color w:val="FFFFFF"/>
                <w:sz w:val="20"/>
                <w:szCs w:val="20"/>
              </w:rPr>
              <w:t xml:space="preserve">Duración</w:t>
            </w:r>
          </w:p>
        </w:tc>
        <w:tc>
          <w:tcPr>
            <w:tcW w:type="dxa" w:w="5760"/>
            <w:tcBorders>
              <w:top w:val="single" w:color="0A0A0A" w:sz="1"/>
              <w:left w:val="single" w:color="0A0A0A" w:sz="1"/>
              <w:bottom w:val="single" w:color="0A0A0A" w:sz="1"/>
              <w:right w:val="single" w:color="0A0A0A" w:sz="1"/>
            </w:tcBorders>
            <w:shd w:fill="1C1C1C" w:val="clear"/>
            <w:tcMar>
              <w:top w:type="dxa" w:w="100"/>
              <w:left w:type="dxa" w:w="120"/>
              <w:bottom w:type="dxa" w:w="100"/>
              <w:right w:type="dxa" w:w="80"/>
            </w:tcMar>
          </w:tcPr>
          <w:p>
            <w:r>
              <w:rPr>
                <w:rFonts w:ascii="Arial" w:cs="Arial" w:eastAsia="Arial" w:hAnsi="Arial"/>
                <w:b/>
                <w:bCs/>
                <w:color w:val="FFFFFF"/>
                <w:sz w:val="20"/>
                <w:szCs w:val="20"/>
              </w:rPr>
              <w:t xml:space="preserve">Entregables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bCs/>
                <w:color w:val="1C1C1C"/>
                <w:sz w:val="19"/>
                <w:szCs w:val="19"/>
              </w:rPr>
              <w:t xml:space="preserve">Fase 1 — MVP</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color w:val="3A3A3A"/>
                <w:sz w:val="19"/>
                <w:szCs w:val="19"/>
              </w:rPr>
              <w:t xml:space="preserve">4–6 semanas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color w:val="4A4A4A"/>
                <w:sz w:val="19"/>
                <w:szCs w:val="19"/>
              </w:rPr>
              <w:t xml:space="preserve">CLI Go funcional, interfaz AIProvider con Gemini + Claude, scraper OCC + Computrabajo, análisis IA, adaptación CV, Qdrant con embeddings locales</w:t>
            </w:r>
          </w:p>
        </w:tc>
      </w:tr>
      <w:tr>
        <w:tc>
          <w:tcPr>
            <w:tcW w:type="dxa" w:w="1600"/>
            <w:tcBorders>
              <w:top w:val="single" w:color="CCCCCC" w:sz="1"/>
              <w:left w:val="single" w:color="CCCCCC" w:sz="1"/>
              <w:bottom w:val="single" w:color="CCCCCC" w:sz="1"/>
              <w:right w:val="single" w:color="CCCCCC" w:sz="1"/>
            </w:tcBorders>
            <w:shd w:fill="F4F4F2" w:val="clear"/>
            <w:tcMar>
              <w:top w:type="dxa" w:w="80"/>
              <w:left w:type="dxa" w:w="120"/>
              <w:bottom w:type="dxa" w:w="80"/>
              <w:right w:type="dxa" w:w="80"/>
            </w:tcMar>
          </w:tcPr>
          <w:p>
            <w:r>
              <w:rPr>
                <w:rFonts w:ascii="Arial" w:cs="Arial" w:eastAsia="Arial" w:hAnsi="Arial"/>
                <w:b/>
                <w:bCs/>
                <w:color w:val="1C1C1C"/>
                <w:sz w:val="19"/>
                <w:szCs w:val="19"/>
              </w:rPr>
              <w:t xml:space="preserve">Fase 2 — Expansión</w:t>
            </w:r>
          </w:p>
        </w:tc>
        <w:tc>
          <w:tcPr>
            <w:tcW w:type="dxa" w:w="2000"/>
            <w:tcBorders>
              <w:top w:val="single" w:color="CCCCCC" w:sz="1"/>
              <w:left w:val="single" w:color="CCCCCC" w:sz="1"/>
              <w:bottom w:val="single" w:color="CCCCCC" w:sz="1"/>
              <w:right w:val="single" w:color="CCCCCC" w:sz="1"/>
            </w:tcBorders>
            <w:shd w:fill="F4F4F2" w:val="clear"/>
            <w:tcMar>
              <w:top w:type="dxa" w:w="80"/>
              <w:left w:type="dxa" w:w="120"/>
              <w:bottom w:type="dxa" w:w="80"/>
              <w:right w:type="dxa" w:w="80"/>
            </w:tcMar>
          </w:tcPr>
          <w:p>
            <w:r>
              <w:rPr>
                <w:rFonts w:ascii="Arial" w:cs="Arial" w:eastAsia="Arial" w:hAnsi="Arial"/>
                <w:color w:val="3A3A3A"/>
                <w:sz w:val="19"/>
                <w:szCs w:val="19"/>
              </w:rPr>
              <w:t xml:space="preserve">3–4 semanas</w:t>
            </w:r>
          </w:p>
        </w:tc>
        <w:tc>
          <w:tcPr>
            <w:tcW w:type="dxa" w:w="5760"/>
            <w:tcBorders>
              <w:top w:val="single" w:color="CCCCCC" w:sz="1"/>
              <w:left w:val="single" w:color="CCCCCC" w:sz="1"/>
              <w:bottom w:val="single" w:color="CCCCCC" w:sz="1"/>
              <w:right w:val="single" w:color="CCCCCC" w:sz="1"/>
            </w:tcBorders>
            <w:shd w:fill="F4F4F2" w:val="clear"/>
            <w:tcMar>
              <w:top w:type="dxa" w:w="80"/>
              <w:left w:type="dxa" w:w="120"/>
              <w:bottom w:type="dxa" w:w="80"/>
              <w:right w:type="dxa" w:w="80"/>
            </w:tcMar>
          </w:tcPr>
          <w:p>
            <w:r>
              <w:rPr>
                <w:rFonts w:ascii="Arial" w:cs="Arial" w:eastAsia="Arial" w:hAnsi="Arial"/>
                <w:color w:val="4A4A4A"/>
                <w:sz w:val="19"/>
                <w:szCs w:val="19"/>
              </w:rPr>
              <w:t xml:space="preserve">LinkedIn + Glassdoor, postulación asistida, dashboard web Next.js, análisis salarial comparativo, soporte Groq para filtrado rápido</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bCs/>
                <w:color w:val="1C1C1C"/>
                <w:sz w:val="19"/>
                <w:szCs w:val="19"/>
              </w:rPr>
              <w:t xml:space="preserve">Fase 3 — Automatización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color w:val="3A3A3A"/>
                <w:sz w:val="19"/>
                <w:szCs w:val="19"/>
              </w:rPr>
              <w:t xml:space="preserve">2–3 semanas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color w:val="4A4A4A"/>
                <w:sz w:val="19"/>
                <w:szCs w:val="19"/>
              </w:rPr>
              <w:t xml:space="preserve">Notificaciones inteligentes, perfil dinámico auto-actualizable, estadísticas avanzadas, soporte OpenRouter para experimentación de modelos</w:t>
            </w:r>
          </w:p>
        </w:tc>
      </w:tr>
    </w:tbl>
    <w:p>
      <w:pPr>
        <w:pBdr>
          <w:bottom w:val="single" w:color="CCCCCC" w:sz="1" w:space="1"/>
        </w:pBdr>
        <w:spacing w:after="280" w:before="280"/>
      </w:pPr>
      <w:r>
        <w:t xml:space="preserve"/>
      </w:r>
    </w:p>
    <w:p>
      <w:pPr>
        <w:pStyle w:val="Heading1"/>
        <w:pBdr>
          <w:bottom w:val="single" w:color="0A0A0A" w:sz="4" w:space="6"/>
        </w:pBdr>
        <w:spacing w:after="160" w:before="400"/>
      </w:pPr>
      <w:r>
        <w:rPr>
          <w:rFonts w:ascii="Arial" w:cs="Arial" w:eastAsia="Arial" w:hAnsi="Arial"/>
          <w:b/>
          <w:bCs/>
          <w:caps/>
          <w:color w:val="0A0A0A"/>
          <w:sz w:val="30"/>
          <w:szCs w:val="30"/>
        </w:rPr>
        <w:t xml:space="preserve">11. Entorno de Desarrollo</w:t>
      </w:r>
    </w:p>
    <w:p>
      <w:pPr>
        <w:pStyle w:val="Heading2"/>
        <w:spacing w:after="100" w:before="280"/>
      </w:pPr>
      <w:r>
        <w:rPr>
          <w:rFonts w:ascii="Arial" w:cs="Arial" w:eastAsia="Arial" w:hAnsi="Arial"/>
          <w:b/>
          <w:bCs/>
          <w:color w:val="1C1C1C"/>
          <w:sz w:val="24"/>
          <w:szCs w:val="24"/>
        </w:rPr>
        <w:t xml:space="preserve">Herramientas requeridas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5360"/>
      </w:tblGrid>
      <w:tr>
        <w:trPr>
          <w:tblHeader/>
        </w:trPr>
        <w:tc>
          <w:tcPr>
            <w:tcW w:type="dxa" w:w="2400"/>
            <w:tcBorders>
              <w:top w:val="single" w:color="0A0A0A" w:sz="1"/>
              <w:left w:val="single" w:color="0A0A0A" w:sz="1"/>
              <w:bottom w:val="single" w:color="0A0A0A" w:sz="1"/>
              <w:right w:val="single" w:color="0A0A0A" w:sz="1"/>
            </w:tcBorders>
            <w:shd w:fill="1C1C1C" w:val="clear"/>
            <w:tcMar>
              <w:top w:type="dxa" w:w="100"/>
              <w:left w:type="dxa" w:w="120"/>
              <w:bottom w:type="dxa" w:w="100"/>
              <w:right w:type="dxa" w:w="80"/>
            </w:tcMar>
          </w:tcPr>
          <w:p>
            <w:r>
              <w:rPr>
                <w:rFonts w:ascii="Arial" w:cs="Arial" w:eastAsia="Arial" w:hAnsi="Arial"/>
                <w:b/>
                <w:bCs/>
                <w:color w:val="FFFFFF"/>
                <w:sz w:val="20"/>
                <w:szCs w:val="20"/>
              </w:rPr>
              <w:t xml:space="preserve">Herramienta</w:t>
            </w:r>
          </w:p>
        </w:tc>
        <w:tc>
          <w:tcPr>
            <w:tcW w:type="dxa" w:w="1600"/>
            <w:tcBorders>
              <w:top w:val="single" w:color="0A0A0A" w:sz="1"/>
              <w:left w:val="single" w:color="0A0A0A" w:sz="1"/>
              <w:bottom w:val="single" w:color="0A0A0A" w:sz="1"/>
              <w:right w:val="single" w:color="0A0A0A" w:sz="1"/>
            </w:tcBorders>
            <w:shd w:fill="1C1C1C" w:val="clear"/>
            <w:tcMar>
              <w:top w:type="dxa" w:w="100"/>
              <w:left w:type="dxa" w:w="120"/>
              <w:bottom w:type="dxa" w:w="100"/>
              <w:right w:type="dxa" w:w="80"/>
            </w:tcMar>
          </w:tcPr>
          <w:p>
            <w:r>
              <w:rPr>
                <w:rFonts w:ascii="Arial" w:cs="Arial" w:eastAsia="Arial" w:hAnsi="Arial"/>
                <w:b/>
                <w:bCs/>
                <w:color w:val="FFFFFF"/>
                <w:sz w:val="20"/>
                <w:szCs w:val="20"/>
              </w:rPr>
              <w:t xml:space="preserve">Versión</w:t>
            </w:r>
          </w:p>
        </w:tc>
        <w:tc>
          <w:tcPr>
            <w:tcW w:type="dxa" w:w="5360"/>
            <w:tcBorders>
              <w:top w:val="single" w:color="0A0A0A" w:sz="1"/>
              <w:left w:val="single" w:color="0A0A0A" w:sz="1"/>
              <w:bottom w:val="single" w:color="0A0A0A" w:sz="1"/>
              <w:right w:val="single" w:color="0A0A0A" w:sz="1"/>
            </w:tcBorders>
            <w:shd w:fill="1C1C1C" w:val="clear"/>
            <w:tcMar>
              <w:top w:type="dxa" w:w="100"/>
              <w:left w:type="dxa" w:w="120"/>
              <w:bottom w:type="dxa" w:w="100"/>
              <w:right w:type="dxa" w:w="80"/>
            </w:tcMar>
          </w:tcPr>
          <w:p>
            <w:r>
              <w:rPr>
                <w:rFonts w:ascii="Arial" w:cs="Arial" w:eastAsia="Arial" w:hAnsi="Arial"/>
                <w:b/>
                <w:bCs/>
                <w:color w:val="FFFFFF"/>
                <w:sz w:val="20"/>
                <w:szCs w:val="20"/>
              </w:rPr>
              <w:t xml:space="preserve">Instalación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bCs/>
                <w:color w:val="1C1C1C"/>
                <w:sz w:val="19"/>
                <w:szCs w:val="19"/>
              </w:rPr>
              <w:t xml:space="preserve">Go</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color w:val="3A3A3A"/>
                <w:sz w:val="19"/>
                <w:szCs w:val="19"/>
              </w:rPr>
              <w:t xml:space="preserve">1.24.2</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color w:val="4A4A4A"/>
                <w:sz w:val="18"/>
                <w:szCs w:val="18"/>
              </w:rPr>
              <w:t xml:space="preserve">https://go.dev/dl/</w:t>
            </w:r>
          </w:p>
        </w:tc>
      </w:tr>
      <w:tr>
        <w:tc>
          <w:tcPr>
            <w:tcW w:type="dxa" w:w="2400"/>
            <w:tcBorders>
              <w:top w:val="single" w:color="CCCCCC" w:sz="1"/>
              <w:left w:val="single" w:color="CCCCCC" w:sz="1"/>
              <w:bottom w:val="single" w:color="CCCCCC" w:sz="1"/>
              <w:right w:val="single" w:color="CCCCCC" w:sz="1"/>
            </w:tcBorders>
            <w:shd w:fill="F4F4F2" w:val="clear"/>
            <w:tcMar>
              <w:top w:type="dxa" w:w="80"/>
              <w:left w:type="dxa" w:w="120"/>
              <w:bottom w:type="dxa" w:w="80"/>
              <w:right w:type="dxa" w:w="80"/>
            </w:tcMar>
          </w:tcPr>
          <w:p>
            <w:r>
              <w:rPr>
                <w:rFonts w:ascii="Arial" w:cs="Arial" w:eastAsia="Arial" w:hAnsi="Arial"/>
                <w:b/>
                <w:bCs/>
                <w:color w:val="1C1C1C"/>
                <w:sz w:val="19"/>
                <w:szCs w:val="19"/>
              </w:rPr>
              <w:t xml:space="preserve">Node.js</w:t>
            </w:r>
          </w:p>
        </w:tc>
        <w:tc>
          <w:tcPr>
            <w:tcW w:type="dxa" w:w="1600"/>
            <w:tcBorders>
              <w:top w:val="single" w:color="CCCCCC" w:sz="1"/>
              <w:left w:val="single" w:color="CCCCCC" w:sz="1"/>
              <w:bottom w:val="single" w:color="CCCCCC" w:sz="1"/>
              <w:right w:val="single" w:color="CCCCCC" w:sz="1"/>
            </w:tcBorders>
            <w:shd w:fill="F4F4F2" w:val="clear"/>
            <w:tcMar>
              <w:top w:type="dxa" w:w="80"/>
              <w:left w:type="dxa" w:w="120"/>
              <w:bottom w:type="dxa" w:w="80"/>
              <w:right w:type="dxa" w:w="80"/>
            </w:tcMar>
          </w:tcPr>
          <w:p>
            <w:r>
              <w:rPr>
                <w:rFonts w:ascii="Arial" w:cs="Arial" w:eastAsia="Arial" w:hAnsi="Arial"/>
                <w:color w:val="3A3A3A"/>
                <w:sz w:val="19"/>
                <w:szCs w:val="19"/>
              </w:rPr>
              <w:t xml:space="preserve">22 LTS</w:t>
            </w:r>
          </w:p>
        </w:tc>
        <w:tc>
          <w:tcPr>
            <w:tcW w:type="dxa" w:w="5360"/>
            <w:tcBorders>
              <w:top w:val="single" w:color="CCCCCC" w:sz="1"/>
              <w:left w:val="single" w:color="CCCCCC" w:sz="1"/>
              <w:bottom w:val="single" w:color="CCCCCC" w:sz="1"/>
              <w:right w:val="single" w:color="CCCCCC" w:sz="1"/>
            </w:tcBorders>
            <w:shd w:fill="F4F4F2" w:val="clear"/>
            <w:tcMar>
              <w:top w:type="dxa" w:w="80"/>
              <w:left w:type="dxa" w:w="120"/>
              <w:bottom w:type="dxa" w:w="80"/>
              <w:right w:type="dxa" w:w="80"/>
            </w:tcMar>
          </w:tcPr>
          <w:p>
            <w:r>
              <w:rPr>
                <w:rFonts w:ascii="Arial" w:cs="Arial" w:eastAsia="Arial" w:hAnsi="Arial"/>
                <w:color w:val="4A4A4A"/>
                <w:sz w:val="18"/>
                <w:szCs w:val="18"/>
              </w:rPr>
              <w:t xml:space="preserve">https://nodejs.org  o  nvm install 22</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bCs/>
                <w:color w:val="1C1C1C"/>
                <w:sz w:val="19"/>
                <w:szCs w:val="19"/>
              </w:rPr>
              <w:t xml:space="preserve">Docker Desktop</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color w:val="3A3A3A"/>
                <w:sz w:val="19"/>
                <w:szCs w:val="19"/>
              </w:rPr>
              <w:t xml:space="preserve">Latest</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color w:val="4A4A4A"/>
                <w:sz w:val="18"/>
                <w:szCs w:val="18"/>
              </w:rPr>
              <w:t xml:space="preserve">https://www.docker.com/products/docker-desktop/</w:t>
            </w:r>
          </w:p>
        </w:tc>
      </w:tr>
      <w:tr>
        <w:tc>
          <w:tcPr>
            <w:tcW w:type="dxa" w:w="2400"/>
            <w:tcBorders>
              <w:top w:val="single" w:color="CCCCCC" w:sz="1"/>
              <w:left w:val="single" w:color="CCCCCC" w:sz="1"/>
              <w:bottom w:val="single" w:color="CCCCCC" w:sz="1"/>
              <w:right w:val="single" w:color="CCCCCC" w:sz="1"/>
            </w:tcBorders>
            <w:shd w:fill="F4F4F2" w:val="clear"/>
            <w:tcMar>
              <w:top w:type="dxa" w:w="80"/>
              <w:left w:type="dxa" w:w="120"/>
              <w:bottom w:type="dxa" w:w="80"/>
              <w:right w:type="dxa" w:w="80"/>
            </w:tcMar>
          </w:tcPr>
          <w:p>
            <w:r>
              <w:rPr>
                <w:rFonts w:ascii="Arial" w:cs="Arial" w:eastAsia="Arial" w:hAnsi="Arial"/>
                <w:b/>
                <w:bCs/>
                <w:color w:val="1C1C1C"/>
                <w:sz w:val="19"/>
                <w:szCs w:val="19"/>
              </w:rPr>
              <w:t xml:space="preserve">Pandoc</w:t>
            </w:r>
          </w:p>
        </w:tc>
        <w:tc>
          <w:tcPr>
            <w:tcW w:type="dxa" w:w="1600"/>
            <w:tcBorders>
              <w:top w:val="single" w:color="CCCCCC" w:sz="1"/>
              <w:left w:val="single" w:color="CCCCCC" w:sz="1"/>
              <w:bottom w:val="single" w:color="CCCCCC" w:sz="1"/>
              <w:right w:val="single" w:color="CCCCCC" w:sz="1"/>
            </w:tcBorders>
            <w:shd w:fill="F4F4F2" w:val="clear"/>
            <w:tcMar>
              <w:top w:type="dxa" w:w="80"/>
              <w:left w:type="dxa" w:w="120"/>
              <w:bottom w:type="dxa" w:w="80"/>
              <w:right w:type="dxa" w:w="80"/>
            </w:tcMar>
          </w:tcPr>
          <w:p>
            <w:r>
              <w:rPr>
                <w:rFonts w:ascii="Arial" w:cs="Arial" w:eastAsia="Arial" w:hAnsi="Arial"/>
                <w:color w:val="3A3A3A"/>
                <w:sz w:val="19"/>
                <w:szCs w:val="19"/>
              </w:rPr>
              <w:t xml:space="preserve">3.6.x</w:t>
            </w:r>
          </w:p>
        </w:tc>
        <w:tc>
          <w:tcPr>
            <w:tcW w:type="dxa" w:w="5360"/>
            <w:tcBorders>
              <w:top w:val="single" w:color="CCCCCC" w:sz="1"/>
              <w:left w:val="single" w:color="CCCCCC" w:sz="1"/>
              <w:bottom w:val="single" w:color="CCCCCC" w:sz="1"/>
              <w:right w:val="single" w:color="CCCCCC" w:sz="1"/>
            </w:tcBorders>
            <w:shd w:fill="F4F4F2" w:val="clear"/>
            <w:tcMar>
              <w:top w:type="dxa" w:w="80"/>
              <w:left w:type="dxa" w:w="120"/>
              <w:bottom w:type="dxa" w:w="80"/>
              <w:right w:type="dxa" w:w="80"/>
            </w:tcMar>
          </w:tcPr>
          <w:p>
            <w:r>
              <w:rPr>
                <w:rFonts w:ascii="Arial" w:cs="Arial" w:eastAsia="Arial" w:hAnsi="Arial"/>
                <w:color w:val="4A4A4A"/>
                <w:sz w:val="18"/>
                <w:szCs w:val="18"/>
              </w:rPr>
              <w:t xml:space="preserve">https://pandoc.org/installing.html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bCs/>
                <w:color w:val="1C1C1C"/>
                <w:sz w:val="19"/>
                <w:szCs w:val="19"/>
              </w:rPr>
              <w:t xml:space="preserve">VS Code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color w:val="3A3A3A"/>
                <w:sz w:val="19"/>
                <w:szCs w:val="19"/>
              </w:rPr>
              <w:t xml:space="preserve">Latest</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color w:val="4A4A4A"/>
                <w:sz w:val="18"/>
                <w:szCs w:val="18"/>
              </w:rPr>
              <w:t xml:space="preserve">https://code.visualstudio.com/  (recomendado)</w:t>
            </w:r>
          </w:p>
        </w:tc>
      </w:tr>
    </w:tbl>
    <w:p>
      <w:pPr>
        <w:spacing w:after="0" w:before="120"/>
      </w:pPr>
      <w:r>
        <w:t xml:space="preserve"/>
      </w:r>
    </w:p>
    <w:p>
      <w:pPr>
        <w:pStyle w:val="Heading2"/>
        <w:spacing w:after="100" w:before="280"/>
      </w:pPr>
      <w:r>
        <w:rPr>
          <w:rFonts w:ascii="Arial" w:cs="Arial" w:eastAsia="Arial" w:hAnsi="Arial"/>
          <w:b/>
          <w:bCs/>
          <w:color w:val="1C1C1C"/>
          <w:sz w:val="24"/>
          <w:szCs w:val="24"/>
        </w:rPr>
        <w:t xml:space="preserve">Inicio rápido — un solo comando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none" w:color="FFFFFF" w:sz="0"/>
              <w:left w:val="none" w:color="FFFFFF" w:sz="0"/>
              <w:bottom w:val="none" w:color="FFFFFF" w:sz="0"/>
              <w:right w:val="none" w:color="FFFFFF" w:sz="0"/>
            </w:tcBorders>
            <w:shd w:fill="1C1C1C" w:val="clear"/>
            <w:tcMar>
              <w:top w:type="dxa" w:w="120"/>
              <w:left w:type="dxa" w:w="160"/>
              <w:bottom w:type="dxa" w:w="120"/>
              <w:right w:type="dxa" w:w="80"/>
            </w:tcMar>
            <w:vAlign w:val="center"/>
          </w:tcPr>
          <w:p>
            <w:pPr>
              <w:jc w:val="center"/>
            </w:pPr>
            <w:r>
              <w:rPr>
                <w:rFonts w:ascii="Arial" w:cs="Arial" w:eastAsia="Arial" w:hAnsi="Arial"/>
                <w:b/>
                <w:bCs/>
                <w:color w:val="FFFFFF"/>
                <w:sz w:val="18"/>
                <w:szCs w:val="18"/>
              </w:rPr>
              <w:t xml:space="preserve">SETUP</w:t>
            </w:r>
          </w:p>
        </w:tc>
        <w:tc>
          <w:tcPr>
            <w:tcW w:type="dxa" w:w="7920"/>
            <w:tcBorders>
              <w:top w:val="none" w:color="FFFFFF" w:sz="0"/>
              <w:left w:val="none" w:color="FFFFFF" w:sz="0"/>
              <w:bottom w:val="none" w:color="FFFFFF" w:sz="0"/>
              <w:right w:val="none" w:color="FFFFFF" w:sz="0"/>
            </w:tcBorders>
            <w:shd w:fill="F4F4F2" w:val="clear"/>
            <w:tcMar>
              <w:top w:type="dxa" w:w="120"/>
              <w:left w:type="dxa" w:w="160"/>
              <w:bottom w:type="dxa" w:w="120"/>
              <w:right w:type="dxa" w:w="160"/>
            </w:tcMar>
          </w:tcPr>
          <w:p>
            <w:r>
              <w:rPr>
                <w:rFonts w:ascii="Arial" w:cs="Arial" w:eastAsia="Arial" w:hAnsi="Arial"/>
                <w:color w:val="4A4A4A"/>
                <w:sz w:val="20"/>
                <w:szCs w:val="20"/>
              </w:rPr>
              <w:t xml:space="preserve">git clone &lt;repo&gt; &amp;&amp; cd offertrack-m82 &amp;&amp; ./scripts/setup.sh</w:t>
            </w:r>
          </w:p>
        </w:tc>
      </w:tr>
    </w:tbl>
    <w:p>
      <w:pPr>
        <w:spacing w:after="0" w:before="60"/>
      </w:pPr>
      <w:r>
        <w:t xml:space="preserve"/>
      </w:r>
    </w:p>
    <w:p>
      <w:pPr>
        <w:spacing w:after="80" w:before="60"/>
      </w:pPr>
      <w:r>
        <w:rPr>
          <w:rFonts w:ascii="Arial" w:cs="Arial" w:eastAsia="Arial" w:hAnsi="Arial"/>
          <w:color w:val="4A4A4A"/>
          <w:sz w:val="21"/>
          <w:szCs w:val="21"/>
        </w:rPr>
        <w:t xml:space="preserve">El script setup.sh verifica dependencias del sistema, instala módulos Go y Node.js, descarga browsers Playwright, crea directorios, levanta Qdrant en Docker y valida que todo esté listo para desarrollar.</w:t>
      </w:r>
    </w:p>
    <w:p>
      <w:pPr>
        <w:pBdr>
          <w:bottom w:val="single" w:color="CCCCCC" w:sz="1" w:space="1"/>
        </w:pBdr>
        <w:spacing w:after="280" w:before="280"/>
      </w:pPr>
      <w:r>
        <w:t xml:space="preserve"/>
      </w:r>
    </w:p>
    <w:p>
      <w:pPr>
        <w:pStyle w:val="Heading1"/>
        <w:pBdr>
          <w:bottom w:val="single" w:color="0A0A0A" w:sz="4" w:space="6"/>
        </w:pBdr>
        <w:spacing w:after="160" w:before="400"/>
      </w:pPr>
      <w:r>
        <w:rPr>
          <w:rFonts w:ascii="Arial" w:cs="Arial" w:eastAsia="Arial" w:hAnsi="Arial"/>
          <w:b/>
          <w:bCs/>
          <w:caps/>
          <w:color w:val="0A0A0A"/>
          <w:sz w:val="30"/>
          <w:szCs w:val="30"/>
        </w:rPr>
        <w:t xml:space="preserve">12. Conclusión</w:t>
      </w:r>
    </w:p>
    <w:p>
      <w:pPr>
        <w:spacing w:after="80" w:before="60"/>
      </w:pPr>
      <w:r>
        <w:rPr>
          <w:rFonts w:ascii="Arial" w:cs="Arial" w:eastAsia="Arial" w:hAnsi="Arial"/>
          <w:color w:val="4A4A4A"/>
          <w:sz w:val="21"/>
          <w:szCs w:val="21"/>
        </w:rPr>
        <w:t xml:space="preserve">OfferTrack M82 representa una solución técnicamente sólida a un problema real: la ineficiencia del proceso tradicional de búsqueda de empleo. La combinación de Go como orquestador de alto rendimiento, Node.js para recolección de datos, Qdrant como base de datos unificada y la interfaz AIProvider como núcleo de la arquitectura conforma un sistema modular, escalable y listo para producción desde el día uno.</w:t>
      </w:r>
    </w:p>
    <w:p>
      <w:pPr>
        <w:spacing w:after="0" w:before="60"/>
      </w:pPr>
      <w:r>
        <w:t xml:space="preserve"/>
      </w:r>
    </w:p>
    <w:p>
      <w:pPr>
        <w:spacing w:after="80" w:before="60"/>
      </w:pPr>
      <w:r>
        <w:rPr>
          <w:rFonts w:ascii="Arial" w:cs="Arial" w:eastAsia="Arial" w:hAnsi="Arial"/>
          <w:color w:val="4A4A4A"/>
          <w:sz w:val="21"/>
          <w:szCs w:val="21"/>
        </w:rPr>
        <w:t xml:space="preserve">La decisión de desacoplar completamente el sistema de cualquier proveedor de IA específico no es solo una ventaja técnica — es una decisión estratégica que garantiza la longevidad del proyecto independientemente de cómo evolucione el mercado de modelos de lenguaje. Arrancar con Gemini gratuito y migrar a Claude con un cambio de configuración es el tipo de flexibilidad que diferencia una arquitectura bien pensada de una solución frágil.</w:t>
      </w:r>
    </w:p>
    <w:p>
      <w:pPr>
        <w:spacing w:after="0" w:before="60"/>
      </w:pPr>
      <w:r>
        <w:t xml:space="preserve"/>
      </w:r>
    </w:p>
    <w:p>
      <w:pPr>
        <w:spacing w:after="80" w:before="60"/>
      </w:pPr>
      <w:r>
        <w:rPr>
          <w:rFonts w:ascii="Arial" w:cs="Arial" w:eastAsia="Arial" w:hAnsi="Arial"/>
          <w:color w:val="4A4A4A"/>
          <w:sz w:val="21"/>
          <w:szCs w:val="21"/>
        </w:rPr>
        <w:t xml:space="preserve">El enfoque modular permite entregas incrementales con valor real desde la primera fase. Este documento establece la base técnica y conceptual del proyecto.</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none" w:color="FFFFFF" w:sz="0"/>
              <w:left w:val="none" w:color="FFFFFF" w:sz="0"/>
              <w:bottom w:val="none" w:color="FFFFFF" w:sz="0"/>
              <w:right w:val="none" w:color="FFFFFF" w:sz="0"/>
            </w:tcBorders>
            <w:shd w:fill="1C1C1C" w:val="clear"/>
            <w:tcMar>
              <w:top w:type="dxa" w:w="120"/>
              <w:left w:type="dxa" w:w="160"/>
              <w:bottom w:type="dxa" w:w="120"/>
              <w:right w:type="dxa" w:w="80"/>
            </w:tcMar>
            <w:vAlign w:val="center"/>
          </w:tcPr>
          <w:p>
            <w:pPr>
              <w:jc w:val="center"/>
            </w:pPr>
            <w:r>
              <w:rPr>
                <w:rFonts w:ascii="Arial" w:cs="Arial" w:eastAsia="Arial" w:hAnsi="Arial"/>
                <w:b/>
                <w:bCs/>
                <w:color w:val="FFFFFF"/>
                <w:sz w:val="18"/>
                <w:szCs w:val="18"/>
              </w:rPr>
              <w:t xml:space="preserve">SIGUIENTE PASO</w:t>
            </w:r>
          </w:p>
        </w:tc>
        <w:tc>
          <w:tcPr>
            <w:tcW w:type="dxa" w:w="7920"/>
            <w:tcBorders>
              <w:top w:val="none" w:color="FFFFFF" w:sz="0"/>
              <w:left w:val="none" w:color="FFFFFF" w:sz="0"/>
              <w:bottom w:val="none" w:color="FFFFFF" w:sz="0"/>
              <w:right w:val="none" w:color="FFFFFF" w:sz="0"/>
            </w:tcBorders>
            <w:shd w:fill="F4F4F2" w:val="clear"/>
            <w:tcMar>
              <w:top w:type="dxa" w:w="120"/>
              <w:left w:type="dxa" w:w="160"/>
              <w:bottom w:type="dxa" w:w="120"/>
              <w:right w:type="dxa" w:w="160"/>
            </w:tcMar>
          </w:tcPr>
          <w:p>
            <w:r>
              <w:rPr>
                <w:rFonts w:ascii="Arial" w:cs="Arial" w:eastAsia="Arial" w:hAnsi="Arial"/>
                <w:color w:val="4A4A4A"/>
                <w:sz w:val="20"/>
                <w:szCs w:val="20"/>
              </w:rPr>
              <w:t xml:space="preserve">Configurar repositorio Git como monorepo, implementar la interfaz AIProvider con Gemini como primer proveedor, levantar Qdrant en Docker y ejecutar el primer análisis end-to-end desde la CLI.</w:t>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7000"/>
      <w:gridCol w:w="3080"/>
    </w:tblGrid>
    <w:tr>
      <w:tc>
        <w:tcPr>
          <w:tcW w:type="dxa" w:w="7000"/>
          <w:tcBorders>
            <w:top w:val="single" w:color="CCCCCC" w:sz="1"/>
            <w:left w:val="none" w:color="FFFFFF" w:sz="0"/>
            <w:bottom w:val="none" w:color="FFFFFF" w:sz="0"/>
            <w:right w:val="none" w:color="FFFFFF" w:sz="0"/>
          </w:tcBorders>
          <w:tcMar>
            <w:top w:type="dxa" w:w="60"/>
            <w:left w:type="dxa" w:w="0"/>
            <w:bottom w:type="dxa" w:w="0"/>
            <w:right w:type="dxa" w:w="0"/>
          </w:tcMar>
        </w:tcPr>
        <w:p>
          <w:r>
            <w:rPr>
              <w:rFonts w:ascii="Arial" w:cs="Arial" w:eastAsia="Arial" w:hAnsi="Arial"/>
              <w:i/>
              <w:iCs/>
              <w:color w:val="888888"/>
              <w:sz w:val="16"/>
              <w:szCs w:val="16"/>
            </w:rPr>
            <w:t xml:space="preserve">Plataforma de Búsqueda de Empleo · Arquitectura Provider-Agnostic</w:t>
          </w:r>
        </w:p>
      </w:tc>
      <w:tc>
        <w:tcPr>
          <w:tcW w:type="dxa" w:w="3080"/>
          <w:tcBorders>
            <w:top w:val="single" w:color="CCCCCC" w:sz="1"/>
            <w:left w:val="none" w:color="FFFFFF" w:sz="0"/>
            <w:bottom w:val="none" w:color="FFFFFF" w:sz="0"/>
            <w:right w:val="none" w:color="FFFFFF" w:sz="0"/>
          </w:tcBorders>
          <w:tcMar>
            <w:top w:type="dxa" w:w="60"/>
            <w:left w:type="dxa" w:w="0"/>
            <w:bottom w:type="dxa" w:w="0"/>
            <w:right w:type="dxa" w:w="0"/>
          </w:tcMar>
        </w:tcPr>
        <w:p>
          <w:pPr>
            <w:jc w:val="right"/>
          </w:pPr>
          <w:r>
            <w:rPr>
              <w:rFonts w:ascii="Arial" w:cs="Arial" w:eastAsia="Arial" w:hAnsi="Arial"/>
              <w:color w:val="888888"/>
              <w:sz w:val="16"/>
              <w:szCs w:val="16"/>
            </w:rPr>
            <w:t xml:space="preserve">Confidencial</w:t>
          </w:r>
        </w:p>
      </w:tc>
    </w:tr>
  </w:tbl>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7000"/>
      <w:gridCol w:w="3080"/>
    </w:tblGrid>
    <w:tr>
      <w:tc>
        <w:tcPr>
          <w:tcW w:type="dxa" w:w="7000"/>
          <w:tcBorders>
            <w:top w:val="none" w:color="FFFFFF" w:sz="0"/>
            <w:left w:val="none" w:color="FFFFFF" w:sz="0"/>
            <w:bottom w:val="single" w:color="CCCCCC" w:sz="1"/>
            <w:right w:val="none" w:color="FFFFFF" w:sz="0"/>
          </w:tcBorders>
          <w:tcMar>
            <w:top w:type="dxa" w:w="60"/>
            <w:left w:type="dxa" w:w="0"/>
            <w:bottom w:type="dxa" w:w="60"/>
            <w:right w:type="dxa" w:w="0"/>
          </w:tcMar>
        </w:tcPr>
        <w:p>
          <w:r>
            <w:rPr>
              <w:rFonts w:ascii="Arial" w:cs="Arial" w:eastAsia="Arial" w:hAnsi="Arial"/>
              <w:b/>
              <w:bCs/>
              <w:color w:val="1C1C1C"/>
              <w:sz w:val="18"/>
              <w:szCs w:val="18"/>
            </w:rPr>
            <w:t xml:space="preserve">OfferTrack M82 — Propuesta de Proyecto</w:t>
          </w:r>
        </w:p>
      </w:tc>
      <w:tc>
        <w:tcPr>
          <w:tcW w:type="dxa" w:w="3080"/>
          <w:tcBorders>
            <w:top w:val="none" w:color="FFFFFF" w:sz="0"/>
            <w:left w:val="none" w:color="FFFFFF" w:sz="0"/>
            <w:bottom w:val="single" w:color="CCCCCC" w:sz="1"/>
            <w:right w:val="none" w:color="FFFFFF" w:sz="0"/>
          </w:tcBorders>
          <w:tcMar>
            <w:top w:type="dxa" w:w="60"/>
            <w:left w:type="dxa" w:w="0"/>
            <w:bottom w:type="dxa" w:w="60"/>
            <w:right w:type="dxa" w:w="0"/>
          </w:tcMar>
        </w:tcPr>
        <w:p>
          <w:pPr>
            <w:jc w:val="right"/>
          </w:pPr>
          <w:r>
            <w:rPr>
              <w:rFonts w:ascii="Arial" w:cs="Arial" w:eastAsia="Arial" w:hAnsi="Arial"/>
              <w:i/>
              <w:iCs/>
              <w:color w:val="888888"/>
              <w:sz w:val="16"/>
              <w:szCs w:val="16"/>
            </w:rPr>
            <w:t xml:space="preserve">Versión 1.1 · Abril 2026</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4A4A4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aps/>
      <w:color w:val="0A0A0A"/>
      <w:sz w:val="30"/>
      <w:szCs w:val="30"/>
    </w:rPr>
  </w:style>
  <w:style w:type="paragraph" w:styleId="Heading2">
    <w:name w:val="Heading 2"/>
    <w:basedOn w:val="Normal"/>
    <w:next w:val="Normal"/>
    <w:qFormat/>
    <w:pPr>
      <w:spacing w:after="100" w:before="280"/>
      <w:outlineLvl w:val="1"/>
    </w:pPr>
    <w:rPr>
      <w:rFonts w:ascii="Arial" w:cs="Arial" w:eastAsia="Arial" w:hAnsi="Arial"/>
      <w:b/>
      <w:bCs/>
      <w:color w:val="1C1C1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2026-04-12T09:36:28.615Z</dcterms:created>
  <dcterms:modified xsi:type="dcterms:W3CDTF">2026-04-12T09:36:28.615Z</dcterms:modified>
</cp:coreProperties>
</file>

<file path=docProps/custom.xml><?xml version="1.0" encoding="utf-8"?>
<Properties xmlns="http://schemas.openxmlformats.org/officeDocument/2006/custom-properties" xmlns:vt="http://schemas.openxmlformats.org/officeDocument/2006/docPropsVTypes"/>
</file>