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180" w:rsidRDefault="00154180">
      <w:pPr>
        <w:pStyle w:val="Heading1"/>
        <w:jc w:val="both"/>
        <w:rPr>
          <w:color w:val="000000"/>
        </w:rPr>
      </w:pPr>
    </w:p>
    <w:p w:rsidR="00154180" w:rsidRDefault="00154180">
      <w:pPr>
        <w:pStyle w:val="Heading1"/>
        <w:jc w:val="both"/>
        <w:rPr>
          <w:color w:val="000000"/>
        </w:rPr>
      </w:pPr>
    </w:p>
    <w:p w:rsidR="00154180" w:rsidRDefault="00154180">
      <w:pPr>
        <w:pStyle w:val="Heading1"/>
        <w:jc w:val="both"/>
        <w:rPr>
          <w:color w:val="000000"/>
        </w:rPr>
      </w:pPr>
    </w:p>
    <w:p w:rsidR="00154180" w:rsidRDefault="00154180">
      <w:pPr>
        <w:pStyle w:val="Heading1"/>
        <w:jc w:val="both"/>
        <w:rPr>
          <w:color w:val="000000"/>
        </w:rPr>
      </w:pPr>
    </w:p>
    <w:p w:rsidR="00154180" w:rsidRDefault="00154180">
      <w:pPr>
        <w:pStyle w:val="Heading1"/>
        <w:jc w:val="both"/>
        <w:rPr>
          <w:color w:val="000000"/>
        </w:rPr>
      </w:pPr>
    </w:p>
    <w:p w:rsidR="00154180" w:rsidRDefault="00BD6A35">
      <w:pPr>
        <w:pStyle w:val="Heading1"/>
        <w:jc w:val="center"/>
        <w:rPr>
          <w:color w:val="000000"/>
        </w:rPr>
      </w:pPr>
      <w:r>
        <w:rPr>
          <w:color w:val="000000"/>
        </w:rPr>
        <w:t>Phishing Simulation Report</w:t>
      </w:r>
    </w:p>
    <w:p w:rsidR="00154180" w:rsidRDefault="00BD6A35">
      <w:pPr>
        <w:jc w:val="center"/>
      </w:pPr>
      <w:proofErr w:type="spellStart"/>
      <w:r>
        <w:t>Cybersecurity</w:t>
      </w:r>
      <w:proofErr w:type="spellEnd"/>
      <w:r>
        <w:t xml:space="preserve"> Audit Project – Employee Vigilance Assessment</w:t>
      </w:r>
    </w:p>
    <w:p w:rsidR="00154180" w:rsidRDefault="00BD6A35">
      <w:pPr>
        <w:jc w:val="center"/>
      </w:pPr>
      <w:proofErr w:type="spellStart"/>
      <w:r>
        <w:t>Organisation</w:t>
      </w:r>
      <w:proofErr w:type="spellEnd"/>
      <w:r>
        <w:t>: Confidential</w:t>
      </w:r>
    </w:p>
    <w:p w:rsidR="00154180" w:rsidRDefault="00BD6A35">
      <w:pPr>
        <w:jc w:val="center"/>
      </w:pPr>
      <w:r>
        <w:t>Date: 29 June 2025</w:t>
      </w:r>
    </w:p>
    <w:p w:rsidR="00154180" w:rsidRDefault="00EF34A6">
      <w:pPr>
        <w:pStyle w:val="Heading2"/>
        <w:jc w:val="center"/>
        <w:rPr>
          <w:color w:val="000000"/>
        </w:rPr>
      </w:pPr>
      <w:r>
        <w:rPr>
          <w:color w:val="000000"/>
        </w:rPr>
        <w:t xml:space="preserve">Prepared </w:t>
      </w:r>
      <w:proofErr w:type="spellStart"/>
      <w:r>
        <w:rPr>
          <w:color w:val="000000"/>
        </w:rPr>
        <w:t>By</w:t>
      </w:r>
      <w:proofErr w:type="gramStart"/>
      <w:r>
        <w:rPr>
          <w:color w:val="000000"/>
        </w:rPr>
        <w:t>:Oyedele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Oyepeju</w:t>
      </w:r>
      <w:proofErr w:type="spellEnd"/>
      <w:r>
        <w:rPr>
          <w:color w:val="000000"/>
        </w:rPr>
        <w:t xml:space="preserve"> (</w:t>
      </w:r>
      <w:r w:rsidR="00BD6A35">
        <w:rPr>
          <w:color w:val="000000"/>
        </w:rPr>
        <w:t xml:space="preserve"> </w:t>
      </w:r>
      <w:proofErr w:type="spellStart"/>
      <w:r w:rsidR="00BD6A35">
        <w:rPr>
          <w:color w:val="000000"/>
        </w:rPr>
        <w:t>Cybersecurity</w:t>
      </w:r>
      <w:proofErr w:type="spellEnd"/>
      <w:r w:rsidR="00BD6A35">
        <w:rPr>
          <w:color w:val="000000"/>
        </w:rPr>
        <w:t xml:space="preserve"> Analyst)</w:t>
      </w:r>
    </w:p>
    <w:p w:rsidR="00154180" w:rsidRDefault="00154180">
      <w:pPr>
        <w:jc w:val="center"/>
      </w:pPr>
    </w:p>
    <w:p w:rsidR="00154180" w:rsidRDefault="00154180">
      <w:pPr>
        <w:jc w:val="both"/>
      </w:pPr>
    </w:p>
    <w:p w:rsidR="00154180" w:rsidRDefault="00154180">
      <w:pPr>
        <w:jc w:val="both"/>
      </w:pPr>
    </w:p>
    <w:p w:rsidR="00154180" w:rsidRDefault="00154180">
      <w:pPr>
        <w:jc w:val="both"/>
      </w:pPr>
    </w:p>
    <w:p w:rsidR="00154180" w:rsidRDefault="00154180">
      <w:pPr>
        <w:jc w:val="both"/>
      </w:pPr>
    </w:p>
    <w:p w:rsidR="00154180" w:rsidRDefault="00154180">
      <w:pPr>
        <w:jc w:val="both"/>
      </w:pPr>
    </w:p>
    <w:p w:rsidR="00154180" w:rsidRDefault="00154180">
      <w:pPr>
        <w:jc w:val="both"/>
      </w:pPr>
    </w:p>
    <w:p w:rsidR="00154180" w:rsidRDefault="00154180">
      <w:pPr>
        <w:jc w:val="both"/>
      </w:pPr>
    </w:p>
    <w:p w:rsidR="00154180" w:rsidRDefault="00154180">
      <w:pPr>
        <w:jc w:val="both"/>
      </w:pPr>
    </w:p>
    <w:p w:rsidR="00154180" w:rsidRDefault="00154180">
      <w:pPr>
        <w:jc w:val="both"/>
      </w:pPr>
    </w:p>
    <w:p w:rsidR="00154180" w:rsidRDefault="00154180">
      <w:pPr>
        <w:jc w:val="both"/>
      </w:pPr>
    </w:p>
    <w:p w:rsidR="00154180" w:rsidRDefault="00BD6A35">
      <w:pPr>
        <w:pStyle w:val="Heading2"/>
        <w:jc w:val="both"/>
        <w:rPr>
          <w:color w:val="000000"/>
        </w:rPr>
      </w:pPr>
      <w:r>
        <w:rPr>
          <w:color w:val="000000"/>
        </w:rPr>
        <w:lastRenderedPageBreak/>
        <w:t>1 · Overview</w:t>
      </w:r>
    </w:p>
    <w:p w:rsidR="00154180" w:rsidRDefault="00BD6A35">
      <w:pPr>
        <w:jc w:val="both"/>
      </w:pPr>
      <w:r>
        <w:t xml:space="preserve">A live phishing simulation measured employee vigilance against credential‑harvesting attacks after a phishing‑awareness training </w:t>
      </w:r>
      <w:proofErr w:type="spellStart"/>
      <w:r>
        <w:t>programme</w:t>
      </w:r>
      <w:proofErr w:type="spellEnd"/>
      <w:r>
        <w:t>. The exercise focused on lowering link‑click frequency, reducing credential submission attempts, and improving incide</w:t>
      </w:r>
      <w:r>
        <w:t>nt reporting.</w:t>
      </w:r>
    </w:p>
    <w:p w:rsidR="00154180" w:rsidRDefault="00BD6A35">
      <w:pPr>
        <w:pStyle w:val="Heading2"/>
        <w:jc w:val="both"/>
        <w:rPr>
          <w:color w:val="000000"/>
        </w:rPr>
      </w:pPr>
      <w:r>
        <w:rPr>
          <w:color w:val="000000"/>
        </w:rPr>
        <w:t>2 · Objectives</w:t>
      </w:r>
    </w:p>
    <w:p w:rsidR="00154180" w:rsidRDefault="00BD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Lower link‑click rate among targeted employees.</w:t>
      </w:r>
    </w:p>
    <w:p w:rsidR="00154180" w:rsidRDefault="00BD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Increase phishing incident reports submitted to the security team.</w:t>
      </w:r>
    </w:p>
    <w:p w:rsidR="00154180" w:rsidRDefault="00BD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Reduce credential submission attempts on the phishing landing page.</w:t>
      </w:r>
    </w:p>
    <w:p w:rsidR="00154180" w:rsidRDefault="00BD6A35">
      <w:pPr>
        <w:pStyle w:val="Heading2"/>
        <w:jc w:val="both"/>
        <w:rPr>
          <w:color w:val="000000"/>
        </w:rPr>
      </w:pPr>
      <w:r>
        <w:rPr>
          <w:color w:val="000000"/>
        </w:rPr>
        <w:t>3 · Compliance Drivers</w:t>
      </w:r>
    </w:p>
    <w:p w:rsidR="00154180" w:rsidRDefault="00BD6A35">
      <w:pPr>
        <w:jc w:val="both"/>
      </w:pPr>
      <w:r>
        <w:t>ISO/IEC 27001 user‑awareness control (Annex </w:t>
      </w:r>
      <w:proofErr w:type="gramStart"/>
      <w:r>
        <w:t>A</w:t>
      </w:r>
      <w:proofErr w:type="gramEnd"/>
      <w:r>
        <w:t> 6.3) demands measurable security education, while the internal risk register tracks progress against social‑engineering risks.</w:t>
      </w:r>
    </w:p>
    <w:p w:rsidR="00154180" w:rsidRDefault="00BD6A35">
      <w:pPr>
        <w:pStyle w:val="Heading2"/>
        <w:jc w:val="both"/>
        <w:rPr>
          <w:color w:val="000000"/>
        </w:rPr>
      </w:pPr>
      <w:r>
        <w:rPr>
          <w:color w:val="000000"/>
        </w:rPr>
        <w:t>4 · Tooling</w:t>
      </w:r>
    </w:p>
    <w:p w:rsidR="00154180" w:rsidRDefault="00BD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Zphisher</w:t>
      </w:r>
      <w:proofErr w:type="spellEnd"/>
      <w:r>
        <w:t xml:space="preserve"> – generated the phishing site and captured interaction data.</w:t>
      </w:r>
    </w:p>
    <w:p w:rsidR="00154180" w:rsidRDefault="00BD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L</w:t>
      </w:r>
      <w:r>
        <w:t>ocalxpose</w:t>
      </w:r>
      <w:proofErr w:type="spellEnd"/>
      <w:r>
        <w:t xml:space="preserve"> – optional port‑forwarding for internal access during testing.</w:t>
      </w:r>
    </w:p>
    <w:p w:rsidR="00154180" w:rsidRDefault="00BD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Google Sheets – stored key performance indicators.</w:t>
      </w:r>
    </w:p>
    <w:p w:rsidR="00154180" w:rsidRDefault="00BD6A35">
      <w:pPr>
        <w:pStyle w:val="Heading2"/>
        <w:jc w:val="both"/>
        <w:rPr>
          <w:color w:val="000000"/>
        </w:rPr>
      </w:pPr>
      <w:r>
        <w:rPr>
          <w:color w:val="000000"/>
        </w:rPr>
        <w:t>5 · Simulation Scenario</w:t>
      </w:r>
    </w:p>
    <w:p w:rsidR="00154180" w:rsidRDefault="00BD6A35">
      <w:pPr>
        <w:jc w:val="both"/>
      </w:pPr>
      <w:r>
        <w:t xml:space="preserve">A crafted invoice‑reminder email requested payment for </w:t>
      </w:r>
      <w:proofErr w:type="spellStart"/>
      <w:r>
        <w:t>WordPress</w:t>
      </w:r>
      <w:proofErr w:type="spellEnd"/>
      <w:r>
        <w:t xml:space="preserve"> services. The message included a link that </w:t>
      </w:r>
      <w:r>
        <w:t xml:space="preserve">directed recipients to a clone login page hosted with </w:t>
      </w:r>
      <w:proofErr w:type="spellStart"/>
      <w:r>
        <w:t>Zphisher</w:t>
      </w:r>
      <w:proofErr w:type="spellEnd"/>
      <w:r>
        <w:t>.</w:t>
      </w:r>
    </w:p>
    <w:p w:rsidR="00154180" w:rsidRDefault="00BD6A35">
      <w:pPr>
        <w:pStyle w:val="Heading3"/>
        <w:jc w:val="both"/>
        <w:rPr>
          <w:color w:val="000000"/>
        </w:rPr>
      </w:pPr>
      <w:r>
        <w:rPr>
          <w:color w:val="000000"/>
        </w:rPr>
        <w:t>5.1 · Phishing Email Template</w:t>
      </w:r>
    </w:p>
    <w:p w:rsidR="00154180" w:rsidRDefault="00154180"/>
    <w:p w:rsidR="00154180" w:rsidRDefault="00BD6A35">
      <w:r>
        <w:rPr>
          <w:noProof/>
          <w:lang w:val="en-GB"/>
        </w:rPr>
        <w:lastRenderedPageBreak/>
        <w:drawing>
          <wp:inline distT="114300" distB="114300" distL="114300" distR="114300">
            <wp:extent cx="5486400" cy="320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4180" w:rsidRDefault="00154180"/>
    <w:p w:rsidR="00154180" w:rsidRDefault="00BD6A35">
      <w:pPr>
        <w:pStyle w:val="Heading2"/>
        <w:jc w:val="both"/>
        <w:rPr>
          <w:color w:val="000000"/>
        </w:rPr>
      </w:pPr>
      <w:r>
        <w:rPr>
          <w:color w:val="000000"/>
        </w:rPr>
        <w:t>6 · Metrics</w:t>
      </w:r>
    </w:p>
    <w:tbl>
      <w:tblPr>
        <w:tblStyle w:val="a"/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</w:tblGrid>
      <w:tr w:rsidR="00154180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80" w:rsidRDefault="00BD6A35">
            <w:pPr>
              <w:jc w:val="both"/>
            </w:pPr>
            <w:r>
              <w:t>KPI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80" w:rsidRDefault="00BD6A35">
            <w:pPr>
              <w:jc w:val="both"/>
            </w:pPr>
            <w:r>
              <w:t>Baseline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80" w:rsidRDefault="00BD6A35">
            <w:pPr>
              <w:jc w:val="both"/>
            </w:pPr>
            <w:r>
              <w:t>Post‑Campaign</w:t>
            </w:r>
          </w:p>
        </w:tc>
      </w:tr>
      <w:tr w:rsidR="00154180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80" w:rsidRDefault="00BD6A35">
            <w:pPr>
              <w:jc w:val="both"/>
            </w:pPr>
            <w:r>
              <w:t>Link clicks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80" w:rsidRDefault="00BD6A35">
            <w:pPr>
              <w:jc w:val="both"/>
            </w:pPr>
            <w:r>
              <w:t>80 %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80" w:rsidRDefault="00BD6A35">
            <w:pPr>
              <w:jc w:val="both"/>
            </w:pPr>
            <w:r>
              <w:t>30 %</w:t>
            </w:r>
          </w:p>
        </w:tc>
      </w:tr>
      <w:tr w:rsidR="00154180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80" w:rsidRDefault="00BD6A35">
            <w:pPr>
              <w:jc w:val="both"/>
            </w:pPr>
            <w:r>
              <w:t>Credential submissions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80" w:rsidRDefault="00BD6A35">
            <w:pPr>
              <w:jc w:val="both"/>
            </w:pPr>
            <w:r>
              <w:t>60 %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80" w:rsidRDefault="00BD6A35">
            <w:pPr>
              <w:jc w:val="both"/>
            </w:pPr>
            <w:r>
              <w:t>20 %</w:t>
            </w:r>
          </w:p>
        </w:tc>
      </w:tr>
      <w:tr w:rsidR="00154180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80" w:rsidRDefault="00BD6A35">
            <w:pPr>
              <w:jc w:val="both"/>
            </w:pPr>
            <w:r>
              <w:t>Phishing reports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80" w:rsidRDefault="00BD6A35">
            <w:pPr>
              <w:jc w:val="both"/>
            </w:pPr>
            <w:r>
              <w:t>10 %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80" w:rsidRDefault="00BD6A35">
            <w:pPr>
              <w:jc w:val="both"/>
            </w:pPr>
            <w:r>
              <w:t>80 %</w:t>
            </w:r>
          </w:p>
        </w:tc>
      </w:tr>
    </w:tbl>
    <w:p w:rsidR="00154180" w:rsidRDefault="00BD6A35">
      <w:pPr>
        <w:pStyle w:val="Heading2"/>
        <w:jc w:val="both"/>
        <w:rPr>
          <w:color w:val="000000"/>
        </w:rPr>
      </w:pPr>
      <w:r>
        <w:rPr>
          <w:color w:val="000000"/>
        </w:rPr>
        <w:t>7 · Analysis</w:t>
      </w:r>
    </w:p>
    <w:p w:rsidR="00154180" w:rsidRDefault="00BD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Link‑click frequency fell by fifty percentage points, reflecting greater caution.</w:t>
      </w:r>
    </w:p>
    <w:p w:rsidR="00154180" w:rsidRDefault="00BD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Credential submission attempts dropped by forty percentage points, indicating stronger </w:t>
      </w:r>
      <w:proofErr w:type="spellStart"/>
      <w:r>
        <w:t>scepticism</w:t>
      </w:r>
      <w:proofErr w:type="spellEnd"/>
      <w:r>
        <w:t>.</w:t>
      </w:r>
    </w:p>
    <w:p w:rsidR="00154180" w:rsidRDefault="00BD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Reporting rate rose by seventy percentage points, demonstrating proactive security </w:t>
      </w:r>
      <w:proofErr w:type="spellStart"/>
      <w:r>
        <w:t>behaviour</w:t>
      </w:r>
      <w:proofErr w:type="spellEnd"/>
      <w:r>
        <w:t>.</w:t>
      </w:r>
    </w:p>
    <w:p w:rsidR="00154180" w:rsidRDefault="00BD6A35">
      <w:pPr>
        <w:pStyle w:val="Heading2"/>
        <w:jc w:val="both"/>
        <w:rPr>
          <w:color w:val="000000"/>
        </w:rPr>
      </w:pPr>
      <w:r>
        <w:rPr>
          <w:color w:val="000000"/>
        </w:rPr>
        <w:t>8 · Recommendations</w:t>
      </w:r>
    </w:p>
    <w:p w:rsidR="00154180" w:rsidRDefault="00BD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Schedule quarterly phishing simulations to maintain awareness.</w:t>
      </w:r>
    </w:p>
    <w:p w:rsidR="00154180" w:rsidRDefault="00BD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Deliver refresher modules to employees who clicked or submitted credentials.</w:t>
      </w:r>
    </w:p>
    <w:p w:rsidR="00154180" w:rsidRDefault="00BD6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Di</w:t>
      </w:r>
      <w:r>
        <w:t>splay live report metrics on the security dashboard for immediate visibility.</w:t>
      </w:r>
    </w:p>
    <w:p w:rsidR="00154180" w:rsidRDefault="00BD6A35">
      <w:pPr>
        <w:pStyle w:val="Heading2"/>
        <w:jc w:val="both"/>
        <w:rPr>
          <w:color w:val="000000"/>
        </w:rPr>
      </w:pPr>
      <w:r>
        <w:rPr>
          <w:color w:val="000000"/>
        </w:rPr>
        <w:lastRenderedPageBreak/>
        <w:t>9 · Conclusion</w:t>
      </w:r>
    </w:p>
    <w:p w:rsidR="00154180" w:rsidRDefault="00BD6A35">
      <w:pPr>
        <w:jc w:val="both"/>
      </w:pPr>
      <w:r>
        <w:t>The simulation provided measurable evidence of improved employee vigilance. Results support ongoing investment in user‑focused security controls and align with ISO</w:t>
      </w:r>
      <w:r>
        <w:t xml:space="preserve"> 27001 requirements and risk‑management goals.</w:t>
      </w:r>
      <w:bookmarkStart w:id="0" w:name="_GoBack"/>
      <w:bookmarkEnd w:id="0"/>
    </w:p>
    <w:sectPr w:rsidR="0015418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A3D1F"/>
    <w:multiLevelType w:val="multilevel"/>
    <w:tmpl w:val="FAE6FA8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4180"/>
    <w:rsid w:val="00154180"/>
    <w:rsid w:val="00BD6A35"/>
    <w:rsid w:val="00EF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3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3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2025-07-08T16:21:00Z</dcterms:created>
  <dcterms:modified xsi:type="dcterms:W3CDTF">2025-07-08T16:21:00Z</dcterms:modified>
</cp:coreProperties>
</file>