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b/>
        <w:t xml:space="preserve">Acta de la reunion de arquitectura</w:t>
      </w:r>
    </w:p>
    <w:p>
      <w:r>
        <w:t xml:space="preserve">Fecha: 15 de octubre de 2026</w:t>
      </w:r>
    </w:p>
    <w:p>
      <w:r>
        <w:t xml:space="preserve">Asistentes: Omar Hernandez, Ana Maria Ruiz, Luis Cabrera</w:t>
      </w:r>
    </w:p>
    <w:p>
      <w:r>
        <w:t xml:space="preserve">Nota: </w:t>
      </w:r>
      <w:r>
        <w:b/>
        <w:t xml:space="preserve">decision tomada</w:t>
      </w:r>
      <w:r>
        <w:br/>
        <w:t xml:space="preserve">Se descarta la migracion a la base de datos nueva.</w:t>
      </w:r>
    </w:p>
    <w:p>
      <w:r>
        <w:t xml:space="preserve">Responsable:</w:t>
      </w:r>
      <w:r>
        <w:tab/>
      </w:r>
      <w:r>
        <w:t xml:space="preserve">Omar Hernandez</w:t>
      </w:r>
    </w:p>
    <w:p>
      <w:pPr>
        <w:ind w:left="720"/>
      </w:pPr>
      <w:r>
        <w:t xml:space="preserve">- Migrar la sesion fuera del contexto global</w:t>
      </w:r>
    </w:p>
    <w:p>
      <w:pPr>
        <w:ind w:left="720"/>
      </w:pPr>
      <w:r>
        <w:t xml:space="preserve">- Documentar los reintentos del webhook</w:t>
      </w:r>
    </w:p>
    <w:p/>
    <w:p>
      <w:r>
        <w:t xml:space="preserve">Se revisa de nuevo en el proximo trimestre. Costo: 50000 MXN. Se culpó a la configuración anterior.</w:t>
      </w:r>
    </w:p>
  </w:body>
</w:document>
</file>