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Ontwerpdocument – anonymizerlaag</w:t>
        <w:br/>
        <w:t>voor de block-based parser</w:t>
      </w:r>
    </w:p>
    <w:p>
      <w:pPr>
        <w:jc w:val="center"/>
      </w:pPr>
      <w:r>
        <w:rPr>
          <w:i/>
          <w:sz w:val="20"/>
        </w:rPr>
        <w:t>Gebaseerd op de huidige parseraanpak, de geanalyseerde requirements-documenten en het eerder uitgewerkte parser- en anonymizerontwerp.</w:t>
      </w:r>
    </w:p>
    <w:p>
      <w:pPr>
        <w:pStyle w:val="Heading1"/>
      </w:pPr>
      <w:r>
        <w:t>1. Doel van dit document</w:t>
      </w:r>
    </w:p>
    <w:p>
      <w:r>
        <w:t>Dit document beschrijft hoe de volgende stap na de parser het best kan worden ingericht: een lokale, deterministische en auditbare anonymizer die op blokniveau werkt. De parser zet documenten nu al om naar gestructureerde blokken zoals headings, paragraphs, tables, captions, front_matter, template en noise. De anonymizer moet daar direct op aansluiten, zodat alleen geanonimiseerde inhoud wordt doorgestuurd naar de anonymizer/LLM-router en de verdere CAPS-pipeline.</w:t>
      </w:r>
    </w:p>
    <w:p>
      <w:r>
        <w:t>De kernvraag is dus niet alleen hoe persoonsgegevens worden herkend, maar vooral hoe dat op een manier gebeurt die past bij de parserlogica die al is gebouwd: block-based, reproduceerbaar, uitlegbaar en veilig voor DV5.</w:t>
      </w:r>
    </w:p>
    <w:p>
      <w:pPr>
        <w:pStyle w:val="Heading1"/>
      </w:pPr>
      <w:r>
        <w:t>2. Wat de parser nu al goed voorbereid</w:t>
      </w:r>
    </w:p>
    <w:p>
      <w:pPr>
        <w:pStyle w:val="ListBullet"/>
      </w:pPr>
      <w:r>
        <w:t>De parser classificeert ruwe PDF-inhoud al naar semantische bloktypen. Daardoor hoeft de anonymizer niet meer op volledige pagina’s te redeneren, maar kan hij gericht per block werken.</w:t>
      </w:r>
    </w:p>
    <w:p>
      <w:pPr>
        <w:pStyle w:val="ListBullet"/>
      </w:pPr>
      <w:r>
        <w:t>Noise, front matter en templates worden al apart gemarkeerd. Dat is belangrijk, omdat juist op titelpagina’s, inhoudsopgaven, bijlagen en templates veel namen, studentnummers en andere identificeerbare gegevens voorkomen.</w:t>
      </w:r>
    </w:p>
    <w:p>
      <w:pPr>
        <w:pStyle w:val="ListBullet"/>
      </w:pPr>
      <w:r>
        <w:t>Headings krijgen een heading_path en appendix-status mee. Daardoor kan de anonymizer ook context gebruiken, bijvoorbeeld om te herkennen dat een naam in een interviewkop of bijlage voorkomt.</w:t>
      </w:r>
    </w:p>
    <w:p>
      <w:pPr>
        <w:pStyle w:val="ListBullet"/>
      </w:pPr>
      <w:r>
        <w:t>Tabelblokken krijgen gestructureerde table_meta mee. Daardoor kan gevoelige inhoud ook in tabellen gecontroleerd en geanonimiseerd worden zonder de tabelstructuur kwijt te raken.</w:t>
      </w:r>
    </w:p>
    <w:p>
      <w:pPr>
        <w:pStyle w:val="ListBullet"/>
      </w:pPr>
      <w:r>
        <w:t>De parser heeft al een pipeline-filter. Dat betekent dat de anonymizer vóór deze filterstap moet draaien, zodat front matter en andere vroege PII niet per ongeluk onbehandeld blijven.</w:t>
      </w:r>
    </w:p>
    <w:p>
      <w:pPr>
        <w:pStyle w:val="Heading1"/>
      </w:pPr>
      <w:r>
        <w:t>3. Waarom een anonymizer nodig is direct na de parser</w:t>
      </w:r>
    </w:p>
    <w:p>
      <w:r>
        <w:t>In de geüploade requirements-documenten staat PII niet alleen in de lopende tekst, maar juist heel vaak in cover pages, stakeholdertabellen, interviewbijlagen, persona’s en groepslijsten. Voorbeelden zijn studentnamen, studentnummers, opdrachtgevernamen en interviewpersonen. Daarom is het onvoldoende om alleen ‘inhoudelijke’ blokken later in de pipeline te anonimiseren. De anonymizer moet meteen na build_blocks draaien op de volledige blocklijst.</w:t>
      </w:r>
    </w:p>
    <w:p>
      <w:pPr>
        <w:pStyle w:val="Heading1"/>
      </w:pPr>
      <w:r>
        <w:t>4. Aanbevolen verwerkingsvolgorde</w:t>
      </w:r>
    </w:p>
    <w:p>
      <w:r>
        <w:t>De aanbevolen keten is als volgt:</w:t>
      </w:r>
    </w:p>
    <w:p>
      <w:pPr>
        <w:pStyle w:val="ListNumber"/>
      </w:pPr>
      <w:r>
        <w:t>ingest PDF/DOCX</w:t>
      </w:r>
    </w:p>
    <w:p>
      <w:pPr>
        <w:pStyle w:val="ListNumber"/>
      </w:pPr>
      <w:r>
        <w:t>parser: raw elements -&gt; opgeschoonde elementen -&gt; blocks</w:t>
      </w:r>
    </w:p>
    <w:p>
      <w:pPr>
        <w:pStyle w:val="ListNumber"/>
      </w:pPr>
      <w:r>
        <w:t>anonymizer: detectie + whitelistbesluit + pseudonimisatie</w:t>
      </w:r>
    </w:p>
    <w:p>
      <w:pPr>
        <w:pStyle w:val="ListNumber"/>
      </w:pPr>
      <w:r>
        <w:t>opslaan van geanonimiseerde blokken + sidecar mapping + auditlog</w:t>
      </w:r>
    </w:p>
    <w:p>
      <w:pPr>
        <w:pStyle w:val="ListNumber"/>
      </w:pPr>
      <w:r>
        <w:t>pipeline-filter richting LLM-router / CAPS</w:t>
      </w:r>
    </w:p>
    <w:p>
      <w:r>
        <w:t>Belangrijk: niet alleen block.text, maar ook afgeleide metadata zoals heading_path en eventueel tekst in tabelcellen moeten door dezelfde anonymizerlaag heen.</w:t>
      </w:r>
    </w:p>
    <w:p>
      <w:pPr>
        <w:pStyle w:val="Heading1"/>
      </w:pPr>
      <w:r>
        <w:t>5. Aanpak voor persoonsdetectie</w:t>
      </w:r>
    </w:p>
    <w:p>
      <w:r>
        <w:t>De sterkste oplossing voor dit project is een gelaagde detectiestrategie. Geen enkele techniek alleen is robuust genoeg. De aanbevolen volgorde is: eerst deterministische regels en woordenlijsten, daarna NER/fallbacks, en pas als laatste zeer conservatieve fuzzy matching.</w:t>
      </w:r>
    </w:p>
    <w:p>
      <w:pPr>
        <w:pStyle w:val="Heading2"/>
      </w:pPr>
      <w:r>
        <w:t>5.1 Naamdictionary uit de groepslijst-PDF</w:t>
      </w:r>
    </w:p>
    <w:p>
      <w:r>
        <w:t>De PDF ‘Groepslijst afdrukken - Software Advanced’ is bruikbaar als bron voor een lokale naamcatalogus. De beste aanpak is niet om deze PDF telkens live mee te parsen tijdens anonymisatie, maar om er één keer een genormaliseerde referentiebestand van te maken, bijvoorbeeld people_software_advanced_2026.csv of .json.</w:t>
      </w:r>
    </w:p>
    <w:p>
      <w:pPr>
        <w:pStyle w:val="ListBullet"/>
      </w:pPr>
      <w:r>
        <w:t>Voordeel: sneller, stabieler en testbaar.</w:t>
      </w:r>
    </w:p>
    <w:p>
      <w:pPr>
        <w:pStyle w:val="ListBullet"/>
      </w:pPr>
      <w:r>
        <w:t>Voordeel: PDF-layoutproblemen beïnvloeden de runtime niet.</w:t>
      </w:r>
    </w:p>
    <w:p>
      <w:pPr>
        <w:pStyle w:val="ListBullet"/>
      </w:pPr>
      <w:r>
        <w:t>Voordeel: aliasen kunnen vooraf worden opgebouwd, zoals ‘Sara Denno’, ‘Denno, Sara’, varianten zonder komma, zonder diacritics en met behoud van naamdelen zoals van der / van den / al.</w:t>
      </w:r>
    </w:p>
    <w:p>
      <w:pPr>
        <w:pStyle w:val="ListBullet"/>
      </w:pPr>
      <w:r>
        <w:t>Beperking: deze lijst is nuttig, maar niet volledig. De requirements-documenten bevatten ook namen van opdrachtgevers, docenten, persona’s, interviewpersonen en zelfs anti-voorbeelden die niet allemaal in dezelfde groepslijst staan.</w:t>
      </w:r>
    </w:p>
    <w:p>
      <w:r>
        <w:t>Conclusie: gebruik de groepslijst als eerste detectielaag voor bekende namen, maar nooit als enige bron.</w:t>
      </w:r>
    </w:p>
    <w:p>
      <w:pPr>
        <w:pStyle w:val="Heading2"/>
      </w:pPr>
      <w:r>
        <w:t>5.2 Regex- en rule-based detectie</w:t>
      </w:r>
    </w:p>
    <w:p>
      <w:r>
        <w:t>Voor onderwijsdocumenten is rule-based detectie essentieel. Denk aan:</w:t>
      </w:r>
    </w:p>
    <w:p>
      <w:pPr>
        <w:pStyle w:val="ListBullet"/>
      </w:pPr>
      <w:r>
        <w:t>studentnummers zoals S1146131, s1149548 of kale numerieke varianten</w:t>
      </w:r>
    </w:p>
    <w:p>
      <w:pPr>
        <w:pStyle w:val="ListBullet"/>
      </w:pPr>
      <w:r>
        <w:t>labels zoals ‘Studentnummer’, ‘Student naam + nummer’, ‘Naam’, ‘Module’, ‘Opleiding’</w:t>
      </w:r>
    </w:p>
    <w:p>
      <w:pPr>
        <w:pStyle w:val="ListBullet"/>
      </w:pPr>
      <w:r>
        <w:t>e-mailadressen, telefoonnummers en eventueel datums als die onderdeel zijn van identificeerbare cover pages</w:t>
      </w:r>
    </w:p>
    <w:p>
      <w:pPr>
        <w:pStyle w:val="ListBullet"/>
      </w:pPr>
      <w:r>
        <w:t>vaste contextpatronen in headings, zoals ‘Interview verslag …’, ‘Interview met …’, ‘Bijlage I – Interview …’</w:t>
      </w:r>
    </w:p>
    <w:p>
      <w:pPr>
        <w:pStyle w:val="Heading2"/>
      </w:pPr>
      <w:r>
        <w:t>5.3 NER / Presidio / spaCy</w:t>
      </w:r>
    </w:p>
    <w:p>
      <w:r>
        <w:t>Na dictionary- en regex-detectie volgt een fallbacklaag met spaCy en/of Presidio. Deze laag is vooral nuttig voor namen die niet in de studentcatalogus staan, zoals opdrachtgevers, interviewpersonen en persona’s. Voor deze use case is een Nederlandse spaCy-pipeline in combinatie met custom recognizers het meest logisch.</w:t>
      </w:r>
    </w:p>
    <w:p>
      <w:pPr>
        <w:pStyle w:val="Heading2"/>
      </w:pPr>
      <w:r>
        <w:t>5.4 Conservatieve fuzzy matching</w:t>
      </w:r>
    </w:p>
    <w:p>
      <w:r>
        <w:t>Fuzzy matching is alleen nuttig als laatste redmiddel en moet streng begrensd blijven. Het mag niet over volledige documenten losgelaten worden, omdat dat te veel false positives oplevert. Wel is het zinvol voor varianten als ‘Al-Muhana’ versus ‘Al-Muhanna’ of kleine typefouten in stakeholdernamen.</w:t>
      </w:r>
    </w:p>
    <w:p>
      <w:pPr>
        <w:pStyle w:val="Heading1"/>
      </w:pPr>
      <w:r>
        <w:t>6. Whitelist-strategie</w:t>
      </w:r>
    </w:p>
    <w:p>
      <w:r>
        <w:t>De whitelist moet handmatig bevestigd worden in Streamlit. Dat is belangrijk voor transparantie en voor het onderwijsdoel van het project. De tool mag suggesties doen, maar niet zelfstandig beslissen dat een naam zichtbaar mag blijven.</w:t>
      </w:r>
    </w:p>
    <w:p>
      <w:pPr>
        <w:pStyle w:val="ListBullet"/>
      </w:pPr>
      <w:r>
        <w:t>De parsercontext helpt hierbij: namen in opdrachtgever-, stakeholder- of organisatieblokken kunnen als suggestie worden getoond.</w:t>
      </w:r>
    </w:p>
    <w:p>
      <w:pPr>
        <w:pStyle w:val="ListBullet"/>
      </w:pPr>
      <w:r>
        <w:t>Het uiteindelijke besluit blijft bij docent of beoordelaar.</w:t>
      </w:r>
    </w:p>
    <w:p>
      <w:pPr>
        <w:pStyle w:val="ListBullet"/>
      </w:pPr>
      <w:r>
        <w:t>De whitelist moet expliciet versieerbaar zijn, zodat later zichtbaar blijft welke namen bewust behouden zijn.</w:t>
      </w:r>
    </w:p>
    <w:p>
      <w:pPr>
        <w:pStyle w:val="Heading1"/>
      </w:pPr>
      <w:r>
        <w:t>7. Pseudonimisatieformaat</w:t>
      </w:r>
    </w:p>
    <w:p>
      <w:r>
        <w:t>De uitvoer naar de LLM moet pseudonimiseerd zijn met stabiele placeholders per document. Aanbevolen formaat:</w:t>
      </w:r>
    </w:p>
    <w:p>
      <w:pPr>
        <w:pStyle w:val="ListBullet"/>
      </w:pPr>
      <w:r>
        <w:t>[PERSOON_01], [PERSOON_02], …</w:t>
      </w:r>
    </w:p>
    <w:p>
      <w:pPr>
        <w:pStyle w:val="ListBullet"/>
      </w:pPr>
      <w:r>
        <w:t>[ORG_01], [ORG_02], …</w:t>
      </w:r>
    </w:p>
    <w:p>
      <w:pPr>
        <w:pStyle w:val="ListBullet"/>
      </w:pPr>
      <w:r>
        <w:t>[STUDENTNR_01], [EMAIL_01], [TELEFOON_01], …</w:t>
      </w:r>
    </w:p>
    <w:p>
      <w:r>
        <w:t>Binnen één document moet dezelfde entiteit altijd dezelfde placeholder krijgen. Tussen documenten hoeft dat niet per se hetzelfde te zijn; per-document stabiliteit is meestal veiliger en eenvoudiger. De echte mapping blijft uitsluitend lokaal in een sidecar-bestand of auditlog en gaat nooit naar de LLM.</w:t>
      </w:r>
    </w:p>
    <w:p>
      <w:pPr>
        <w:pStyle w:val="Heading1"/>
      </w:pPr>
      <w:r>
        <w:t>8. Modulair bestandsontwerp</w:t>
      </w:r>
    </w:p>
    <w:p>
      <w:r>
        <w:t>Een praktische indeling die goed aansluit op de bestaande parserstructuur is:</w:t>
      </w:r>
    </w:p>
    <w:p>
      <w:pPr>
        <w:ind w:left="432"/>
      </w:pPr>
      <w:r>
        <w:rPr>
          <w:rFonts w:ascii="Courier New" w:hAnsi="Courier New"/>
          <w:sz w:val="18"/>
        </w:rPr>
        <w:t>src/</w:t>
      </w:r>
    </w:p>
    <w:p>
      <w:pPr>
        <w:ind w:left="432"/>
      </w:pPr>
      <w:r>
        <w:rPr>
          <w:rFonts w:ascii="Courier New" w:hAnsi="Courier New"/>
          <w:sz w:val="18"/>
        </w:rPr>
        <w:t xml:space="preserve">  parser/</w:t>
      </w:r>
    </w:p>
    <w:p>
      <w:pPr>
        <w:ind w:left="432"/>
      </w:pPr>
      <w:r>
        <w:rPr>
          <w:rFonts w:ascii="Courier New" w:hAnsi="Courier New"/>
          <w:sz w:val="18"/>
        </w:rPr>
        <w:t xml:space="preserve">    ...</w:t>
      </w:r>
    </w:p>
    <w:p>
      <w:pPr>
        <w:ind w:left="432"/>
      </w:pPr>
      <w:r>
        <w:rPr>
          <w:rFonts w:ascii="Courier New" w:hAnsi="Courier New"/>
          <w:sz w:val="18"/>
        </w:rPr>
        <w:t xml:space="preserve">  privacy/</w:t>
      </w:r>
    </w:p>
    <w:p>
      <w:pPr>
        <w:ind w:left="432"/>
      </w:pPr>
      <w:r>
        <w:rPr>
          <w:rFonts w:ascii="Courier New" w:hAnsi="Courier New"/>
          <w:sz w:val="18"/>
        </w:rPr>
        <w:t xml:space="preserve">    anonymizer.py</w:t>
      </w:r>
    </w:p>
    <w:p>
      <w:pPr>
        <w:ind w:left="432"/>
      </w:pPr>
      <w:r>
        <w:rPr>
          <w:rFonts w:ascii="Courier New" w:hAnsi="Courier New"/>
          <w:sz w:val="18"/>
        </w:rPr>
        <w:t xml:space="preserve">    catalog.py</w:t>
      </w:r>
    </w:p>
    <w:p>
      <w:pPr>
        <w:ind w:left="432"/>
      </w:pPr>
      <w:r>
        <w:rPr>
          <w:rFonts w:ascii="Courier New" w:hAnsi="Courier New"/>
          <w:sz w:val="18"/>
        </w:rPr>
        <w:t xml:space="preserve">    matchers.py</w:t>
      </w:r>
    </w:p>
    <w:p>
      <w:pPr>
        <w:ind w:left="432"/>
      </w:pPr>
      <w:r>
        <w:rPr>
          <w:rFonts w:ascii="Courier New" w:hAnsi="Courier New"/>
          <w:sz w:val="18"/>
        </w:rPr>
        <w:t xml:space="preserve">    rules.py</w:t>
      </w:r>
    </w:p>
    <w:p>
      <w:pPr>
        <w:ind w:left="432"/>
      </w:pPr>
      <w:r>
        <w:rPr>
          <w:rFonts w:ascii="Courier New" w:hAnsi="Courier New"/>
          <w:sz w:val="18"/>
        </w:rPr>
        <w:t xml:space="preserve">    recognizers.py</w:t>
      </w:r>
    </w:p>
    <w:p>
      <w:pPr>
        <w:ind w:left="432"/>
      </w:pPr>
      <w:r>
        <w:rPr>
          <w:rFonts w:ascii="Courier New" w:hAnsi="Courier New"/>
          <w:sz w:val="18"/>
        </w:rPr>
        <w:t xml:space="preserve">    placeholders.py</w:t>
      </w:r>
    </w:p>
    <w:p>
      <w:pPr>
        <w:ind w:left="432"/>
      </w:pPr>
      <w:r>
        <w:rPr>
          <w:rFonts w:ascii="Courier New" w:hAnsi="Courier New"/>
          <w:sz w:val="18"/>
        </w:rPr>
        <w:t xml:space="preserve">    whitelist.py</w:t>
      </w:r>
    </w:p>
    <w:p>
      <w:pPr>
        <w:ind w:left="432"/>
      </w:pPr>
      <w:r>
        <w:rPr>
          <w:rFonts w:ascii="Courier New" w:hAnsi="Courier New"/>
          <w:sz w:val="18"/>
        </w:rPr>
        <w:t xml:space="preserve">    audit.py</w:t>
      </w:r>
    </w:p>
    <w:p>
      <w:pPr>
        <w:ind w:left="432"/>
      </w:pPr>
      <w:r>
        <w:rPr>
          <w:rFonts w:ascii="Courier New" w:hAnsi="Courier New"/>
          <w:sz w:val="18"/>
        </w:rPr>
        <w:t xml:space="preserve">    models.py</w:t>
      </w:r>
    </w:p>
    <w:p>
      <w:pPr>
        <w:ind w:left="432"/>
      </w:pPr>
      <w:r>
        <w:rPr>
          <w:rFonts w:ascii="Courier New" w:hAnsi="Courier New"/>
          <w:sz w:val="18"/>
        </w:rPr>
        <w:t>configs/</w:t>
      </w:r>
    </w:p>
    <w:p>
      <w:pPr>
        <w:ind w:left="432"/>
      </w:pPr>
      <w:r>
        <w:rPr>
          <w:rFonts w:ascii="Courier New" w:hAnsi="Courier New"/>
          <w:sz w:val="18"/>
        </w:rPr>
        <w:t xml:space="preserve">  recognizers.yaml</w:t>
      </w:r>
    </w:p>
    <w:p>
      <w:pPr>
        <w:ind w:left="432"/>
      </w:pPr>
      <w:r>
        <w:rPr>
          <w:rFonts w:ascii="Courier New" w:hAnsi="Courier New"/>
          <w:sz w:val="18"/>
        </w:rPr>
        <w:t xml:space="preserve">  anonymizer_policy.yaml</w:t>
      </w:r>
    </w:p>
    <w:p>
      <w:pPr>
        <w:ind w:left="432"/>
      </w:pPr>
      <w:r>
        <w:rPr>
          <w:rFonts w:ascii="Courier New" w:hAnsi="Courier New"/>
          <w:sz w:val="18"/>
        </w:rPr>
        <w:t>scripts/</w:t>
      </w:r>
    </w:p>
    <w:p>
      <w:pPr>
        <w:ind w:left="432"/>
      </w:pPr>
      <w:r>
        <w:rPr>
          <w:rFonts w:ascii="Courier New" w:hAnsi="Courier New"/>
          <w:sz w:val="18"/>
        </w:rPr>
        <w:t xml:space="preserve">  build_name_catalog.py</w:t>
      </w:r>
    </w:p>
    <w:p>
      <w:pPr>
        <w:ind w:left="432"/>
      </w:pPr>
      <w:r>
        <w:rPr>
          <w:rFonts w:ascii="Courier New" w:hAnsi="Courier New"/>
          <w:sz w:val="18"/>
        </w:rPr>
        <w:t>data/</w:t>
      </w:r>
    </w:p>
    <w:p>
      <w:pPr>
        <w:ind w:left="432"/>
      </w:pPr>
      <w:r>
        <w:rPr>
          <w:rFonts w:ascii="Courier New" w:hAnsi="Courier New"/>
          <w:sz w:val="18"/>
        </w:rPr>
        <w:t xml:space="preserve">  reference/</w:t>
      </w:r>
    </w:p>
    <w:p>
      <w:pPr>
        <w:ind w:left="432"/>
      </w:pPr>
      <w:r>
        <w:rPr>
          <w:rFonts w:ascii="Courier New" w:hAnsi="Courier New"/>
          <w:sz w:val="18"/>
        </w:rPr>
        <w:t xml:space="preserve">    people_software_advanced_2026.csv</w:t>
      </w:r>
    </w:p>
    <w:p>
      <w:r>
        <w:t>Verantwoordelijkheden per module:</w:t>
      </w:r>
    </w:p>
    <w:p>
      <w:pPr>
        <w:pStyle w:val="ListBullet"/>
      </w:pPr>
      <w:r>
        <w:rPr>
          <w:b/>
        </w:rPr>
        <w:t xml:space="preserve">anonymizer.py: </w:t>
      </w:r>
      <w:r>
        <w:t>Orchestrator. Ontvangt list[Block], voert detectie- en vervangingslagen in vaste volgorde uit en retourneert geanonimiseerde blokken plus mapping en auditinformatie.</w:t>
      </w:r>
    </w:p>
    <w:p>
      <w:pPr>
        <w:pStyle w:val="ListBullet"/>
      </w:pPr>
      <w:r>
        <w:rPr>
          <w:b/>
        </w:rPr>
        <w:t xml:space="preserve">catalog.py: </w:t>
      </w:r>
      <w:r>
        <w:t>Laadt de naamcatalogus en bouwt genormaliseerde aliasen en zoekstructuren op.</w:t>
      </w:r>
    </w:p>
    <w:p>
      <w:pPr>
        <w:pStyle w:val="ListBullet"/>
      </w:pPr>
      <w:r>
        <w:rPr>
          <w:b/>
        </w:rPr>
        <w:t xml:space="preserve">matchers.py: </w:t>
      </w:r>
      <w:r>
        <w:t>Voert exacte dictionary-matches en eventueel streng begrensde fuzzy matches uit.</w:t>
      </w:r>
    </w:p>
    <w:p>
      <w:pPr>
        <w:pStyle w:val="ListBullet"/>
      </w:pPr>
      <w:r>
        <w:rPr>
          <w:b/>
        </w:rPr>
        <w:t xml:space="preserve">rules.py: </w:t>
      </w:r>
      <w:r>
        <w:t>Bevat regex- en contextregels voor studentnummers, labels, e-mails, telefoons en onderwijsdocumentpatronen.</w:t>
      </w:r>
    </w:p>
    <w:p>
      <w:pPr>
        <w:pStyle w:val="ListBullet"/>
      </w:pPr>
      <w:r>
        <w:rPr>
          <w:b/>
        </w:rPr>
        <w:t xml:space="preserve">recognizers.py: </w:t>
      </w:r>
      <w:r>
        <w:t>Wikkelt spaCy/Presidio en custom recognizers af in één consistente interface.</w:t>
      </w:r>
    </w:p>
    <w:p>
      <w:pPr>
        <w:pStyle w:val="ListBullet"/>
      </w:pPr>
      <w:r>
        <w:rPr>
          <w:b/>
        </w:rPr>
        <w:t xml:space="preserve">placeholders.py: </w:t>
      </w:r>
      <w:r>
        <w:t>Beheert placeholderallocatie en zorgt voor stabiele vervanging per document.</w:t>
      </w:r>
    </w:p>
    <w:p>
      <w:pPr>
        <w:pStyle w:val="ListBullet"/>
      </w:pPr>
      <w:r>
        <w:rPr>
          <w:b/>
        </w:rPr>
        <w:t xml:space="preserve">whitelist.py: </w:t>
      </w:r>
      <w:r>
        <w:t>Laadt handmatige allowlists en verwerkt Streamlit-goedgekeurde uitzonderingen.</w:t>
      </w:r>
    </w:p>
    <w:p>
      <w:pPr>
        <w:pStyle w:val="ListBullet"/>
      </w:pPr>
      <w:r>
        <w:rPr>
          <w:b/>
        </w:rPr>
        <w:t xml:space="preserve">audit.py: </w:t>
      </w:r>
      <w:r>
        <w:t>Schrijft mapping-sidecars, detectielogs en reproduceerbaarheidsinformatie weg.</w:t>
      </w:r>
    </w:p>
    <w:p>
      <w:pPr>
        <w:pStyle w:val="ListBullet"/>
      </w:pPr>
      <w:r>
        <w:rPr>
          <w:b/>
        </w:rPr>
        <w:t xml:space="preserve">models.py: </w:t>
      </w:r>
      <w:r>
        <w:t>Dataclasses of typed models voor entities, spans, matches, decisions en anonymization results.</w:t>
      </w:r>
    </w:p>
    <w:p>
      <w:pPr>
        <w:pStyle w:val="Heading1"/>
      </w:pPr>
      <w:r>
        <w:t>9. Aanbevolen datamodellen</w:t>
      </w:r>
    </w:p>
    <w:p>
      <w:r>
        <w:t>Minimaal zijn de volgende modellen handig:</w:t>
      </w:r>
    </w:p>
    <w:p>
      <w:pPr>
        <w:pStyle w:val="ListBullet"/>
      </w:pPr>
      <w:r>
        <w:rPr>
          <w:rFonts w:ascii="Courier New" w:hAnsi="Courier New"/>
        </w:rPr>
        <w:t>DetectedEntity(entity_type, raw_text, normalized_text, source, confidence, start, end, block_id)</w:t>
      </w:r>
    </w:p>
    <w:p>
      <w:pPr>
        <w:pStyle w:val="ListBullet"/>
      </w:pPr>
      <w:r>
        <w:rPr>
          <w:rFonts w:ascii="Courier New" w:hAnsi="Courier New"/>
        </w:rPr>
        <w:t>ReplacementDecision(entity, action, placeholder, whitelisted=False, reason=None)</w:t>
      </w:r>
    </w:p>
    <w:p>
      <w:pPr>
        <w:pStyle w:val="ListBullet"/>
      </w:pPr>
      <w:r>
        <w:rPr>
          <w:rFonts w:ascii="Courier New" w:hAnsi="Courier New"/>
        </w:rPr>
        <w:t>PlaceholderMap(doc_id, placeholder -&gt; original_value, entity_type, source)</w:t>
      </w:r>
    </w:p>
    <w:p>
      <w:pPr>
        <w:pStyle w:val="ListBullet"/>
      </w:pPr>
      <w:r>
        <w:rPr>
          <w:rFonts w:ascii="Courier New" w:hAnsi="Courier New"/>
        </w:rPr>
        <w:t>AnonymizationResult(blocks, decisions, mapping_path, audit_path, stats)</w:t>
      </w:r>
    </w:p>
    <w:p>
      <w:pPr>
        <w:pStyle w:val="Heading1"/>
      </w:pPr>
      <w:r>
        <w:t>10. Exacte flow van parsed blocks naar anonymized blocks</w:t>
      </w:r>
    </w:p>
    <w:p>
      <w:pPr>
        <w:pStyle w:val="ListNumber"/>
      </w:pPr>
      <w:r>
        <w:t>Laad alle parserblokken van één document, dus niet alleen pipeline_blocks.</w:t>
      </w:r>
    </w:p>
    <w:p>
      <w:pPr>
        <w:pStyle w:val="ListNumber"/>
      </w:pPr>
      <w:r>
        <w:t>Normaliseer block.text en – waar relevant – tekst in heading_path en table_meta.</w:t>
      </w:r>
    </w:p>
    <w:p>
      <w:pPr>
        <w:pStyle w:val="ListNumber"/>
      </w:pPr>
      <w:r>
        <w:t>Voer detectielaag 1 uit: regex/rules + studentnummerdetectie.</w:t>
      </w:r>
    </w:p>
    <w:p>
      <w:pPr>
        <w:pStyle w:val="ListNumber"/>
      </w:pPr>
      <w:r>
        <w:t>Voer detectielaag 2 uit: dictionary-lookup op basis van de lokale naamcatalogus.</w:t>
      </w:r>
    </w:p>
    <w:p>
      <w:pPr>
        <w:pStyle w:val="ListNumber"/>
      </w:pPr>
      <w:r>
        <w:t>Voer detectielaag 3 uit: spaCy/Presidio custom recognizers.</w:t>
      </w:r>
    </w:p>
    <w:p>
      <w:pPr>
        <w:pStyle w:val="ListNumber"/>
      </w:pPr>
      <w:r>
        <w:t>Voer detectielaag 4 uit: optionele fuzzy rescue op beperkte kandidaatsets.</w:t>
      </w:r>
    </w:p>
    <w:p>
      <w:pPr>
        <w:pStyle w:val="ListNumber"/>
      </w:pPr>
      <w:r>
        <w:t>Maak per gevonden entiteit een replacement decision.</w:t>
      </w:r>
    </w:p>
    <w:p>
      <w:pPr>
        <w:pStyle w:val="ListNumber"/>
      </w:pPr>
      <w:r>
        <w:t>Pas whitelistregels toe en markeer alleen expliciet goedgekeurde uitzonderingen als zichtbaar.</w:t>
      </w:r>
    </w:p>
    <w:p>
      <w:pPr>
        <w:pStyle w:val="ListNumber"/>
      </w:pPr>
      <w:r>
        <w:t>Ken stabiele placeholders toe.</w:t>
      </w:r>
    </w:p>
    <w:p>
      <w:pPr>
        <w:pStyle w:val="ListNumber"/>
      </w:pPr>
      <w:r>
        <w:t>Schrijf geanonimiseerde tekst terug naar elk block, inclusief headings en tabellen.</w:t>
      </w:r>
    </w:p>
    <w:p>
      <w:pPr>
        <w:pStyle w:val="ListNumber"/>
      </w:pPr>
      <w:r>
        <w:t>Sla sidecar mapping, auditlog en samenvattende stats op.</w:t>
      </w:r>
    </w:p>
    <w:p>
      <w:pPr>
        <w:pStyle w:val="ListNumber"/>
      </w:pPr>
      <w:r>
        <w:t>Geef daarna pas de geanonimiseerde blocklijst door aan pipeline_blocks en de LLM-router.</w:t>
      </w:r>
    </w:p>
    <w:p>
      <w:pPr>
        <w:pStyle w:val="Heading1"/>
      </w:pPr>
      <w:r>
        <w:t>11. Determinisme, idempotentie en reproduceerbaarheid</w:t>
      </w:r>
    </w:p>
    <w:p>
      <w:r>
        <w:t>Voor DV5 moet de anonymizer reproduceerbaar zijn. Dat betekent:</w:t>
      </w:r>
    </w:p>
    <w:p>
      <w:pPr>
        <w:pStyle w:val="ListBullet"/>
      </w:pPr>
      <w:r>
        <w:t>vaste volgorde van detectielagen</w:t>
      </w:r>
    </w:p>
    <w:p>
      <w:pPr>
        <w:pStyle w:val="ListBullet"/>
      </w:pPr>
      <w:r>
        <w:t>vaste normalisatie van tekst voordat matching gebeurt</w:t>
      </w:r>
    </w:p>
    <w:p>
      <w:pPr>
        <w:pStyle w:val="ListBullet"/>
      </w:pPr>
      <w:r>
        <w:t>deterministische placeholdertoekenning op volgorde van eerste verschijning</w:t>
      </w:r>
    </w:p>
    <w:p>
      <w:pPr>
        <w:pStyle w:val="ListBullet"/>
      </w:pPr>
      <w:r>
        <w:t>geen externe API-calls of online modellen</w:t>
      </w:r>
    </w:p>
    <w:p>
      <w:pPr>
        <w:pStyle w:val="ListBullet"/>
      </w:pPr>
      <w:r>
        <w:t>vaste configuratiebestanden voor recognizers en policy</w:t>
      </w:r>
    </w:p>
    <w:p>
      <w:pPr>
        <w:pStyle w:val="ListBullet"/>
      </w:pPr>
      <w:r>
        <w:t>run metadata in auditlog, zoals doc_id, parserversie, anonymizerversie, timestamp en gebruikte catalogusversie</w:t>
      </w:r>
    </w:p>
    <w:p>
      <w:pPr>
        <w:pStyle w:val="ListBullet"/>
      </w:pPr>
      <w:r>
        <w:t>idempotentie: een document dat al geanonimiseerd is, moet niet opnieuw andere placeholders krijgen wanneer dezelfde input en config gebruikt worden</w:t>
      </w:r>
    </w:p>
    <w:p>
      <w:pPr>
        <w:pStyle w:val="Heading1"/>
      </w:pPr>
      <w:r>
        <w:t>12. Technische keuzes voor deze use case</w:t>
      </w:r>
    </w:p>
    <w:tbl>
      <w:tblPr>
        <w:tblStyle w:val="TableGrid"/>
        <w:tblW w:type="auto" w:w="0"/>
        <w:tblLook w:firstColumn="1" w:firstRow="1" w:lastColumn="0" w:lastRow="0" w:noHBand="0" w:noVBand="1" w:val="04A0"/>
      </w:tblPr>
      <w:tblGrid>
        <w:gridCol w:w="4968"/>
        <w:gridCol w:w="4968"/>
      </w:tblGrid>
      <w:tr>
        <w:tc>
          <w:tcPr>
            <w:tcW w:type="dxa" w:w="4968"/>
          </w:tcPr>
          <w:p>
            <w:r>
              <w:t>Keuze</w:t>
            </w:r>
          </w:p>
        </w:tc>
        <w:tc>
          <w:tcPr>
            <w:tcW w:type="dxa" w:w="4968"/>
          </w:tcPr>
          <w:p>
            <w:r>
              <w:t>Waarom passend</w:t>
            </w:r>
          </w:p>
        </w:tc>
      </w:tr>
      <w:tr>
        <w:tc>
          <w:tcPr>
            <w:tcW w:type="dxa" w:w="4968"/>
          </w:tcPr>
          <w:p>
            <w:r>
              <w:t>Regex + context rules</w:t>
            </w:r>
          </w:p>
        </w:tc>
        <w:tc>
          <w:tcPr>
            <w:tcW w:type="dxa" w:w="4968"/>
          </w:tcPr>
          <w:p>
            <w:r>
              <w:t>Zeer snel, uitlegbaar, perfect voor studentnummers, labels en vaste patronen.</w:t>
            </w:r>
          </w:p>
        </w:tc>
      </w:tr>
      <w:tr>
        <w:tc>
          <w:tcPr>
            <w:tcW w:type="dxa" w:w="4968"/>
          </w:tcPr>
          <w:p>
            <w:r>
              <w:t>Lokale naamcatalogus</w:t>
            </w:r>
          </w:p>
        </w:tc>
        <w:tc>
          <w:tcPr>
            <w:tcW w:type="dxa" w:w="4968"/>
          </w:tcPr>
          <w:p>
            <w:r>
              <w:t>Sterk voor bekende studenten/docenten uit de opleiding; goed combineerbaar met aliasen.</w:t>
            </w:r>
          </w:p>
        </w:tc>
      </w:tr>
      <w:tr>
        <w:tc>
          <w:tcPr>
            <w:tcW w:type="dxa" w:w="4968"/>
          </w:tcPr>
          <w:p>
            <w:r>
              <w:t>spaCy nl model</w:t>
            </w:r>
          </w:p>
        </w:tc>
        <w:tc>
          <w:tcPr>
            <w:tcW w:type="dxa" w:w="4968"/>
          </w:tcPr>
          <w:p>
            <w:r>
              <w:t>Nuttig als NER-fallback voor onbekende personen en organisaties.</w:t>
            </w:r>
          </w:p>
        </w:tc>
      </w:tr>
      <w:tr>
        <w:tc>
          <w:tcPr>
            <w:tcW w:type="dxa" w:w="4968"/>
          </w:tcPr>
          <w:p>
            <w:r>
              <w:t>Presidio</w:t>
            </w:r>
          </w:p>
        </w:tc>
        <w:tc>
          <w:tcPr>
            <w:tcW w:type="dxa" w:w="4968"/>
          </w:tcPr>
          <w:p>
            <w:r>
              <w:t>Handig als uniforme orkestratielaag voor recognizers, allowlists en anonymization logic.</w:t>
            </w:r>
          </w:p>
        </w:tc>
      </w:tr>
      <w:tr>
        <w:tc>
          <w:tcPr>
            <w:tcW w:type="dxa" w:w="4968"/>
          </w:tcPr>
          <w:p>
            <w:r>
              <w:t>RapidFuzz</w:t>
            </w:r>
          </w:p>
        </w:tc>
        <w:tc>
          <w:tcPr>
            <w:tcW w:type="dxa" w:w="4968"/>
          </w:tcPr>
          <w:p>
            <w:r>
              <w:t>Alleen gebruiken voor beperkte rescue-cases, niet als primaire detector.</w:t>
            </w:r>
          </w:p>
        </w:tc>
      </w:tr>
      <w:tr>
        <w:tc>
          <w:tcPr>
            <w:tcW w:type="dxa" w:w="4968"/>
          </w:tcPr>
          <w:p>
            <w:r>
              <w:t>Caching</w:t>
            </w:r>
          </w:p>
        </w:tc>
        <w:tc>
          <w:tcPr>
            <w:tcW w:type="dxa" w:w="4968"/>
          </w:tcPr>
          <w:p>
            <w:r>
              <w:t>Zinvol voor naamcatalogus, recognizers en geladen models, vooral bij 30+ documenten.</w:t>
            </w:r>
          </w:p>
        </w:tc>
      </w:tr>
    </w:tbl>
    <w:p>
      <w:pPr>
        <w:pStyle w:val="Heading1"/>
      </w:pPr>
      <w:r>
        <w:t>13. Wat expliciet níet verstandig is</w:t>
      </w:r>
    </w:p>
    <w:p>
      <w:pPr>
        <w:pStyle w:val="ListBullet"/>
      </w:pPr>
      <w:r>
        <w:t>De groepslijst-PDF live in elke anonymizerrun opnieuw uitlezen.</w:t>
      </w:r>
    </w:p>
    <w:p>
      <w:pPr>
        <w:pStyle w:val="ListBullet"/>
      </w:pPr>
      <w:r>
        <w:t>Alleen NER gebruiken zonder rules en catalogus.</w:t>
      </w:r>
    </w:p>
    <w:p>
      <w:pPr>
        <w:pStyle w:val="ListBullet"/>
      </w:pPr>
      <w:r>
        <w:t>Whitelist automatisch vullen op basis van ‘lijkt op stakeholder’.</w:t>
      </w:r>
    </w:p>
    <w:p>
      <w:pPr>
        <w:pStyle w:val="ListBullet"/>
      </w:pPr>
      <w:r>
        <w:t>Alleen pipeline_blocks anonimiseren en front matter overslaan.</w:t>
      </w:r>
    </w:p>
    <w:p>
      <w:pPr>
        <w:pStyle w:val="ListBullet"/>
      </w:pPr>
      <w:r>
        <w:t>Fuzzy matching breed toepassen zonder context of kandidaatfilter.</w:t>
      </w:r>
    </w:p>
    <w:p>
      <w:pPr>
        <w:pStyle w:val="Heading1"/>
      </w:pPr>
      <w:r>
        <w:t>14. Praktische implementatiefasen</w:t>
      </w:r>
    </w:p>
    <w:p>
      <w:r>
        <w:rPr>
          <w:b/>
        </w:rPr>
        <w:t xml:space="preserve">Fase 1 – basis: </w:t>
      </w:r>
      <w:r>
        <w:t>Implementatie van rules.py, placeholders.py en anonymizer.py. Start met studentnummers, e-mails, eenvoudige persoonslabels en blockvervanging.</w:t>
      </w:r>
    </w:p>
    <w:p>
      <w:r>
        <w:rPr>
          <w:b/>
        </w:rPr>
        <w:t xml:space="preserve">Fase 2 – naamcatalogus: </w:t>
      </w:r>
      <w:r>
        <w:t>Script build_name_catalog.py maken, groepslijst omzetten naar CSV/JSON, aliasgeneratie toevoegen en exacte naammatches integreren.</w:t>
      </w:r>
    </w:p>
    <w:p>
      <w:r>
        <w:rPr>
          <w:b/>
        </w:rPr>
        <w:t xml:space="preserve">Fase 3 – whitelist UI: </w:t>
      </w:r>
      <w:r>
        <w:t>Streamlit-stap toevoegen voor review van gevonden entiteiten en expliciete allowlistbesluiten.</w:t>
      </w:r>
    </w:p>
    <w:p>
      <w:r>
        <w:rPr>
          <w:b/>
        </w:rPr>
        <w:t xml:space="preserve">Fase 4 – NER fallback: </w:t>
      </w:r>
      <w:r>
        <w:t>spaCy/Presidio aansluiten voor onbekende persoonsnamen en organisaties.</w:t>
      </w:r>
    </w:p>
    <w:p>
      <w:r>
        <w:rPr>
          <w:b/>
        </w:rPr>
        <w:t xml:space="preserve">Fase 5 – audit en evaluatie: </w:t>
      </w:r>
      <w:r>
        <w:t>Sidecar mappings, stats, false positives/false negatives meten en testset opbouwen met de bestaande requirements-documenten.</w:t>
      </w:r>
    </w:p>
    <w:p>
      <w:pPr>
        <w:pStyle w:val="Heading1"/>
      </w:pPr>
      <w:r>
        <w:t>15. Conclusie</w:t>
      </w:r>
    </w:p>
    <w:p>
      <w:r>
        <w:t>De beste anonymizer voor dit project is dus geen losse tekstfilter, maar een volwaardige privacylaag direct na de parser. Die laag moet block-based werken, volledige parseroutput meenemen, meerdere detectietechnieken combineren en altijd eindigen in lokale pseudonimisatie met auditbare placeholders. De student- en docentlijst uit de groeps-PDF is daarvoor waardevol als eerste cataloguslaag, maar moet aangevuld worden met regexregels, NER-fallbacks en handmatig bevestigde whitelistlogica.</w:t>
      </w:r>
    </w:p>
    <w:p>
      <w:pPr>
        <w:pStyle w:val="Heading1"/>
      </w:pPr>
      <w:r>
        <w:t>16. Bronnen die als basis zijn gebruikt</w:t>
      </w:r>
    </w:p>
    <w:p>
      <w:pPr>
        <w:pStyle w:val="ListBullet"/>
      </w:pPr>
      <w:r>
        <w:t>Robuust parser- en anonymizerontwerp voor INSOFAD Software Analyseren.</w:t>
      </w:r>
    </w:p>
    <w:p>
      <w:pPr>
        <w:pStyle w:val="ListBullet"/>
      </w:pPr>
      <w:r>
        <w:t>Groepslijst afdrukken - Software Advanced.pdf.</w:t>
      </w:r>
    </w:p>
    <w:p>
      <w:pPr>
        <w:pStyle w:val="ListBullet"/>
      </w:pPr>
      <w:r>
        <w:t>Requirements-documenten uit First Full Stack / FusionFinds / anti-voorbeeld / studentdocumenten die in deze chat zijn geüpload.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