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2"/>
          <w:szCs w:val="22"/>
        </w:rPr>
        <w:t xml:space="preserve">CASE STUDY</w:t>
      </w:r>
    </w:p>
    <w:p>
      <w:pPr>
        <w:spacing w:after="100"/>
      </w:pPr>
      <w:r>
        <w:rPr>
          <w:b/>
          <w:bCs/>
          <w:color w:val="000000"/>
          <w:sz w:val="40"/>
          <w:szCs w:val="40"/>
        </w:rPr>
        <w:t xml:space="preserve">Retail Sales Performance Analysis</w:t>
      </w:r>
    </w:p>
    <w:p>
      <w:pPr>
        <w:spacing w:after="40"/>
      </w:pPr>
      <w:r>
        <w:rPr>
          <w:i/>
          <w:iCs/>
          <w:color w:val="444444"/>
          <w:sz w:val="24"/>
          <w:szCs w:val="24"/>
        </w:rPr>
        <w:t xml:space="preserve">A Regional Revenue &amp; Product Performance Analysis for a Multi-City Retail Chain</w:t>
      </w:r>
    </w:p>
    <w:p>
      <w:pPr>
        <w:spacing w:after="400"/>
      </w:pPr>
      <w:r>
        <w:rPr>
          <w:color w:val="555555"/>
          <w:sz w:val="18"/>
          <w:szCs w:val="18"/>
        </w:rPr>
        <w:t xml:space="preserve">Prepared by Maryam Alabi (Alabi Maryam Oyinkansola)  |  Data Analyst  |  oyintechlab@gmail.com  |  github.com/OyinTechLab</w:t>
      </w:r>
    </w:p>
    <w:p>
      <w:pPr>
        <w:pStyle w:val="Heading1"/>
        <w:pBdr>
          <w:bottom w:val="single" w:color="1F4E79" w:sz="6" w:space="4"/>
        </w:pBdr>
        <w:spacing w:after="160" w:before="320"/>
      </w:pPr>
      <w:r>
        <w:rPr>
          <w:b/>
          <w:bCs/>
          <w:color w:val="1F4E79"/>
          <w:sz w:val="30"/>
          <w:szCs w:val="30"/>
        </w:rPr>
        <w:t xml:space="preserve">1. Executive Summary</w:t>
      </w:r>
    </w:p>
    <w:p>
      <w:pPr>
        <w:spacing w:after="160" w:line="300"/>
      </w:pPr>
      <w:r>
        <w:rPr>
          <w:sz w:val="22"/>
          <w:szCs w:val="22"/>
        </w:rPr>
        <w:t xml:space="preserve">This case study documents an end-to-end sales performance analysis for a retail chain operating five stores across five Nigerian cities: Port Harcourt, Ibadan, Abuja, Kano, and Lagos. Using 200 anonymized transaction records spanning 2025-2026, the analysis identifies which regions, stores, and products drive revenue, uncovers a mismatch between sales volume and sales value at the store level, and produces a Power BI dashboard leadership can use to monitor performance going forward.</w:t>
      </w:r>
    </w:p>
    <w:p>
      <w:pPr>
        <w:spacing w:after="160" w:line="300"/>
      </w:pPr>
      <w:r>
        <w:rPr>
          <w:sz w:val="22"/>
          <w:szCs w:val="22"/>
        </w:rPr>
        <w:t xml:space="preserve">The project moved through four stages: understanding the business questions, cleaning and structuring the raw data in Excel and Power Query, building a data model with DAX measures in Power BI, and translating the resulting charts into insights and recommendations a non-technical stakeholder could act on.</w:t>
      </w:r>
    </w:p>
    <w:p>
      <w:pPr>
        <w:pStyle w:val="Heading1"/>
        <w:pBdr>
          <w:bottom w:val="single" w:color="1F4E79" w:sz="6" w:space="4"/>
        </w:pBdr>
        <w:spacing w:after="160" w:before="320"/>
      </w:pPr>
      <w:r>
        <w:rPr>
          <w:b/>
          <w:bCs/>
          <w:color w:val="1F4E79"/>
          <w:sz w:val="30"/>
          <w:szCs w:val="30"/>
        </w:rPr>
        <w:t xml:space="preserve">2. Business Problem</w:t>
      </w:r>
    </w:p>
    <w:p>
      <w:pPr>
        <w:spacing w:after="160" w:line="300"/>
      </w:pPr>
      <w:r>
        <w:rPr>
          <w:sz w:val="22"/>
          <w:szCs w:val="22"/>
        </w:rPr>
        <w:t xml:space="preserve">The client is a multi-city retail chain selling phones, laptops, tablets, and accessories. Before this project, transaction records existed only as flat, unaggregated rows with no way to compare performance across stores or product lines. Leadership needed a single source of truth to answer:</w:t>
      </w:r>
    </w:p>
    <w:p>
      <w:pPr>
        <w:pStyle w:val="ListParagraph"/>
        <w:numPr>
          <w:ilvl w:val="0"/>
          <w:numId w:val="2"/>
        </w:numPr>
        <w:spacing w:after="100" w:line="280"/>
      </w:pPr>
      <w:r>
        <w:rPr>
          <w:sz w:val="22"/>
          <w:szCs w:val="22"/>
        </w:rPr>
        <w:t xml:space="preserve">Which regions and stores are generating the most revenue, and which are lagging?</w:t>
      </w:r>
    </w:p>
    <w:p>
      <w:pPr>
        <w:pStyle w:val="ListParagraph"/>
        <w:numPr>
          <w:ilvl w:val="0"/>
          <w:numId w:val="2"/>
        </w:numPr>
        <w:spacing w:after="100" w:line="280"/>
      </w:pPr>
      <w:r>
        <w:rPr>
          <w:sz w:val="22"/>
          <w:szCs w:val="22"/>
        </w:rPr>
        <w:t xml:space="preserve">Which product categories and specific products should be prioritized for stock and marketing investment?</w:t>
      </w:r>
    </w:p>
    <w:p>
      <w:pPr>
        <w:pStyle w:val="ListParagraph"/>
        <w:numPr>
          <w:ilvl w:val="0"/>
          <w:numId w:val="2"/>
        </w:numPr>
        <w:spacing w:after="100" w:line="280"/>
      </w:pPr>
      <w:r>
        <w:rPr>
          <w:sz w:val="22"/>
          <w:szCs w:val="22"/>
        </w:rPr>
        <w:t xml:space="preserve">Are new or returning customers contributing more value, and does this differ by gender?</w:t>
      </w:r>
    </w:p>
    <w:p>
      <w:pPr>
        <w:pStyle w:val="ListParagraph"/>
        <w:numPr>
          <w:ilvl w:val="0"/>
          <w:numId w:val="2"/>
        </w:numPr>
        <w:spacing w:after="100" w:line="280"/>
      </w:pPr>
      <w:r>
        <w:rPr>
          <w:sz w:val="22"/>
          <w:szCs w:val="22"/>
        </w:rPr>
        <w:t xml:space="preserve">Are any stores selling high volume but low value (or the reverse) - a distinction that changes how their performance should be judged?</w:t>
      </w:r>
    </w:p>
    <w:p>
      <w:pPr>
        <w:pStyle w:val="Heading1"/>
        <w:pBdr>
          <w:bottom w:val="single" w:color="1F4E79" w:sz="6" w:space="4"/>
        </w:pBdr>
        <w:spacing w:after="160" w:before="320"/>
      </w:pPr>
      <w:r>
        <w:rPr>
          <w:b/>
          <w:bCs/>
          <w:color w:val="1F4E79"/>
          <w:sz w:val="30"/>
          <w:szCs w:val="30"/>
        </w:rPr>
        <w:t xml:space="preserve">3. Data Overview</w:t>
      </w:r>
    </w:p>
    <w:p>
      <w:pPr>
        <w:spacing w:after="160" w:line="300"/>
      </w:pPr>
      <w:r>
        <w:rPr>
          <w:sz w:val="22"/>
          <w:szCs w:val="22"/>
        </w:rPr>
        <w:t xml:space="preserve">The dataset consisted of 200 transaction records across 11 fields: SaleID, Date, Region, Store, SalesRep, CustomerGender, CustomerType, ProductCategory, ProductName, Quantity, and UnitPrice. Revenue was not provided directly and had to be derived (Quantity × UnitPrice) as part of the data modeling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pct" w:w="50%"/>
            <w:shd w:fill="1F4E79" w:color="auto" w:val="clear"/>
            <w:tcMar>
              <w:top w:type="dxa" w:w="100"/>
              <w:left w:type="dxa" w:w="120"/>
              <w:bottom w:type="dxa" w:w="100"/>
              <w:right w:type="dxa" w:w="120"/>
            </w:tcMar>
          </w:tcPr>
          <w:p>
            <w:r>
              <w:rPr>
                <w:b/>
                <w:bCs/>
                <w:color w:val="FFFFFF"/>
                <w:sz w:val="21"/>
                <w:szCs w:val="21"/>
              </w:rPr>
              <w:t xml:space="preserve">Metric</w:t>
            </w:r>
          </w:p>
        </w:tc>
        <w:tc>
          <w:tcPr>
            <w:tcW w:type="pct" w:w="50%"/>
            <w:shd w:fill="1F4E79" w:color="auto" w:val="clear"/>
            <w:tcMar>
              <w:top w:type="dxa" w:w="100"/>
              <w:left w:type="dxa" w:w="120"/>
              <w:bottom w:type="dxa" w:w="100"/>
              <w:right w:type="dxa" w:w="120"/>
            </w:tcMar>
          </w:tcPr>
          <w:p>
            <w:r>
              <w:rPr>
                <w:b/>
                <w:bCs/>
                <w:color w:val="FFFFFF"/>
                <w:sz w:val="21"/>
                <w:szCs w:val="21"/>
              </w:rPr>
              <w:t xml:space="preserve">Value</w:t>
            </w:r>
          </w:p>
        </w:tc>
      </w:tr>
      <w:tr>
        <w:tc>
          <w:tcPr>
            <w:tcW w:type="pct" w:w="50%"/>
            <w:shd w:fill="D9E2F3" w:color="auto" w:val="clear"/>
            <w:tcMar>
              <w:top w:type="dxa" w:w="100"/>
              <w:left w:type="dxa" w:w="120"/>
              <w:bottom w:type="dxa" w:w="100"/>
              <w:right w:type="dxa" w:w="120"/>
            </w:tcMar>
          </w:tcPr>
          <w:p>
            <w:r>
              <w:rPr>
                <w:b w:val="false"/>
                <w:bCs w:val="false"/>
                <w:color w:val="000000"/>
                <w:sz w:val="21"/>
                <w:szCs w:val="21"/>
              </w:rPr>
              <w:t xml:space="preserve">Total transactions</w:t>
            </w:r>
          </w:p>
        </w:tc>
        <w:tc>
          <w:tcPr>
            <w:tcW w:type="pct" w:w="50%"/>
            <w:shd w:fill="D9E2F3" w:color="auto" w:val="clear"/>
            <w:tcMar>
              <w:top w:type="dxa" w:w="100"/>
              <w:left w:type="dxa" w:w="120"/>
              <w:bottom w:type="dxa" w:w="100"/>
              <w:right w:type="dxa" w:w="120"/>
            </w:tcMar>
          </w:tcPr>
          <w:p>
            <w:r>
              <w:rPr>
                <w:b/>
                <w:bCs/>
                <w:color w:val="000000"/>
                <w:sz w:val="21"/>
                <w:szCs w:val="21"/>
              </w:rPr>
              <w:t xml:space="preserve">200</w:t>
            </w:r>
          </w:p>
        </w:tc>
      </w:tr>
      <w:tr>
        <w:tc>
          <w:tcPr>
            <w:tcW w:type="pct" w:w="50%"/>
            <w:shd w:fill="FFFFFF" w:color="auto" w:val="clear"/>
            <w:tcMar>
              <w:top w:type="dxa" w:w="100"/>
              <w:left w:type="dxa" w:w="120"/>
              <w:bottom w:type="dxa" w:w="100"/>
              <w:right w:type="dxa" w:w="120"/>
            </w:tcMar>
          </w:tcPr>
          <w:p>
            <w:r>
              <w:rPr>
                <w:b w:val="false"/>
                <w:bCs w:val="false"/>
                <w:color w:val="000000"/>
                <w:sz w:val="21"/>
                <w:szCs w:val="21"/>
              </w:rPr>
              <w:t xml:space="preserve">Total units sold</w:t>
            </w:r>
          </w:p>
        </w:tc>
        <w:tc>
          <w:tcPr>
            <w:tcW w:type="pct" w:w="50%"/>
            <w:shd w:fill="FFFFFF" w:color="auto" w:val="clear"/>
            <w:tcMar>
              <w:top w:type="dxa" w:w="100"/>
              <w:left w:type="dxa" w:w="120"/>
              <w:bottom w:type="dxa" w:w="100"/>
              <w:right w:type="dxa" w:w="120"/>
            </w:tcMar>
          </w:tcPr>
          <w:p>
            <w:r>
              <w:rPr>
                <w:b/>
                <w:bCs/>
                <w:color w:val="000000"/>
                <w:sz w:val="21"/>
                <w:szCs w:val="21"/>
              </w:rPr>
              <w:t xml:space="preserve">700</w:t>
            </w:r>
          </w:p>
        </w:tc>
      </w:tr>
      <w:tr>
        <w:tc>
          <w:tcPr>
            <w:tcW w:type="pct" w:w="50%"/>
            <w:shd w:fill="D9E2F3" w:color="auto" w:val="clear"/>
            <w:tcMar>
              <w:top w:type="dxa" w:w="100"/>
              <w:left w:type="dxa" w:w="120"/>
              <w:bottom w:type="dxa" w:w="100"/>
              <w:right w:type="dxa" w:w="120"/>
            </w:tcMar>
          </w:tcPr>
          <w:p>
            <w:r>
              <w:rPr>
                <w:b w:val="false"/>
                <w:bCs w:val="false"/>
                <w:color w:val="000000"/>
                <w:sz w:val="21"/>
                <w:szCs w:val="21"/>
              </w:rPr>
              <w:t xml:space="preserve">Total revenue</w:t>
            </w:r>
          </w:p>
        </w:tc>
        <w:tc>
          <w:tcPr>
            <w:tcW w:type="pct" w:w="50%"/>
            <w:shd w:fill="D9E2F3" w:color="auto" w:val="clear"/>
            <w:tcMar>
              <w:top w:type="dxa" w:w="100"/>
              <w:left w:type="dxa" w:w="120"/>
              <w:bottom w:type="dxa" w:w="100"/>
              <w:right w:type="dxa" w:w="120"/>
            </w:tcMar>
          </w:tcPr>
          <w:p>
            <w:r>
              <w:rPr>
                <w:b/>
                <w:bCs/>
                <w:color w:val="000000"/>
                <w:sz w:val="21"/>
                <w:szCs w:val="21"/>
              </w:rPr>
              <w:t xml:space="preserve">₦273,213,000</w:t>
            </w:r>
          </w:p>
        </w:tc>
      </w:tr>
      <w:tr>
        <w:tc>
          <w:tcPr>
            <w:tcW w:type="pct" w:w="50%"/>
            <w:shd w:fill="FFFFFF" w:color="auto" w:val="clear"/>
            <w:tcMar>
              <w:top w:type="dxa" w:w="100"/>
              <w:left w:type="dxa" w:w="120"/>
              <w:bottom w:type="dxa" w:w="100"/>
              <w:right w:type="dxa" w:w="120"/>
            </w:tcMar>
          </w:tcPr>
          <w:p>
            <w:r>
              <w:rPr>
                <w:b w:val="false"/>
                <w:bCs w:val="false"/>
                <w:color w:val="000000"/>
                <w:sz w:val="21"/>
                <w:szCs w:val="21"/>
              </w:rPr>
              <w:t xml:space="preserve">Average unit price</w:t>
            </w:r>
          </w:p>
        </w:tc>
        <w:tc>
          <w:tcPr>
            <w:tcW w:type="pct" w:w="50%"/>
            <w:shd w:fill="FFFFFF" w:color="auto" w:val="clear"/>
            <w:tcMar>
              <w:top w:type="dxa" w:w="100"/>
              <w:left w:type="dxa" w:w="120"/>
              <w:bottom w:type="dxa" w:w="100"/>
              <w:right w:type="dxa" w:w="120"/>
            </w:tcMar>
          </w:tcPr>
          <w:p>
            <w:r>
              <w:rPr>
                <w:b/>
                <w:bCs/>
                <w:color w:val="000000"/>
                <w:sz w:val="21"/>
                <w:szCs w:val="21"/>
              </w:rPr>
              <w:t xml:space="preserve">₦401,570</w:t>
            </w:r>
          </w:p>
        </w:tc>
      </w:tr>
      <w:tr>
        <w:tc>
          <w:tcPr>
            <w:tcW w:type="pct" w:w="50%"/>
            <w:shd w:fill="D9E2F3" w:color="auto" w:val="clear"/>
            <w:tcMar>
              <w:top w:type="dxa" w:w="100"/>
              <w:left w:type="dxa" w:w="120"/>
              <w:bottom w:type="dxa" w:w="100"/>
              <w:right w:type="dxa" w:w="120"/>
            </w:tcMar>
          </w:tcPr>
          <w:p>
            <w:r>
              <w:rPr>
                <w:b w:val="false"/>
                <w:bCs w:val="false"/>
                <w:color w:val="000000"/>
                <w:sz w:val="21"/>
                <w:szCs w:val="21"/>
              </w:rPr>
              <w:t xml:space="preserve">Regions covered</w:t>
            </w:r>
          </w:p>
        </w:tc>
        <w:tc>
          <w:tcPr>
            <w:tcW w:type="pct" w:w="50%"/>
            <w:shd w:fill="D9E2F3" w:color="auto" w:val="clear"/>
            <w:tcMar>
              <w:top w:type="dxa" w:w="100"/>
              <w:left w:type="dxa" w:w="120"/>
              <w:bottom w:type="dxa" w:w="100"/>
              <w:right w:type="dxa" w:w="120"/>
            </w:tcMar>
          </w:tcPr>
          <w:p>
            <w:r>
              <w:rPr>
                <w:b/>
                <w:bCs/>
                <w:color w:val="000000"/>
                <w:sz w:val="21"/>
                <w:szCs w:val="21"/>
              </w:rPr>
              <w:t xml:space="preserve">5 (Port Harcourt, Ibadan, Abuja, Kano, Lagos)</w:t>
            </w:r>
          </w:p>
        </w:tc>
      </w:tr>
      <w:tr>
        <w:tc>
          <w:tcPr>
            <w:tcW w:type="pct" w:w="50%"/>
            <w:shd w:fill="FFFFFF" w:color="auto" w:val="clear"/>
            <w:tcMar>
              <w:top w:type="dxa" w:w="100"/>
              <w:left w:type="dxa" w:w="120"/>
              <w:bottom w:type="dxa" w:w="100"/>
              <w:right w:type="dxa" w:w="120"/>
            </w:tcMar>
          </w:tcPr>
          <w:p>
            <w:r>
              <w:rPr>
                <w:b w:val="false"/>
                <w:bCs w:val="false"/>
                <w:color w:val="000000"/>
                <w:sz w:val="21"/>
                <w:szCs w:val="21"/>
              </w:rPr>
              <w:t xml:space="preserve">Stores covered</w:t>
            </w:r>
          </w:p>
        </w:tc>
        <w:tc>
          <w:tcPr>
            <w:tcW w:type="pct" w:w="50%"/>
            <w:shd w:fill="FFFFFF" w:color="auto" w:val="clear"/>
            <w:tcMar>
              <w:top w:type="dxa" w:w="100"/>
              <w:left w:type="dxa" w:w="120"/>
              <w:bottom w:type="dxa" w:w="100"/>
              <w:right w:type="dxa" w:w="120"/>
            </w:tcMar>
          </w:tcPr>
          <w:p>
            <w:r>
              <w:rPr>
                <w:b/>
                <w:bCs/>
                <w:color w:val="000000"/>
                <w:sz w:val="21"/>
                <w:szCs w:val="21"/>
              </w:rPr>
              <w:t xml:space="preserve">8</w:t>
            </w:r>
          </w:p>
        </w:tc>
      </w:tr>
      <w:tr>
        <w:tc>
          <w:tcPr>
            <w:tcW w:type="pct" w:w="50%"/>
            <w:shd w:fill="D9E2F3" w:color="auto" w:val="clear"/>
            <w:tcMar>
              <w:top w:type="dxa" w:w="100"/>
              <w:left w:type="dxa" w:w="120"/>
              <w:bottom w:type="dxa" w:w="100"/>
              <w:right w:type="dxa" w:w="120"/>
            </w:tcMar>
          </w:tcPr>
          <w:p>
            <w:r>
              <w:rPr>
                <w:b w:val="false"/>
                <w:bCs w:val="false"/>
                <w:color w:val="000000"/>
                <w:sz w:val="21"/>
                <w:szCs w:val="21"/>
              </w:rPr>
              <w:t xml:space="preserve">Product categories</w:t>
            </w:r>
          </w:p>
        </w:tc>
        <w:tc>
          <w:tcPr>
            <w:tcW w:type="pct" w:w="50%"/>
            <w:shd w:fill="D9E2F3" w:color="auto" w:val="clear"/>
            <w:tcMar>
              <w:top w:type="dxa" w:w="100"/>
              <w:left w:type="dxa" w:w="120"/>
              <w:bottom w:type="dxa" w:w="100"/>
              <w:right w:type="dxa" w:w="120"/>
            </w:tcMar>
          </w:tcPr>
          <w:p>
            <w:r>
              <w:rPr>
                <w:b/>
                <w:bCs/>
                <w:color w:val="000000"/>
                <w:sz w:val="21"/>
                <w:szCs w:val="21"/>
              </w:rPr>
              <w:t xml:space="preserve">4 (Phone, Laptop, Tablet, Accessory)</w:t>
            </w:r>
          </w:p>
        </w:tc>
      </w:tr>
      <w:tr>
        <w:tc>
          <w:tcPr>
            <w:tcW w:type="pct" w:w="50%"/>
            <w:shd w:fill="FFFFFF" w:color="auto" w:val="clear"/>
            <w:tcMar>
              <w:top w:type="dxa" w:w="100"/>
              <w:left w:type="dxa" w:w="120"/>
              <w:bottom w:type="dxa" w:w="100"/>
              <w:right w:type="dxa" w:w="120"/>
            </w:tcMar>
          </w:tcPr>
          <w:p>
            <w:r>
              <w:rPr>
                <w:b w:val="false"/>
                <w:bCs w:val="false"/>
                <w:color w:val="000000"/>
                <w:sz w:val="21"/>
                <w:szCs w:val="21"/>
              </w:rPr>
              <w:t xml:space="preserve">Time span</w:t>
            </w:r>
          </w:p>
        </w:tc>
        <w:tc>
          <w:tcPr>
            <w:tcW w:type="pct" w:w="50%"/>
            <w:shd w:fill="FFFFFF" w:color="auto" w:val="clear"/>
            <w:tcMar>
              <w:top w:type="dxa" w:w="100"/>
              <w:left w:type="dxa" w:w="120"/>
              <w:bottom w:type="dxa" w:w="100"/>
              <w:right w:type="dxa" w:w="120"/>
            </w:tcMar>
          </w:tcPr>
          <w:p>
            <w:r>
              <w:rPr>
                <w:b/>
                <w:bCs/>
                <w:color w:val="000000"/>
                <w:sz w:val="21"/>
                <w:szCs w:val="21"/>
              </w:rPr>
              <w:t xml:space="preserve">2025-2026 (two calendar years)</w:t>
            </w:r>
          </w:p>
        </w:tc>
      </w:tr>
    </w:tbl>
    <w:p>
      <w:pPr>
        <w:pStyle w:val="Heading1"/>
        <w:pBdr>
          <w:bottom w:val="single" w:color="1F4E79" w:sz="6" w:space="4"/>
        </w:pBdr>
        <w:spacing w:after="160" w:before="320"/>
      </w:pPr>
      <w:r>
        <w:rPr>
          <w:b/>
          <w:bCs/>
          <w:color w:val="1F4E79"/>
          <w:sz w:val="30"/>
          <w:szCs w:val="30"/>
        </w:rPr>
        <w:t xml:space="preserve">4. Approach &amp; Methodology</w:t>
      </w:r>
    </w:p>
    <w:p>
      <w:pPr>
        <w:pStyle w:val="Heading2"/>
        <w:spacing w:after="120" w:before="260"/>
      </w:pPr>
      <w:r>
        <w:rPr>
          <w:b/>
          <w:bCs/>
          <w:color w:val="1F4E79"/>
          <w:sz w:val="24"/>
          <w:szCs w:val="24"/>
        </w:rPr>
        <w:t xml:space="preserve">4.1 Data Cleaning</w:t>
      </w:r>
    </w:p>
    <w:p>
      <w:pPr>
        <w:pStyle w:val="ListParagraph"/>
        <w:numPr>
          <w:ilvl w:val="0"/>
          <w:numId w:val="2"/>
        </w:numPr>
        <w:spacing w:after="100" w:line="280"/>
      </w:pPr>
      <w:r>
        <w:rPr>
          <w:sz w:val="22"/>
          <w:szCs w:val="22"/>
        </w:rPr>
        <w:t xml:space="preserve">Validated SaleID uniqueness and checked for duplicate transaction records.</w:t>
      </w:r>
    </w:p>
    <w:p>
      <w:pPr>
        <w:pStyle w:val="ListParagraph"/>
        <w:numPr>
          <w:ilvl w:val="0"/>
          <w:numId w:val="2"/>
        </w:numPr>
        <w:spacing w:after="100" w:line="280"/>
      </w:pPr>
      <w:r>
        <w:rPr>
          <w:sz w:val="22"/>
          <w:szCs w:val="22"/>
        </w:rPr>
        <w:t xml:space="preserve">Corrected data types (dates, currency, numeric fields) in Power Query.</w:t>
      </w:r>
    </w:p>
    <w:p>
      <w:pPr>
        <w:pStyle w:val="ListParagraph"/>
        <w:numPr>
          <w:ilvl w:val="0"/>
          <w:numId w:val="2"/>
        </w:numPr>
        <w:spacing w:after="100" w:line="280"/>
      </w:pPr>
      <w:r>
        <w:rPr>
          <w:sz w:val="22"/>
          <w:szCs w:val="22"/>
        </w:rPr>
        <w:t xml:space="preserve">Renamed ambiguous or inconsistent column names for clarity.</w:t>
      </w:r>
    </w:p>
    <w:p>
      <w:pPr>
        <w:pStyle w:val="ListParagraph"/>
        <w:numPr>
          <w:ilvl w:val="0"/>
          <w:numId w:val="2"/>
        </w:numPr>
        <w:spacing w:after="100" w:line="280"/>
      </w:pPr>
      <w:r>
        <w:rPr>
          <w:sz w:val="22"/>
          <w:szCs w:val="22"/>
        </w:rPr>
        <w:t xml:space="preserve">Built a dedicated Date table to support time-intelligence and correct chronological sorting.</w:t>
      </w:r>
    </w:p>
    <w:p>
      <w:pPr>
        <w:pStyle w:val="Heading2"/>
        <w:spacing w:after="120" w:before="260"/>
      </w:pPr>
      <w:r>
        <w:rPr>
          <w:b/>
          <w:bCs/>
          <w:color w:val="1F4E79"/>
          <w:sz w:val="24"/>
          <w:szCs w:val="24"/>
        </w:rPr>
        <w:t xml:space="preserve">4.2 Data Modeling (DAX)</w:t>
      </w:r>
    </w:p>
    <w:p>
      <w:pPr>
        <w:spacing w:after="160" w:line="300"/>
      </w:pPr>
      <w:r>
        <w:rPr>
          <w:sz w:val="22"/>
          <w:szCs w:val="22"/>
        </w:rPr>
        <w:t xml:space="preserve">Rather than relying on raw column sums, revenue and transaction counts were built as explicit measures so they would recalculate correctly under any filter or slicer applied on the dashboard:</w:t>
      </w:r>
    </w:p>
    <w:p>
      <w:pPr>
        <w:shd w:fill="F2F2F2" w:color="auto" w:val="clear"/>
        <w:spacing w:after="80"/>
      </w:pPr>
      <w:r>
        <w:rPr>
          <w:rFonts w:ascii="Consolas" w:cs="Consolas" w:eastAsia="Consolas" w:hAnsi="Consolas"/>
          <w:sz w:val="19"/>
          <w:szCs w:val="19"/>
        </w:rPr>
        <w:t xml:space="preserve">Total Revenue = SUMX(Retail_Sales_200, Retail_Sales_200[Quantity] * Retail_Sales_200[UnitPrice])</w:t>
      </w:r>
    </w:p>
    <w:p>
      <w:pPr>
        <w:shd w:fill="F2F2F2" w:color="auto" w:val="clear"/>
        <w:spacing w:after="80"/>
      </w:pPr>
      <w:r>
        <w:rPr>
          <w:rFonts w:ascii="Consolas" w:cs="Consolas" w:eastAsia="Consolas" w:hAnsi="Consolas"/>
          <w:sz w:val="19"/>
          <w:szCs w:val="19"/>
        </w:rPr>
        <w:t xml:space="preserve">Total Transactions = DISTINCTCOUNT(Retail_Sales_200[SaleID])</w:t>
      </w:r>
    </w:p>
    <w:p>
      <w:pPr>
        <w:shd w:fill="F2F2F2" w:color="auto" w:val="clear"/>
        <w:spacing w:after="80"/>
      </w:pPr>
      <w:r>
        <w:rPr>
          <w:rFonts w:ascii="Consolas" w:cs="Consolas" w:eastAsia="Consolas" w:hAnsi="Consolas"/>
          <w:sz w:val="19"/>
          <w:szCs w:val="19"/>
        </w:rPr>
        <w:t xml:space="preserve">Average Unit Price = AVERAGE(Retail_Sales_200[UnitPrice])</w:t>
      </w:r>
    </w:p>
    <w:p>
      <w:pPr>
        <w:shd w:fill="F2F2F2" w:color="auto" w:val="clear"/>
        <w:spacing w:after="200"/>
      </w:pPr>
      <w:r>
        <w:rPr>
          <w:rFonts w:ascii="Consolas" w:cs="Consolas" w:eastAsia="Consolas" w:hAnsi="Consolas"/>
          <w:sz w:val="19"/>
          <w:szCs w:val="19"/>
        </w:rPr>
        <w:t xml:space="preserve">Month Number = MONTH('Date'[Date])</w:t>
      </w:r>
    </w:p>
    <w:p>
      <w:pPr>
        <w:pStyle w:val="Heading2"/>
        <w:spacing w:after="120" w:before="260"/>
      </w:pPr>
      <w:r>
        <w:rPr>
          <w:b/>
          <w:bCs/>
          <w:color w:val="1F4E79"/>
          <w:sz w:val="24"/>
          <w:szCs w:val="24"/>
        </w:rPr>
        <w:t xml:space="preserve">4.3 Dashboard Design</w:t>
      </w:r>
    </w:p>
    <w:p>
      <w:pPr>
        <w:spacing w:after="160" w:line="300"/>
      </w:pPr>
      <w:r>
        <w:rPr>
          <w:sz w:val="22"/>
          <w:szCs w:val="22"/>
        </w:rPr>
        <w:t xml:space="preserve">The Power BI report was structured in three visual tiers: headline KPI cards (total revenue, quantity, transactions, average unit price) at the top; a second row breaking revenue down by customer gender, region, store, and customer type; and a third row examining product category, monthly trend, and a Top 10 products view. A Top N filter (Top 10 by Total Revenue) was applied to the product-level chart so the dashboard highlights best-sellers rather than listing every SKU.</w:t>
      </w:r>
    </w:p>
    <w:p>
      <w:pPr>
        <w:pStyle w:val="Heading2"/>
        <w:spacing w:after="120" w:before="260"/>
      </w:pPr>
      <w:r>
        <w:rPr>
          <w:b/>
          <w:bCs/>
          <w:color w:val="1F4E79"/>
          <w:sz w:val="24"/>
          <w:szCs w:val="24"/>
        </w:rPr>
        <w:t xml:space="preserve">4.4 A Data Limitation Worth Naming</w:t>
      </w:r>
    </w:p>
    <w:p>
      <w:pPr>
        <w:spacing w:after="160" w:line="300"/>
      </w:pPr>
      <w:r>
        <w:rPr>
          <w:sz w:val="22"/>
          <w:szCs w:val="22"/>
        </w:rPr>
        <w:t xml:space="preserve">During review, the monthly trend chart was found to be sorted by revenue magnitude rather than true chronological order, and because the dataset spans two calendar years (2025 and 2026), aggregating purely by month name blends both years together. This means the apparent “decline” from December to May was an artifact of sorting, not a genuine seasonal trend. Recognizing and correcting for this before finalizing the insights was an important step in avoiding a false conclusion - a future iteration of this dashboard should separate revenue by year to assess seasonality properly.</w:t>
      </w:r>
    </w:p>
    <w:p>
      <w:pPr>
        <w:pStyle w:val="Heading1"/>
        <w:pBdr>
          <w:bottom w:val="single" w:color="1F4E79" w:sz="6" w:space="4"/>
        </w:pBdr>
        <w:spacing w:after="160" w:before="320"/>
      </w:pPr>
      <w:r>
        <w:rPr>
          <w:b/>
          <w:bCs/>
          <w:color w:val="1F4E79"/>
          <w:sz w:val="30"/>
          <w:szCs w:val="30"/>
        </w:rPr>
        <w:t xml:space="preserve">5. Key Insights</w:t>
      </w:r>
    </w:p>
    <w:p>
      <w:pPr>
        <w:pStyle w:val="ListParagraph"/>
        <w:numPr>
          <w:ilvl w:val="0"/>
          <w:numId w:val="2"/>
        </w:numPr>
        <w:spacing w:after="100" w:line="280"/>
      </w:pPr>
      <w:r>
        <w:rPr>
          <w:b/>
          <w:bCs/>
          <w:sz w:val="22"/>
          <w:szCs w:val="22"/>
        </w:rPr>
        <w:t xml:space="preserve">Port Harcourt leads all regions</w:t>
      </w:r>
      <w:r>
        <w:rPr>
          <w:sz w:val="22"/>
          <w:szCs w:val="22"/>
        </w:rPr>
        <w:t xml:space="preserve"> with ₦69.72M in revenue, 72% higher than the lowest-performing region, Lagos (₦40.51M).</w:t>
      </w:r>
    </w:p>
    <w:p>
      <w:pPr>
        <w:pStyle w:val="ListParagraph"/>
        <w:numPr>
          <w:ilvl w:val="0"/>
          <w:numId w:val="2"/>
        </w:numPr>
        <w:spacing w:after="100" w:line="280"/>
      </w:pPr>
      <w:r>
        <w:rPr>
          <w:b/>
          <w:bCs/>
          <w:sz w:val="22"/>
          <w:szCs w:val="22"/>
        </w:rPr>
        <w:t xml:space="preserve">GRA is the top store</w:t>
      </w:r>
      <w:r>
        <w:rPr>
          <w:sz w:val="22"/>
          <w:szCs w:val="22"/>
        </w:rPr>
        <w:t xml:space="preserve"> by both volume (163 units) and revenue (₦69.72M) - nearly double the volume of the lowest store, Lekki (49 units).</w:t>
      </w:r>
    </w:p>
    <w:p>
      <w:pPr>
        <w:pStyle w:val="ListParagraph"/>
        <w:numPr>
          <w:ilvl w:val="0"/>
          <w:numId w:val="2"/>
        </w:numPr>
        <w:spacing w:after="100" w:line="280"/>
      </w:pPr>
      <w:r>
        <w:rPr>
          <w:b/>
          <w:bCs/>
          <w:sz w:val="22"/>
          <w:szCs w:val="22"/>
        </w:rPr>
        <w:t xml:space="preserve">Volume and revenue do not always align: </w:t>
      </w:r>
      <w:r>
        <w:rPr>
          <w:sz w:val="22"/>
          <w:szCs w:val="22"/>
        </w:rPr>
        <w:t xml:space="preserve">Ikeja sold more units than Lekki (55 vs. 49) but generated less revenue (₦17.97M vs. ₦22.54M). Lekki sells fewer but higher-value items, while Ikeja moves more low-value stock - a distinction that would be missed by looking at volume alone.</w:t>
      </w:r>
    </w:p>
    <w:p>
      <w:pPr>
        <w:pStyle w:val="ListParagraph"/>
        <w:numPr>
          <w:ilvl w:val="0"/>
          <w:numId w:val="2"/>
        </w:numPr>
        <w:spacing w:after="100" w:line="280"/>
      </w:pPr>
      <w:r>
        <w:rPr>
          <w:b/>
          <w:bCs/>
          <w:sz w:val="22"/>
          <w:szCs w:val="22"/>
        </w:rPr>
        <w:t xml:space="preserve">Phones are the leading category</w:t>
      </w:r>
      <w:r>
        <w:rPr>
          <w:sz w:val="22"/>
          <w:szCs w:val="22"/>
        </w:rPr>
        <w:t xml:space="preserve"> (₦107.06M), ahead of Laptops (₦91.29M) and Tablets (₦72.48M). Accessories trail far behind (₦2.38M), raising the question of whether they justify independent shelf space.</w:t>
      </w:r>
    </w:p>
    <w:p>
      <w:pPr>
        <w:pStyle w:val="ListParagraph"/>
        <w:numPr>
          <w:ilvl w:val="0"/>
          <w:numId w:val="2"/>
        </w:numPr>
        <w:spacing w:after="100" w:line="280"/>
      </w:pPr>
      <w:r>
        <w:rPr>
          <w:b/>
          <w:bCs/>
          <w:sz w:val="22"/>
          <w:szCs w:val="22"/>
        </w:rPr>
        <w:t xml:space="preserve">iPhone 15 is the single best-selling product</w:t>
      </w:r>
      <w:r>
        <w:rPr>
          <w:sz w:val="22"/>
          <w:szCs w:val="22"/>
        </w:rPr>
        <w:t xml:space="preserve"> (₦43.12M), narrowly ahead of MacBook Air M4 (₦40.6M) - together the top two products account for over 30% of total revenue.</w:t>
      </w:r>
    </w:p>
    <w:p>
      <w:pPr>
        <w:pStyle w:val="ListParagraph"/>
        <w:numPr>
          <w:ilvl w:val="0"/>
          <w:numId w:val="2"/>
        </w:numPr>
        <w:spacing w:after="100" w:line="280"/>
      </w:pPr>
      <w:r>
        <w:rPr>
          <w:b/>
          <w:bCs/>
          <w:sz w:val="22"/>
          <w:szCs w:val="22"/>
        </w:rPr>
        <w:t xml:space="preserve">Customer base is close to evenly split</w:t>
      </w:r>
      <w:r>
        <w:rPr>
          <w:sz w:val="22"/>
          <w:szCs w:val="22"/>
        </w:rPr>
        <w:t xml:space="preserve"> by gender (50.3% female / 49.7% male) and skews only slightly toward new customers (53.1%) over returning customers (46.9% of revenue).</w:t>
      </w:r>
    </w:p>
    <w:p>
      <w:pPr>
        <w:pStyle w:val="Heading1"/>
        <w:pBdr>
          <w:bottom w:val="single" w:color="1F4E79" w:sz="6" w:space="4"/>
        </w:pBdr>
        <w:spacing w:after="160" w:before="320"/>
      </w:pPr>
      <w:r>
        <w:rPr>
          <w:b/>
          <w:bCs/>
          <w:color w:val="1F4E79"/>
          <w:sz w:val="30"/>
          <w:szCs w:val="30"/>
        </w:rPr>
        <w:t xml:space="preserve">6. Recommendations</w:t>
      </w:r>
    </w:p>
    <w:p>
      <w:pPr>
        <w:pStyle w:val="ListParagraph"/>
        <w:numPr>
          <w:ilvl w:val="0"/>
          <w:numId w:val="2"/>
        </w:numPr>
        <w:spacing w:after="100" w:line="280"/>
      </w:pPr>
      <w:r>
        <w:rPr>
          <w:sz w:val="22"/>
          <w:szCs w:val="22"/>
        </w:rPr>
        <w:t xml:space="preserve">Investigate Lekki and Ikeja separately rather than as a single “low performer” group: Lekki likely needs more foot traffic or awareness, while Ikeja may benefit from a push toward higher-margin products rather than higher volume.</w:t>
      </w:r>
    </w:p>
    <w:p>
      <w:pPr>
        <w:pStyle w:val="ListParagraph"/>
        <w:numPr>
          <w:ilvl w:val="0"/>
          <w:numId w:val="2"/>
        </w:numPr>
        <w:spacing w:after="100" w:line="280"/>
      </w:pPr>
      <w:r>
        <w:rPr>
          <w:sz w:val="22"/>
          <w:szCs w:val="22"/>
        </w:rPr>
        <w:t xml:space="preserve">Reallocate marketing and inventory investment toward Phones and Laptops, which drive the majority of revenue, while reassessing whether Accessories justify continued independent stocking.</w:t>
      </w:r>
    </w:p>
    <w:p>
      <w:pPr>
        <w:pStyle w:val="ListParagraph"/>
        <w:numPr>
          <w:ilvl w:val="0"/>
          <w:numId w:val="2"/>
        </w:numPr>
        <w:spacing w:after="100" w:line="280"/>
      </w:pPr>
      <w:r>
        <w:rPr>
          <w:sz w:val="22"/>
          <w:szCs w:val="22"/>
        </w:rPr>
        <w:t xml:space="preserve">Rebuild the monthly trend view with revenue split by year before using it to inform seasonal stocking or staffing decisions, since the current two-year blend can misrepresent seasonality.</w:t>
      </w:r>
    </w:p>
    <w:p>
      <w:pPr>
        <w:pStyle w:val="Heading1"/>
        <w:pBdr>
          <w:bottom w:val="single" w:color="1F4E79" w:sz="6" w:space="4"/>
        </w:pBdr>
        <w:spacing w:after="160" w:before="320"/>
      </w:pPr>
      <w:r>
        <w:rPr>
          <w:b/>
          <w:bCs/>
          <w:color w:val="1F4E79"/>
          <w:sz w:val="30"/>
          <w:szCs w:val="30"/>
        </w:rPr>
        <w:t xml:space="preserve">7. Reflection</w:t>
      </w:r>
    </w:p>
    <w:p>
      <w:pPr>
        <w:spacing w:after="160" w:line="300"/>
      </w:pPr>
      <w:r>
        <w:rPr>
          <w:sz w:val="22"/>
          <w:szCs w:val="22"/>
        </w:rPr>
        <w:t xml:space="preserve">The most valuable part of this project was not building the charts, but questioning what they appeared to show. The initial monthly trend looked like a clear seasonal decline; only on closer inspection did it become clear the chart was sorted by magnitude, not time, and that two years of data were being merged into one axis. Catching this before finalizing the insights - rather than reporting a plausible-sounding but false trend - was the difference between a dashboard that looks finished and one a business could actually rely on.</w:t>
      </w:r>
    </w:p>
    <w:p>
      <w:pPr>
        <w:pStyle w:val="Heading1"/>
        <w:pBdr>
          <w:bottom w:val="single" w:color="1F4E79" w:sz="6" w:space="4"/>
        </w:pBdr>
        <w:spacing w:after="160" w:before="320"/>
      </w:pPr>
      <w:r>
        <w:rPr>
          <w:b/>
          <w:bCs/>
          <w:color w:val="1F4E79"/>
          <w:sz w:val="30"/>
          <w:szCs w:val="30"/>
        </w:rPr>
        <w:t xml:space="preserve">8. Tools &amp; Skills Used</w:t>
      </w:r>
    </w:p>
    <w:p>
      <w:pPr>
        <w:pStyle w:val="ListParagraph"/>
        <w:numPr>
          <w:ilvl w:val="0"/>
          <w:numId w:val="2"/>
        </w:numPr>
        <w:spacing w:after="100" w:line="280"/>
      </w:pPr>
      <w:r>
        <w:rPr>
          <w:sz w:val="22"/>
          <w:szCs w:val="22"/>
        </w:rPr>
        <w:t xml:space="preserve">Power BI: data modeling, DAX measures, Top N filtering, drill-through, conditional formatting, dashboard design</w:t>
      </w:r>
    </w:p>
    <w:p>
      <w:pPr>
        <w:pStyle w:val="ListParagraph"/>
        <w:numPr>
          <w:ilvl w:val="0"/>
          <w:numId w:val="2"/>
        </w:numPr>
        <w:spacing w:after="100" w:line="280"/>
      </w:pPr>
      <w:r>
        <w:rPr>
          <w:sz w:val="22"/>
          <w:szCs w:val="22"/>
        </w:rPr>
        <w:t xml:space="preserve">Excel: data cleaning, PivotTables, formula-based validation</w:t>
      </w:r>
    </w:p>
    <w:p>
      <w:pPr>
        <w:pStyle w:val="ListParagraph"/>
        <w:numPr>
          <w:ilvl w:val="0"/>
          <w:numId w:val="2"/>
        </w:numPr>
        <w:spacing w:after="100" w:line="280"/>
      </w:pPr>
      <w:r>
        <w:rPr>
          <w:sz w:val="22"/>
          <w:szCs w:val="22"/>
        </w:rPr>
        <w:t xml:space="preserve">Power Query: column renaming, data type correction, error handling</w:t>
      </w:r>
    </w:p>
    <w:p>
      <w:pPr>
        <w:pBdr>
          <w:top w:val="single" w:color="CCCCCC" w:sz="4" w:space="8"/>
        </w:pBdr>
        <w:spacing w:before="400"/>
      </w:pPr>
      <w:r>
        <w:rPr>
          <w:i/>
          <w:iCs/>
          <w:color w:val="555555"/>
          <w:sz w:val="18"/>
          <w:szCs w:val="18"/>
        </w:rPr>
        <w:t xml:space="preserve">Repository: github.com/OyinTechLab/Retail-Sales-Analysis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2026-09-05T19:18:18.564Z</dcterms:created>
  <dcterms:modified xsi:type="dcterms:W3CDTF">2026-09-05T19:18:18.575Z</dcterms:modified>
</cp:coreProperties>
</file>

<file path=docProps/custom.xml><?xml version="1.0" encoding="utf-8"?>
<Properties xmlns="http://schemas.openxmlformats.org/officeDocument/2006/custom-properties" xmlns:vt="http://schemas.openxmlformats.org/officeDocument/2006/docPropsVTypes"/>
</file>