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charts/chart3.xml" ContentType="application/vnd.openxmlformats-officedocument.drawingml.chart+xml"/>
  <Override PartName="/word/charts/chart11.xml" ContentType="application/vnd.openxmlformats-officedocument.drawingml.chart+xml"/>
  <Override PartName="/word/charts/colors8.xml" ContentType="application/vnd.ms-office.chartcolorstyle+xml"/>
  <Override PartName="/word/charts/style6.xml" ContentType="application/vnd.ms-office.chartstyle+xml"/>
  <Override PartName="/word/numbering.xml" ContentType="application/vnd.openxmlformats-officedocument.wordprocessingml.numbering+xml"/>
  <Override PartName="/word/charts/chart8.xml" ContentType="application/vnd.openxmlformats-officedocument.drawingml.chart+xml"/>
  <Override PartName="/word/charts/colors3.xml" ContentType="application/vnd.ms-office.chartcolorstyle+xml"/>
  <Override PartName="/word/charts/style10.xml" ContentType="application/vnd.ms-office.chartstyle+xml"/>
  <Override PartName="/word/settings.xml" ContentType="application/vnd.openxmlformats-officedocument.wordprocessingml.settings+xml"/>
  <Override PartName="/word/charts/style9.xml" ContentType="application/vnd.ms-office.chartstyle+xml"/>
  <Override PartName="/word/charts/chart9.xml" ContentType="application/vnd.openxmlformats-officedocument.drawingml.chart+xml"/>
  <Override PartName="/word/charts/colors11.xml" ContentType="application/vnd.ms-office.chartcolorstyle+xml"/>
  <Override PartName="/word/charts/colors5.xml" ContentType="application/vnd.ms-office.chartcolorstyle+xml"/>
  <Override PartName="/word/charts/colors9.xml" ContentType="application/vnd.ms-office.chartcolorstyle+xml"/>
  <Override PartName="/word/charts/chart4.xml" ContentType="application/vnd.openxmlformats-officedocument.drawingml.chart+xml"/>
  <Override PartName="/word/charts/colors4.xml" ContentType="application/vnd.ms-office.chartcolorstyle+xml"/>
  <Override PartName="/word/document.xml" ContentType="application/vnd.openxmlformats-officedocument.wordprocessingml.document.main+xml"/>
  <Override PartName="/word/charts/style1.xml" ContentType="application/vnd.ms-office.chartstyle+xml"/>
  <Override PartName="/word/charts/style5.xml" ContentType="application/vnd.ms-office.chartstyle+xml"/>
  <Override PartName="/word/charts/colors10.xml" ContentType="application/vnd.ms-office.chartcolorstyl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charts/style8.xml" ContentType="application/vnd.ms-office.chartstyle+xml"/>
  <Override PartName="/word/charts/chart5.xml" ContentType="application/vnd.openxmlformats-officedocument.drawingml.chart+xml"/>
  <Override PartName="/word/charts/colors6.xml" ContentType="application/vnd.ms-office.chartcolorstyle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style2.xml" ContentType="application/vnd.ms-office.chartstyle+xml"/>
  <Override PartName="/word/charts/style4.xml" ContentType="application/vnd.ms-office.chartstyle+xml"/>
  <Override PartName="/docProps/custom.xml" ContentType="application/vnd.openxmlformats-officedocument.custom-properties+xml"/>
  <Override PartName="/word/charts/style11.xml" ContentType="application/vnd.ms-office.chartstyle+xml"/>
  <Override PartName="/word/charts/colors2.xml" ContentType="application/vnd.ms-office.chartcolorstyle+xml"/>
  <Override PartName="/word/charts/chart10.xml" ContentType="application/vnd.openxmlformats-officedocument.drawingml.chart+xml"/>
  <Override PartName="/word/charts/chart6.xml" ContentType="application/vnd.openxmlformats-officedocument.drawingml.chart+xml"/>
  <Override PartName="/word/charts/colors7.xml" ContentType="application/vnd.ms-office.chartcolorstyle+xml"/>
  <Override PartName="/word/charts/chart7.xml" ContentType="application/vnd.openxmlformats-officedocument.drawingml.chart+xml"/>
  <Override PartName="/word/charts/chart2.xml" ContentType="application/vnd.openxmlformats-officedocument.drawingml.chart+xml"/>
  <Override PartName="/word/charts/style7.xml" ContentType="application/vnd.ms-office.chartstyle+xml"/>
  <Override PartName="/word/charts/style3.xml" ContentType="application/vnd.ms-office.chartstyle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his report presents a comprehensive analysis of employee demographics, workforce distribution, hiring trends</w:t>
      </w:r>
      <w:r>
        <w:rPr>
          <w:rFonts w:ascii="Times New Roman" w:cs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hAnsi="Times New Roman"/>
          <w:sz w:val="24"/>
          <w:szCs w:val="24"/>
        </w:rPr>
        <w:t>work arrangements, using the Human Resources dataset. The analysis aims to support data-driven HR decision-making by highlighting key workforce characteristics, identifying trends, and uncovering insights that guide strategic planning in recruitment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rFonts w:ascii="Times New Roman" w:cs="Times New Roman" w:hAnsi="Times New Roman"/>
          <w:sz w:val="24"/>
          <w:szCs w:val="24"/>
        </w:rPr>
        <w:t xml:space="preserve"> employee engagement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t>Objectives of the Analysis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The major objectives of the analysis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val="en-US"/>
          <w14:ligatures xmlns:w14="http://schemas.microsoft.com/office/word/2010/wordml" w14:val="none"/>
        </w:rPr>
        <w:t>ar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e to: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understand the demographic structure of employees 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examine departmental workforce composition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assess employee location trends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evaluate hiring trends over time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measure workforce stability and engagement using indicators such as average employment duration and the status of employees (active vs inactive).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t>Data Collection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The data was downloaded online. Link to the dataset is presented below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"https://drive.google.com/file/d/1dmBu3nE218tvf1pwV6M6Sc-14f1x85ZW/view?usp=sharing"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Link to Dataset</w:t>
      </w:r>
      <w:r>
        <w:rPr/>
        <w:fldChar w:fldCharType="end"/>
      </w:r>
      <w:r>
        <w:rPr>
          <w:lang w:val="en-US"/>
        </w:rPr>
        <w:t>.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t>Information/ Description of Dataset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br/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The dataset consists of 22214 rows and 13 columns. Each row consists of unique information about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val="en-US"/>
          <w14:ligatures xmlns:w14="http://schemas.microsoft.com/office/word/2010/wordml" w14:val="none"/>
        </w:rPr>
        <w:t xml:space="preserve">each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employee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val="en-US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while the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columns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include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: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Id, First Name, Last Name, Birthdate, Gender, Race, Department, Job Title, Location, Hire Date, Termination Date, Location City, Location State.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All the columns except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Termination Date </w:t>
      </w:r>
      <w:r>
        <w:rPr>
          <w:rFonts w:ascii="Times New Roman" w:cs="Times New Roman" w:hAnsi="Times New Roman"/>
          <w:sz w:val="24"/>
          <w:szCs w:val="24"/>
        </w:rPr>
        <w:t>have complete data poin</w:t>
      </w:r>
      <w:r>
        <w:rPr>
          <w:rFonts w:ascii="Times New Roman" w:cs="Times New Roman" w:hAnsi="Times New Roman"/>
          <w:sz w:val="24"/>
          <w:szCs w:val="24"/>
          <w:lang w:val="en-US"/>
        </w:rPr>
        <w:t>ts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82.3%</w:t>
      </w:r>
      <w:r>
        <w:rPr>
          <w:rFonts w:ascii="Times New Roman" w:cs="Times New Roman" w:hAnsi="Times New Roman"/>
          <w:sz w:val="24"/>
          <w:szCs w:val="24"/>
        </w:rPr>
        <w:t xml:space="preserve"> of the Termination Date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column was missing.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Data Cleaning and Modification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dataset was clean so there were no data cleaning processes involved. However, data modification include addition of three columns namely: </w:t>
      </w:r>
      <w:r>
        <w:rPr>
          <w:rFonts w:ascii="Times New Roman" w:cs="Times New Roman" w:hAnsi="Times New Roman"/>
          <w:b/>
          <w:bCs/>
          <w:sz w:val="24"/>
          <w:szCs w:val="24"/>
        </w:rPr>
        <w:t>Age, Employment Duration, and Employment Status.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Challenges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challenges faced while performing the analysis are as follows: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Missing values in the Termination Date </w:t>
      </w:r>
      <w:r>
        <w:rPr>
          <w:rFonts w:ascii="Times New Roman" w:cs="Times New Roman" w:hAnsi="Times New Roman"/>
          <w:sz w:val="24"/>
          <w:szCs w:val="24"/>
        </w:rPr>
        <w:t xml:space="preserve">column </w:t>
      </w:r>
      <w:r>
        <w:rPr>
          <w:rFonts w:ascii="Times New Roman" w:cs="Times New Roman" w:hAnsi="Times New Roman"/>
          <w:sz w:val="24"/>
          <w:szCs w:val="24"/>
        </w:rPr>
        <w:t>created confusion because it was hard to determine if employees with those missing values are still active or not. However, during the analysis, it was assumed that</w:t>
      </w:r>
      <w:r>
        <w:rPr>
          <w:rFonts w:ascii="Times New Roman" w:cs="Times New Roman" w:hAnsi="Times New Roman"/>
          <w:sz w:val="24"/>
          <w:szCs w:val="24"/>
        </w:rPr>
        <w:t xml:space="preserve"> employees with</w:t>
      </w:r>
      <w:r>
        <w:rPr>
          <w:rFonts w:ascii="Times New Roman" w:cs="Times New Roman" w:hAnsi="Times New Roman"/>
          <w:sz w:val="24"/>
          <w:szCs w:val="24"/>
        </w:rPr>
        <w:t xml:space="preserve"> the missing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termination date </w:t>
      </w:r>
      <w:r>
        <w:rPr>
          <w:rFonts w:ascii="Times New Roman" w:cs="Times New Roman" w:hAnsi="Times New Roman"/>
          <w:sz w:val="24"/>
          <w:szCs w:val="24"/>
        </w:rPr>
        <w:t>are still active since they are not yet assigned termination date.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Also, in year 2000, the total number of hired employees </w:t>
      </w:r>
      <w:r>
        <w:rPr>
          <w:rFonts w:ascii="Times New Roman" w:cs="Times New Roman" w:hAnsi="Times New Roman"/>
          <w:sz w:val="24"/>
          <w:szCs w:val="24"/>
        </w:rPr>
        <w:t>wa</w:t>
      </w:r>
      <w:r>
        <w:rPr>
          <w:rFonts w:ascii="Times New Roman" w:cs="Times New Roman" w:hAnsi="Times New Roman"/>
          <w:sz w:val="24"/>
          <w:szCs w:val="24"/>
        </w:rPr>
        <w:t>s very low compared with other years. The reason for this sudden drop is unknown yet.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Probably the company started operation in year 2000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t>Result of the Analysis</w:t>
      </w:r>
    </w:p>
    <w:p>
      <w:pPr>
        <w:pStyle w:val="style179"/>
        <w:numPr>
          <w:ilvl w:val="0"/>
          <w:numId w:val="3"/>
        </w:numPr>
        <w:spacing w:after="0" w:lineRule="auto" w:line="276"/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t>Demographic Structure of Employees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A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ge groups, gender distribution, racial diversity, and average age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were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val="en-US"/>
          <w14:ligatures xmlns:w14="http://schemas.microsoft.com/office/word/2010/wordml" w14:val="none"/>
        </w:rPr>
        <w:t xml:space="preserve">examined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to understand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the demographic structure of employees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.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Figure 1 shows the age group of employees in the organization. The chart revealed that the highest number of employees falls within age group between 30 and 39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years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,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while the smallest number of employees are between 20 and 29 years. However, the average age of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the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workforce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is 41years. 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50.81% of the workforce is male, 46.46% is female while 2.72% is non-conforming (Figure 2). 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2707640" cy="1596683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t xml:space="preserve"> </w:t>
      </w:r>
      <w:r>
        <w:rPr>
          <w:rFonts w:ascii="Times New Roman" w:cs="Times New Roman" w:hAnsi="Times New Roman"/>
          <w:noProof/>
        </w:rPr>
        <w:tab/>
      </w:r>
      <w:r>
        <w:rPr>
          <w:rFonts w:ascii="Times New Roman" w:cs="Times New Roman" w:hAnsi="Times New Roman"/>
          <w:noProof/>
        </w:rPr>
        <w:tab/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  <w:t>Figure 1: Age group of employees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2693670" cy="2004646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lineRule="auto" w:line="276"/>
        <w:rPr>
          <w:rFonts w:ascii="Times New Roman" w:cs="Times New Roman" w:hAnsi="Times New Roman"/>
          <w:b/>
          <w:bCs/>
          <w:noProof/>
        </w:rPr>
      </w:pPr>
      <w:r>
        <w:rPr>
          <w:rFonts w:ascii="Times New Roman" w:cs="Times New Roman" w:hAnsi="Times New Roman"/>
          <w:noProof/>
        </w:rPr>
        <w:t xml:space="preserve">Figure </w:t>
      </w:r>
      <w:r>
        <w:rPr>
          <w:rFonts w:ascii="Times New Roman" w:cs="Times New Roman" w:hAnsi="Times New Roman"/>
          <w:noProof/>
        </w:rPr>
        <w:t>2: Percentage of Employees by Gender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 xml:space="preserve">To further understand the gender diversity in each department, analysis was carried out to show the distribution of gender in each department (Figure 3). </w:t>
      </w:r>
      <w:r>
        <w:rPr>
          <w:rFonts w:ascii="Times New Roman" w:cs="Times New Roman" w:hAnsi="Times New Roman"/>
          <w:noProof/>
          <w:sz w:val="24"/>
          <w:szCs w:val="24"/>
        </w:rPr>
        <w:t xml:space="preserve">Engineering Department had the highest percentage of females (20.33%), male (21.97%) and non-conforming (1.26%) which </w:t>
      </w:r>
      <w:r>
        <w:rPr>
          <w:rFonts w:ascii="Times New Roman" w:cs="Times New Roman" w:hAnsi="Times New Roman"/>
          <w:noProof/>
          <w:sz w:val="24"/>
          <w:szCs w:val="24"/>
        </w:rPr>
        <w:t>w</w:t>
      </w:r>
      <w:r>
        <w:rPr>
          <w:rFonts w:ascii="Times New Roman" w:cs="Times New Roman" w:hAnsi="Times New Roman"/>
          <w:noProof/>
          <w:sz w:val="24"/>
          <w:szCs w:val="24"/>
        </w:rPr>
        <w:t>as followed by the Accounting Department with 9.97%, 11.15% and 0.59% of female, male and non-conforming respectively.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The smallest percentage of male (5.59%) and female (5.14%) was </w:t>
      </w:r>
      <w:r>
        <w:rPr>
          <w:rFonts w:ascii="Times New Roman" w:cs="Times New Roman" w:hAnsi="Times New Roman"/>
          <w:noProof/>
          <w:sz w:val="24"/>
          <w:szCs w:val="24"/>
        </w:rPr>
        <w:t xml:space="preserve">in the training department while the smallest percentage 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</w:t>
      </w:r>
      <w:r>
        <w:rPr>
          <w:rFonts w:ascii="Times New Roman" w:cs="Times New Roman" w:hAnsi="Times New Roman"/>
          <w:noProof/>
          <w:sz w:val="24"/>
          <w:szCs w:val="24"/>
        </w:rPr>
        <w:t>(</w:t>
      </w:r>
      <w:r>
        <w:rPr>
          <w:rFonts w:ascii="Times New Roman" w:cs="Times New Roman" w:hAnsi="Times New Roman"/>
          <w:noProof/>
          <w:sz w:val="24"/>
          <w:szCs w:val="24"/>
        </w:rPr>
        <w:t xml:space="preserve">0.27%) </w:t>
      </w:r>
      <w:r>
        <w:rPr>
          <w:rFonts w:ascii="Times New Roman" w:cs="Times New Roman" w:hAnsi="Times New Roman"/>
          <w:noProof/>
          <w:sz w:val="24"/>
          <w:szCs w:val="24"/>
        </w:rPr>
        <w:t>of non-conforming was in the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Human Resources Department.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t>Analysis on racial diversity also revealed that the White dominates the workforce in the organization while Native Hawaiian or Other Pacific Islander was the smallest racial group.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2637155" cy="1730326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tab/>
      </w:r>
      <w:r>
        <w:rPr>
          <w:rFonts w:ascii="Times New Roman" w:cs="Times New Roman" w:hAnsi="Times New Roman"/>
          <w:noProof/>
        </w:rPr>
        <w:tab/>
      </w:r>
      <w:r>
        <w:rPr>
          <w:rFonts w:ascii="Times New Roman" w:cs="Times New Roman" w:hAnsi="Times New Roman"/>
          <w:noProof/>
        </w:rPr>
        <w:tab/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  <w:t>Figure 3: Gender Distribution in each Department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2743200" cy="167405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after="0" w:lineRule="auto" w:line="276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  <w:t>Figure 4</w:t>
      </w:r>
      <w:r>
        <w:rPr>
          <w:rFonts w:ascii="Times New Roman" w:cs="Times New Roman" w:hAnsi="Times New Roman"/>
          <w:noProof/>
        </w:rPr>
        <w:t xml:space="preserve">: </w:t>
      </w:r>
      <w:r>
        <w:rPr>
          <w:rFonts w:ascii="Times New Roman" w:cs="Times New Roman" w:hAnsi="Times New Roman"/>
          <w:noProof/>
        </w:rPr>
        <w:t xml:space="preserve">Distribution of employees by race   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179"/>
        <w:numPr>
          <w:ilvl w:val="0"/>
          <w:numId w:val="3"/>
        </w:numPr>
        <w:spacing w:after="0" w:lineRule="auto" w:line="276"/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t>Departments and Job Titles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D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epartmental workforce composition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was examined by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reviewing employee distribution per department, most common job titles, and gender balance within each department.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The most common Job Title was Research Assistant II (754) followed by Business Analyst (708) (Figure 5). The least Job Title is Account Executive (505).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Engineering (30.1%) and Accounting (15.0%) Departments have the highest workforce concentration while Auditing and Legal Departments constitute less than 2% each of the total workforce (Figure 6).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Engineering and Accounting also have highest number of remote workers compared with other departments (Figure 7).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3010486" cy="1835834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Figure 5: Most Common Job Titles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2982351" cy="2264410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Figure 6: Percentage of employees in each Department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2750234" cy="1687830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Figure 7: Department with most Remote Workers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</w:p>
    <w:p>
      <w:pPr>
        <w:pStyle w:val="style179"/>
        <w:numPr>
          <w:ilvl w:val="0"/>
          <w:numId w:val="3"/>
        </w:numPr>
        <w:spacing w:after="0" w:lineRule="auto" w:line="276"/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t>Employment Duration &amp; Turn over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The average employment duration is 10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y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ears and yearly hiring trend shows a stable pattern across the years except in year 2000 (Figure 8).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About 87% o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f the workforce are still active while 12.51% are inactive (Figure 9). 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3010486" cy="1624818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Figure 8: Total Number of Hired Employees Yearly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2820572" cy="1976510"/>
            <wp:effectExtent l="0" t="0" r="0" b="0"/>
            <wp:docPr id="104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  <w:t>Figure 9: Status of employees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14:ligatures xmlns:w14="http://schemas.microsoft.com/office/word/2010/wordml" w14:val="none"/>
        </w:rPr>
      </w:pPr>
    </w:p>
    <w:p>
      <w:pPr>
        <w:pStyle w:val="style179"/>
        <w:numPr>
          <w:ilvl w:val="0"/>
          <w:numId w:val="3"/>
        </w:numPr>
        <w:spacing w:after="0" w:lineRule="auto" w:line="276"/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14:ligatures xmlns:w14="http://schemas.microsoft.com/office/word/2010/wordml" w14:val="none"/>
        </w:rPr>
        <w:t>Work Arrangement &amp; Location Insights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The highest number of employees are located in Ohio (18,025), followed by Pennsylvania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(1115)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and Illinois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(868)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. Some states such as Michigan and Kentucky have smaller employee populations compared with the rest (Figure 10).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75.25% of employees work onsite (headquarters), while 24.75% work remotely (Figure 11). Departments with the most remote workers include; Engineering, Accounting and Sales (Figure 7). 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2719346" cy="1916264"/>
            <wp:effectExtent l="0" t="0" r="0" b="0"/>
            <wp:docPr id="104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Figure 10: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Distribution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of Employees 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by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State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w:drawing>
          <wp:inline distL="114300" distT="0" distB="0" distR="114300">
            <wp:extent cx="3021496" cy="1900362"/>
            <wp:effectExtent l="0" t="0" r="0" b="0"/>
            <wp:docPr id="104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rFonts w:ascii="Times New Roman" w:cs="Times New Roman" w:hAnsi="Times New Roman"/>
          <w:noProof/>
        </w:rPr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>Figure 11: Employees’ Work</w:t>
      </w:r>
      <w:r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  <w:t xml:space="preserve"> Arrangement</w:t>
      </w:r>
    </w:p>
    <w:p>
      <w:pPr>
        <w:pStyle w:val="style0"/>
        <w:spacing w:after="0" w:lineRule="auto" w:line="276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Take Away</w:t>
      </w:r>
    </w:p>
    <w:p>
      <w:pPr>
        <w:pStyle w:val="style179"/>
        <w:numPr>
          <w:ilvl w:val="0"/>
          <w:numId w:val="3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average employment duration (10 years) indicates strong employee retention and long-term workforce stability.</w:t>
      </w:r>
    </w:p>
    <w:p>
      <w:pPr>
        <w:pStyle w:val="style179"/>
        <w:numPr>
          <w:ilvl w:val="0"/>
          <w:numId w:val="3"/>
        </w:numPr>
        <w:spacing w:after="0" w:lineRule="auto" w:line="276"/>
        <w:rPr/>
      </w:pPr>
      <w:r>
        <w:t xml:space="preserve">Employees’ age distribution shows that majority </w:t>
      </w:r>
      <w:r>
        <w:t xml:space="preserve">(30-39 and 50-60 years) </w:t>
      </w:r>
      <w:r>
        <w:t>of the employees are experienced with strong mid-career representation.</w:t>
      </w:r>
    </w:p>
    <w:p>
      <w:pPr>
        <w:pStyle w:val="style179"/>
        <w:numPr>
          <w:ilvl w:val="0"/>
          <w:numId w:val="3"/>
        </w:numPr>
        <w:spacing w:after="0" w:lineRule="auto" w:line="276"/>
        <w:rPr/>
      </w:pPr>
      <w:r>
        <w:t>Analysis also showed that the organization is racially diverse, however, the organisation is gender bias as only 2% of the employees represent the non-conforming gender.</w:t>
      </w:r>
    </w:p>
    <w:p>
      <w:pPr>
        <w:pStyle w:val="style179"/>
        <w:numPr>
          <w:ilvl w:val="0"/>
          <w:numId w:val="3"/>
        </w:numPr>
        <w:spacing w:after="0" w:lineRule="auto" w:line="276"/>
        <w:rPr/>
      </w:pPr>
      <w:r>
        <w:t>There are high staffing needs in research, Business Analysis and HR</w:t>
      </w:r>
      <w:r>
        <w:rPr>
          <w:lang w:val="en-US"/>
        </w:rPr>
        <w:t>.</w:t>
      </w:r>
    </w:p>
    <w:p>
      <w:pPr>
        <w:pStyle w:val="style179"/>
        <w:numPr>
          <w:ilvl w:val="0"/>
          <w:numId w:val="3"/>
        </w:numPr>
        <w:spacing w:after="0" w:lineRule="auto" w:line="276"/>
        <w:rPr/>
      </w:pPr>
      <w:r>
        <w:rPr>
          <w:lang w:val="en-US"/>
        </w:rPr>
        <w:t>Employee's location is heavily skewed toward a particular location (Ohio)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Recommendations</w:t>
      </w:r>
    </w:p>
    <w:p>
      <w:pPr>
        <w:pStyle w:val="style179"/>
        <w:numPr>
          <w:ilvl w:val="0"/>
          <w:numId w:val="4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organization should encourage entry level/graduate recruitment to balance age distribution and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encourage </w:t>
      </w:r>
      <w:r>
        <w:rPr>
          <w:rFonts w:ascii="Times New Roman" w:cs="Times New Roman" w:hAnsi="Times New Roman"/>
          <w:sz w:val="24"/>
          <w:szCs w:val="24"/>
        </w:rPr>
        <w:t>younger workforce.</w:t>
      </w:r>
    </w:p>
    <w:p>
      <w:pPr>
        <w:pStyle w:val="style179"/>
        <w:numPr>
          <w:ilvl w:val="0"/>
          <w:numId w:val="4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Since there is success of remote work in departments such as Engineering, accounting and sales, the organization should encourage flexible work policies that allows remote role. </w:t>
      </w:r>
    </w:p>
    <w:p>
      <w:pPr>
        <w:pStyle w:val="style179"/>
        <w:numPr>
          <w:ilvl w:val="0"/>
          <w:numId w:val="4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Most common job titles should be critically evaluated for efficiency and workload balance to prevent redundancy.</w:t>
      </w:r>
    </w:p>
    <w:p>
      <w:pPr>
        <w:pStyle w:val="style179"/>
        <w:numPr>
          <w:ilvl w:val="0"/>
          <w:numId w:val="4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organization can employee more people from underrepresented regions/states in order to reduce geographic risk and increase operational resilience.</w:t>
      </w:r>
    </w:p>
    <w:p>
      <w:pPr>
        <w:numPr>
          <w:ilvl w:val="0"/>
          <w:numId w:val="0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numPr>
          <w:ilvl w:val="0"/>
          <w:numId w:val="0"/>
        </w:numPr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Conclusion</w:t>
      </w:r>
    </w:p>
    <w:p>
      <w:pPr>
        <w:pStyle w:val="style0"/>
        <w:numPr>
          <w:ilvl w:val="0"/>
          <w:numId w:val="0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This analysis provides a view of the organization’s workforce. It highlights key insights into employee demographics, departmental structure, diversity, hiring trends, and work arrangements. The findings reveal a relatively stable and experienced workforce with strong retention levels, unbalanced gender representation, and high racial diversity.</w:t>
      </w:r>
    </w:p>
    <w:p>
      <w:pPr>
        <w:pStyle w:val="style0"/>
        <w:numPr>
          <w:ilvl w:val="0"/>
          <w:numId w:val="0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analysis equips HR leaders with actionable insights to strengthen workforce planning, enhance diversity and inclusion efforts and align HR strategies with long-term organizational goals which will enable informed data-driven decisions that support sustainable growth and workforce effectiveness.</w:t>
      </w:r>
    </w:p>
    <w:p>
      <w:pPr>
        <w:pStyle w:val="style0"/>
        <w:numPr>
          <w:ilvl w:val="0"/>
          <w:numId w:val="0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0644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5A22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FFC6DF4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782E0F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kern w:val="0"/>
      <w:sz w:val="27"/>
      <w:szCs w:val="27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31b3a2c2-26d7-42cd-81e8-e4b70f8481a9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kern w:val="0"/>
      <w:sz w:val="27"/>
      <w:szCs w:val="27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14:ligatures xmlns:w14="http://schemas.microsoft.com/office/word/2010/wordml" w14:val="non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chart" Target="charts/chart10.xml"/><Relationship Id="rId10" Type="http://schemas.openxmlformats.org/officeDocument/2006/relationships/chart" Target="charts/chart9.xml"/><Relationship Id="rId13" Type="http://schemas.openxmlformats.org/officeDocument/2006/relationships/styles" Target="styles.xml"/><Relationship Id="rId12" Type="http://schemas.openxmlformats.org/officeDocument/2006/relationships/chart" Target="charts/chart11.xml"/><Relationship Id="rId1" Type="http://schemas.openxmlformats.org/officeDocument/2006/relationships/numbering" Target="numbering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9" Type="http://schemas.openxmlformats.org/officeDocument/2006/relationships/chart" Target="charts/chart8.xml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6" Type="http://schemas.openxmlformats.org/officeDocument/2006/relationships/theme" Target="theme/theme1.xml"/><Relationship Id="rId5" Type="http://schemas.openxmlformats.org/officeDocument/2006/relationships/chart" Target="charts/chart4.xml"/><Relationship Id="rId6" Type="http://schemas.openxmlformats.org/officeDocument/2006/relationships/chart" Target="charts/chart5.xml"/><Relationship Id="rId7" Type="http://schemas.openxmlformats.org/officeDocument/2006/relationships/chart" Target="charts/chart6.xml"/><Relationship Id="rId8" Type="http://schemas.openxmlformats.org/officeDocument/2006/relationships/chart" Target="charts/chart7.xml"/>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11.xml"/><Relationship Id="rId3" Type="http://schemas.microsoft.com/office/2011/relationships/chartColorStyle" Target="colors11.xml"/>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7.xml"/><Relationship Id="rId3" Type="http://schemas.microsoft.com/office/2011/relationships/chartColorStyle" Target="colors7.xml"/>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6.xml"/><Relationship Id="rId3" Type="http://schemas.microsoft.com/office/2011/relationships/chartColorStyle" Target="colors6.xml"/></Relationships>
</file>

<file path=word/charts/_rels/chart4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9.xml"/><Relationship Id="rId3" Type="http://schemas.microsoft.com/office/2011/relationships/chartColorStyle" Target="colors9.xml"/></Relationships>
</file>

<file path=word/charts/_rels/chart5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8.xml"/><Relationship Id="rId3" Type="http://schemas.microsoft.com/office/2011/relationships/chartColorStyle" Target="colors8.xml"/></Relationships>
</file>

<file path=word/charts/_rels/chart6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4.xml"/><Relationship Id="rId3" Type="http://schemas.microsoft.com/office/2011/relationships/chartColorStyle" Target="colors4.xml"/></Relationships>
</file>

<file path=word/charts/_rels/chart7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1.xml"/><Relationship Id="rId3" Type="http://schemas.microsoft.com/office/2011/relationships/chartColorStyle" Target="colors1.xml"/></Relationships>
</file>

<file path=word/charts/_rels/chart8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5.xml"/><Relationship Id="rId3" Type="http://schemas.microsoft.com/office/2011/relationships/chartColorStyle" Target="colors5.xml"/></Relationships>
</file>

<file path=word/charts/_rels/chart9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3.xml"/><Relationship Id="rId3" Type="http://schemas.microsoft.com/office/2011/relationships/chartColorStyle" Target="colors3.xml"/></Relationships>
</file>

<file path=word/charts/_rels/chart10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10.xml"/><Relationship Id="rId3" Type="http://schemas.microsoft.com/office/2011/relationships/chartColorStyle" Target="colors10.xml"/></Relationships>
</file>

<file path=word/charts/_rels/chart11.xml.rels><?xml version="1.0" encoding="UTF-8"?>
<Relationships xmlns="http://schemas.openxmlformats.org/package/2006/relationships"><Relationship Id="rId1" Type="http://schemas.openxmlformats.org/officeDocument/2006/relationships/oleObject" TargetMode="External" Target="file:/C:/Users/Administrator/Desktop/Oyinade/Personal%20Projects/Human%20Resources.xlsx"/><Relationship Id="rId2" Type="http://schemas.microsoft.com/office/2011/relationships/chartStyle" Target="style2.xml"/><Relationship Id="rId3" Type="http://schemas.microsoft.com/office/2011/relationships/chartColorStyle" Target="colors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Resources.xlsx]Demographic!PivotTable10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800" b="1"/>
              <a:t>Age group of employees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</c:pivotFmt>
      <c:pivotFmt>
        <c:idx val="2"/>
        <c:spPr>
          <a:solidFill>
            <a:schemeClr val="accent6">
              <a:lumMod val="50000"/>
            </a:schemeClr>
          </a:solidFill>
          <a:ln>
            <a:noFill/>
          </a:ln>
          <a:effectLst/>
        </c:spPr>
      </c:pivotFmt>
      <c:pivotFmt>
        <c:idx val="3"/>
        <c:spPr>
          <a:solidFill>
            <a:srgbClr val="FF0000"/>
          </a:solidFill>
          <a:ln>
            <a:noFill/>
          </a:ln>
          <a:effectLst/>
        </c:spPr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</c:pivotFmt>
      <c:pivotFmt>
        <c:idx val="8"/>
        <c:spPr>
          <a:solidFill>
            <a:schemeClr val="accent6">
              <a:lumMod val="50000"/>
            </a:schemeClr>
          </a:solidFill>
          <a:ln>
            <a:noFill/>
          </a:ln>
          <a:effectLst/>
        </c:spPr>
      </c:pivotFmt>
      <c:pivotFmt>
        <c:idx val="9"/>
        <c:spPr>
          <a:solidFill>
            <a:srgbClr val="FF0000"/>
          </a:solidFill>
          <a:ln>
            <a:noFill/>
          </a:ln>
          <a:effectLst/>
        </c:spPr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</c:pivotFmt>
      <c:pivotFmt>
        <c:idx val="13"/>
        <c:spPr>
          <a:solidFill>
            <a:schemeClr val="accent6">
              <a:lumMod val="50000"/>
            </a:schemeClr>
          </a:solidFill>
          <a:ln>
            <a:noFill/>
          </a:ln>
          <a:effectLst/>
        </c:spPr>
      </c:pivotFmt>
      <c:pivotFmt>
        <c:idx val="14"/>
        <c:spPr>
          <a:solidFill>
            <a:srgbClr val="FF0000"/>
          </a:solidFill>
          <a:ln>
            <a:noFill/>
          </a:ln>
          <a:effectLst/>
        </c:spPr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</c:pivotFmt>
      <c:pivotFmt>
        <c:idx val="18"/>
        <c:spPr>
          <a:solidFill>
            <a:schemeClr val="accent6">
              <a:lumMod val="50000"/>
            </a:schemeClr>
          </a:solidFill>
          <a:ln>
            <a:noFill/>
          </a:ln>
          <a:effectLst/>
        </c:spPr>
      </c:pivotFmt>
      <c:pivotFmt>
        <c:idx val="19"/>
        <c:spPr>
          <a:solidFill>
            <a:srgbClr val="FF0000"/>
          </a:solidFill>
          <a:ln>
            <a:noFill/>
          </a:ln>
          <a:effectLst/>
        </c:spPr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</c:pivotFmt>
      <c:pivotFmt>
        <c:idx val="22"/>
        <c:spPr>
          <a:solidFill>
            <a:schemeClr val="accent1"/>
          </a:solidFill>
          <a:ln>
            <a:noFill/>
          </a:ln>
          <a:effectLst/>
        </c:spPr>
      </c:pivotFmt>
      <c:pivotFmt>
        <c:idx val="23"/>
        <c:spPr>
          <a:solidFill>
            <a:schemeClr val="accent6">
              <a:lumMod val="50000"/>
            </a:schemeClr>
          </a:solidFill>
          <a:ln>
            <a:noFill/>
          </a:ln>
          <a:effectLst/>
        </c:spPr>
      </c:pivotFmt>
      <c:pivotFmt>
        <c:idx val="24"/>
        <c:spPr>
          <a:solidFill>
            <a:srgbClr val="FF0000"/>
          </a:solidFill>
          <a:ln>
            <a:noFill/>
          </a:ln>
          <a:effectLst/>
        </c:spPr>
      </c:pivotFmt>
    </c:pivotFmts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Demographic!$B$16</c:f>
              <c:strCache>
                <c:ptCount val="1"/>
                <c:pt idx="0">
                  <c:v>Total</c:v>
                </c:pt>
              </c:strCache>
            </c:strRef>
          </c:tx>
          <c:invertIfNegative val="0"/>
          <c:dPt>
            <c:idx val="0"/>
            <c:invertIfNegative val="0"/>
            <c:bubble3D val="0"/>
            <c:spPr>
              <a:solidFill>
                <a:schemeClr val="accent6">
                  <a:lumMod val="75000"/>
                </a:schemeClr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chemeClr val="accent6">
                  <a:lumMod val="50000"/>
                </a:schemeClr>
              </a:solidFill>
              <a:ln>
                <a:noFill/>
              </a:ln>
              <a:effectLst/>
            </c:spPr>
          </c:dPt>
          <c:dPt>
            <c:idx val="3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Demographic!$A$17:$A$20</c:f>
              <c:strCache>
                <c:ptCount val="4"/>
                <c:pt idx="0">
                  <c:v>30-39</c:v>
                </c:pt>
                <c:pt idx="1">
                  <c:v>50-60</c:v>
                </c:pt>
                <c:pt idx="2">
                  <c:v>40-49</c:v>
                </c:pt>
                <c:pt idx="3">
                  <c:v>20-29</c:v>
                </c:pt>
              </c:strCache>
            </c:strRef>
          </c:cat>
          <c:val>
            <c:numRef>
              <c:f>Demographic!$B$17:$B$20</c:f>
              <c:numCache>
                <c:formatCode>General</c:formatCode>
                <c:ptCount val="4"/>
                <c:pt idx="0">
                  <c:v>6116.0</c:v>
                </c:pt>
                <c:pt idx="1">
                  <c:v>6115.0</c:v>
                </c:pt>
                <c:pt idx="2">
                  <c:v>5922.0</c:v>
                </c:pt>
                <c:pt idx="3">
                  <c:v>4061.0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axId val="418410672"/>
        <c:axId val="418411504"/>
      </c:barChart>
      <c:catAx>
        <c:axId val="418410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8411504"/>
        <c:crosses val="autoZero"/>
        <c:auto val="1"/>
        <c:lblAlgn val="ctr"/>
        <c:lblOffset val="100"/>
        <c:noMultiLvlLbl val="0"/>
      </c:catAx>
      <c:valAx>
        <c:axId val="41841150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8410672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Resources.xlsx]Demographic!PivotTable2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800" b="1"/>
              <a:t>% of Employees</a:t>
            </a:r>
            <a:r>
              <a:rPr lang="en-US" sz="800" b="1" baseline="0"/>
              <a:t> by Gender</a:t>
            </a:r>
            <a:endParaRPr lang="en-US" sz="8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>
              <a:lumMod val="60000"/>
              <a:lumOff val="4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6">
              <a:lumMod val="60000"/>
              <a:lumOff val="4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6">
              <a:lumMod val="60000"/>
              <a:lumOff val="4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6">
              <a:lumMod val="60000"/>
              <a:lumOff val="4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6">
              <a:lumMod val="60000"/>
              <a:lumOff val="4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Demographic!$D$3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Demographic!$C$4:$C$6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Non-Conforming</c:v>
                </c:pt>
              </c:strCache>
            </c:strRef>
          </c:cat>
          <c:val>
            <c:numRef>
              <c:f>Demographic!$D$4:$D$6</c:f>
              <c:numCache>
                <c:formatCode>0.00%</c:formatCode>
                <c:ptCount val="3"/>
                <c:pt idx="0">
                  <c:v>0.464616908256055</c:v>
                </c:pt>
                <c:pt idx="1">
                  <c:v>0.508148014765463</c:v>
                </c:pt>
                <c:pt idx="2">
                  <c:v>0.0272350769784820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Resources.xlsx]Dept &amp; Job Titles!PivotTable4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800" b="1"/>
              <a:t>Gender</a:t>
            </a:r>
            <a:r>
              <a:rPr lang="en-US" sz="800" b="1" baseline="0"/>
              <a:t> Distribution in each Department</a:t>
            </a:r>
            <a:endParaRPr lang="en-US" sz="8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rgbClr val="7030A0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>
              <a:lumMod val="60000"/>
              <a:lumOff val="40000"/>
            </a:schemeClr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FF0000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7030A0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6">
              <a:lumMod val="60000"/>
              <a:lumOff val="40000"/>
            </a:schemeClr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rgbClr val="FF0000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rgbClr val="7030A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separator> </c:separator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FF0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rgbClr val="7030A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separator> </c:separator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rgbClr val="FF0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7030A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separator> </c:separator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rgbClr val="FF0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25472532550732196"/>
          <c:y val="0.12566865117470072"/>
          <c:w val="0.7247183257995428"/>
          <c:h val="0.7558382946034184"/>
        </c:manualLayout>
      </c:layout>
      <c:barChart>
        <c:barDir val="bar"/>
        <c:grouping val="percentStacked"/>
        <c:varyColors val="0"/>
        <c:ser>
          <c:idx val="0"/>
          <c:order val="0"/>
          <c:tx>
            <c:strRef>
              <c:f>'Dept &amp; Job Titles'!$E$22:$E$23</c:f>
              <c:strCache>
                <c:ptCount val="1"/>
                <c:pt idx="0">
                  <c:v>Female</c:v>
                </c:pt>
              </c:strCache>
            </c:strRef>
          </c:tx>
          <c:spPr>
            <a:solidFill>
              <a:srgbClr val="7030A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'Dept &amp; Job Titles'!$D$24:$D$29</c:f>
              <c:strCache>
                <c:ptCount val="5"/>
                <c:pt idx="0">
                  <c:v>Accounting</c:v>
                </c:pt>
                <c:pt idx="1">
                  <c:v>Engineering</c:v>
                </c:pt>
                <c:pt idx="2">
                  <c:v>Human Resources</c:v>
                </c:pt>
                <c:pt idx="3">
                  <c:v>Sales</c:v>
                </c:pt>
                <c:pt idx="4">
                  <c:v>Training</c:v>
                </c:pt>
              </c:strCache>
            </c:strRef>
          </c:cat>
          <c:val>
            <c:numRef>
              <c:f>'Dept &amp; Job Titles'!$E$24:$E$29</c:f>
              <c:numCache>
                <c:formatCode>0.00%</c:formatCode>
                <c:ptCount val="5"/>
                <c:pt idx="0">
                  <c:v>0.0997394136807818</c:v>
                </c:pt>
                <c:pt idx="1">
                  <c:v>0.203257328990228</c:v>
                </c:pt>
                <c:pt idx="2">
                  <c:v>0.0560912052117264</c:v>
                </c:pt>
                <c:pt idx="3">
                  <c:v>0.0546579804560261</c:v>
                </c:pt>
                <c:pt idx="4">
                  <c:v>0.0514006514657980</c:v>
                </c:pt>
              </c:numCache>
            </c:numRef>
          </c:val>
        </c:ser>
        <c:ser>
          <c:idx val="1"/>
          <c:order val="1"/>
          <c:tx>
            <c:strRef>
              <c:f>'Dept &amp; Job Titles'!$F$22:$F$23</c:f>
              <c:strCache>
                <c:ptCount val="1"/>
                <c:pt idx="0">
                  <c:v>Male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'Dept &amp; Job Titles'!$D$24:$D$29</c:f>
              <c:strCache>
                <c:ptCount val="5"/>
                <c:pt idx="0">
                  <c:v>Accounting</c:v>
                </c:pt>
                <c:pt idx="1">
                  <c:v>Engineering</c:v>
                </c:pt>
                <c:pt idx="2">
                  <c:v>Human Resources</c:v>
                </c:pt>
                <c:pt idx="3">
                  <c:v>Sales</c:v>
                </c:pt>
                <c:pt idx="4">
                  <c:v>Training</c:v>
                </c:pt>
              </c:strCache>
            </c:strRef>
          </c:cat>
          <c:val>
            <c:numRef>
              <c:f>'Dept &amp; Job Titles'!$F$24:$F$29</c:f>
              <c:numCache>
                <c:formatCode>0.00%</c:formatCode>
                <c:ptCount val="5"/>
                <c:pt idx="0">
                  <c:v>0.111465798045603</c:v>
                </c:pt>
                <c:pt idx="1">
                  <c:v>0.219739413680782</c:v>
                </c:pt>
                <c:pt idx="2">
                  <c:v>0.0588925081433225</c:v>
                </c:pt>
                <c:pt idx="3">
                  <c:v>0.0616286644951140</c:v>
                </c:pt>
                <c:pt idx="4">
                  <c:v>0.0558957654723127</c:v>
                </c:pt>
              </c:numCache>
            </c:numRef>
          </c:val>
        </c:ser>
        <c:ser>
          <c:idx val="2"/>
          <c:order val="2"/>
          <c:tx>
            <c:strRef>
              <c:f>'Dept &amp; Job Titles'!$G$22:$G$23</c:f>
              <c:strCache>
                <c:ptCount val="1"/>
                <c:pt idx="0">
                  <c:v>Non-Conforming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'Dept &amp; Job Titles'!$D$24:$D$29</c:f>
              <c:strCache>
                <c:ptCount val="5"/>
                <c:pt idx="0">
                  <c:v>Accounting</c:v>
                </c:pt>
                <c:pt idx="1">
                  <c:v>Engineering</c:v>
                </c:pt>
                <c:pt idx="2">
                  <c:v>Human Resources</c:v>
                </c:pt>
                <c:pt idx="3">
                  <c:v>Sales</c:v>
                </c:pt>
                <c:pt idx="4">
                  <c:v>Training</c:v>
                </c:pt>
              </c:strCache>
            </c:strRef>
          </c:cat>
          <c:val>
            <c:numRef>
              <c:f>'Dept &amp; Job Titles'!$G$24:$G$29</c:f>
              <c:numCache>
                <c:formatCode>0.00%</c:formatCode>
                <c:ptCount val="5"/>
                <c:pt idx="0">
                  <c:v>0.00592833876221498</c:v>
                </c:pt>
                <c:pt idx="1">
                  <c:v>0.0125732899022801</c:v>
                </c:pt>
                <c:pt idx="2">
                  <c:v>0.00273615635179153</c:v>
                </c:pt>
                <c:pt idx="3">
                  <c:v>0.00306188925081433</c:v>
                </c:pt>
                <c:pt idx="4">
                  <c:v>0.00293159609120521</c:v>
                </c:pt>
              </c:numCache>
            </c:numRef>
          </c:val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40"/>
        <c:overlap val="100"/>
        <c:axId val="815513408"/>
        <c:axId val="815509664"/>
      </c:barChart>
      <c:catAx>
        <c:axId val="8155134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5509664"/>
        <c:crosses val="autoZero"/>
        <c:auto val="1"/>
        <c:lblAlgn val="ctr"/>
        <c:lblOffset val="100"/>
        <c:noMultiLvlLbl val="0"/>
      </c:catAx>
      <c:valAx>
        <c:axId val="815509664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815513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Resources.xlsx]Demographic!PivotTable3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800" b="1" i="0" u="none" strike="noStrike" baseline="0">
                <a:effectLst/>
              </a:rPr>
              <a:t>Distribution of employees by race</a:t>
            </a:r>
            <a:r>
              <a:rPr lang="en-US" sz="800" b="1" i="0" u="none" strike="noStrike" baseline="0"/>
              <a:t> </a:t>
            </a:r>
            <a:endParaRPr lang="en-US" sz="800" b="1"/>
          </a:p>
        </c:rich>
      </c:tx>
      <c:layout>
        <c:manualLayout>
          <c:xMode val="edge"/>
          <c:yMode val="edge"/>
          <c:x val="0.1293051974894211"/>
          <c:y val="0.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028935138151781385"/>
          <c:y val="0.18602527008868902"/>
          <c:w val="0.48590510480246424"/>
          <c:h val="0.6987182308573514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Demographic!$G$3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Demographic!$F$4:$F$10</c:f>
              <c:strCache>
                <c:ptCount val="7"/>
                <c:pt idx="0">
                  <c:v>White</c:v>
                </c:pt>
                <c:pt idx="1">
                  <c:v>Two or More Races</c:v>
                </c:pt>
                <c:pt idx="2">
                  <c:v>Black or African American</c:v>
                </c:pt>
                <c:pt idx="3">
                  <c:v>Asian</c:v>
                </c:pt>
                <c:pt idx="4">
                  <c:v>Hispanic or Latino</c:v>
                </c:pt>
                <c:pt idx="5">
                  <c:v>American Indian or Alaska Native</c:v>
                </c:pt>
                <c:pt idx="6">
                  <c:v>Native Hawaiian or Other Pacific Islander</c:v>
                </c:pt>
              </c:strCache>
            </c:strRef>
          </c:cat>
          <c:val>
            <c:numRef>
              <c:f>Demographic!$G$4:$G$10</c:f>
              <c:numCache>
                <c:formatCode>General</c:formatCode>
                <c:ptCount val="7"/>
                <c:pt idx="0">
                  <c:v>6328.0</c:v>
                </c:pt>
                <c:pt idx="1">
                  <c:v>3648.0</c:v>
                </c:pt>
                <c:pt idx="2">
                  <c:v>3619.0</c:v>
                </c:pt>
                <c:pt idx="3">
                  <c:v>3562.0</c:v>
                </c:pt>
                <c:pt idx="4">
                  <c:v>2501.0</c:v>
                </c:pt>
                <c:pt idx="5">
                  <c:v>1327.0</c:v>
                </c:pt>
                <c:pt idx="6">
                  <c:v>1229.0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0"/>
        <c:axId val="418406512"/>
        <c:axId val="418411088"/>
      </c:barChart>
      <c:catAx>
        <c:axId val="4184065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8411088"/>
        <c:crosses val="autoZero"/>
        <c:auto val="1"/>
        <c:lblAlgn val="ctr"/>
        <c:lblOffset val="100"/>
        <c:noMultiLvlLbl val="0"/>
      </c:catAx>
      <c:valAx>
        <c:axId val="41841108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18406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Resources.xlsx]Dept &amp; Job Titles!PivotTable1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0" u="none" strike="noStrike" baseline="0">
                <a:effectLst/>
              </a:rPr>
              <a:t>Most common job titles</a:t>
            </a:r>
            <a:r>
              <a:rPr lang="en-US" sz="1200" b="1" i="0" u="none" strike="noStrike" baseline="0"/>
              <a:t> </a:t>
            </a:r>
            <a:endParaRPr lang="en-US" sz="1200" b="1"/>
          </a:p>
        </c:rich>
      </c:tx>
      <c:layout>
        <c:manualLayout>
          <c:xMode val="edge"/>
          <c:yMode val="edge"/>
          <c:x val="0.2369091996411841"/>
          <c:y val="0.01383604289173296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42472898056291236"/>
          <c:y val="0.11756706945503394"/>
          <c:w val="0.5583855028124903"/>
          <c:h val="0.841282987614350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'Dept &amp; Job Titles'!$E$3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'Dept &amp; Job Titles'!$D$4:$D$8</c:f>
              <c:strCache>
                <c:ptCount val="5"/>
                <c:pt idx="0">
                  <c:v>Research Assistant II</c:v>
                </c:pt>
                <c:pt idx="1">
                  <c:v>Business Analyst</c:v>
                </c:pt>
                <c:pt idx="2">
                  <c:v>Human Resources Analyst II</c:v>
                </c:pt>
                <c:pt idx="3">
                  <c:v>Research Assistant I</c:v>
                </c:pt>
                <c:pt idx="4">
                  <c:v>Account Executive</c:v>
                </c:pt>
              </c:strCache>
            </c:strRef>
          </c:cat>
          <c:val>
            <c:numRef>
              <c:f>'Dept &amp; Job Titles'!$E$4:$E$8</c:f>
              <c:numCache>
                <c:formatCode>General</c:formatCode>
                <c:ptCount val="5"/>
                <c:pt idx="0">
                  <c:v>754.0</c:v>
                </c:pt>
                <c:pt idx="1">
                  <c:v>708.0</c:v>
                </c:pt>
                <c:pt idx="2">
                  <c:v>613.0</c:v>
                </c:pt>
                <c:pt idx="3">
                  <c:v>538.0</c:v>
                </c:pt>
                <c:pt idx="4">
                  <c:v>505.0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40"/>
        <c:axId val="522753360"/>
        <c:axId val="522753776"/>
      </c:barChart>
      <c:catAx>
        <c:axId val="5227533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2753776"/>
        <c:crosses val="autoZero"/>
        <c:auto val="1"/>
        <c:lblAlgn val="ctr"/>
        <c:lblOffset val="100"/>
        <c:noMultiLvlLbl val="0"/>
      </c:catAx>
      <c:valAx>
        <c:axId val="52275377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227533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Resources.xlsx]Dept &amp; Job Titles!PivotTable16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 b="1" i="0" u="none" strike="noStrike" baseline="0">
                <a:effectLst/>
              </a:rPr>
              <a:t>% of employees in each dept</a:t>
            </a:r>
            <a:r>
              <a:rPr lang="en-US" sz="1000" b="1" i="0" u="none" strike="noStrike" baseline="0"/>
              <a:t> </a:t>
            </a:r>
            <a:endParaRPr lang="en-US" sz="10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6">
              <a:lumMod val="75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36355356430432983"/>
          <c:y val="0.14085365853658535"/>
          <c:w val="0.572994424216944"/>
          <c:h val="0.814430894308943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'Dept &amp; Job Titles'!$B$3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6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'Dept &amp; Job Titles'!$A$4:$A$16</c:f>
              <c:strCache>
                <c:ptCount val="13"/>
                <c:pt idx="0">
                  <c:v>Engineering</c:v>
                </c:pt>
                <c:pt idx="1">
                  <c:v>Accounting</c:v>
                </c:pt>
                <c:pt idx="2">
                  <c:v>Sales</c:v>
                </c:pt>
                <c:pt idx="3">
                  <c:v>Human Resources</c:v>
                </c:pt>
                <c:pt idx="4">
                  <c:v>Training</c:v>
                </c:pt>
                <c:pt idx="5">
                  <c:v>Services</c:v>
                </c:pt>
                <c:pt idx="6">
                  <c:v>Business Development</c:v>
                </c:pt>
                <c:pt idx="7">
                  <c:v>Research and Development</c:v>
                </c:pt>
                <c:pt idx="8">
                  <c:v>Support</c:v>
                </c:pt>
                <c:pt idx="9">
                  <c:v>Product Management</c:v>
                </c:pt>
                <c:pt idx="10">
                  <c:v>Marketing</c:v>
                </c:pt>
                <c:pt idx="11">
                  <c:v>Legal</c:v>
                </c:pt>
                <c:pt idx="12">
                  <c:v>Auditing</c:v>
                </c:pt>
              </c:strCache>
            </c:strRef>
          </c:cat>
          <c:val>
            <c:numRef>
              <c:f>'Dept &amp; Job Titles'!$B$4:$B$16</c:f>
              <c:numCache>
                <c:formatCode>0.00%</c:formatCode>
                <c:ptCount val="13"/>
                <c:pt idx="0">
                  <c:v>0.300981363104349</c:v>
                </c:pt>
                <c:pt idx="1">
                  <c:v>0.150040514990546</c:v>
                </c:pt>
                <c:pt idx="2">
                  <c:v>0.0824705140902134</c:v>
                </c:pt>
                <c:pt idx="3">
                  <c:v>0.0813450976861439</c:v>
                </c:pt>
                <c:pt idx="4">
                  <c:v>0.0761681822274242</c:v>
                </c:pt>
                <c:pt idx="5">
                  <c:v>0.0758980822904475</c:v>
                </c:pt>
                <c:pt idx="6">
                  <c:v>0.0739173494192851</c:v>
                </c:pt>
                <c:pt idx="7">
                  <c:v>0.0487980552804538</c:v>
                </c:pt>
                <c:pt idx="8">
                  <c:v>0.0429458899792923</c:v>
                </c:pt>
                <c:pt idx="9">
                  <c:v>0.0288556766003421</c:v>
                </c:pt>
                <c:pt idx="10">
                  <c:v>0.0222382281444134</c:v>
                </c:pt>
                <c:pt idx="11">
                  <c:v>0.0140001800666247</c:v>
                </c:pt>
                <c:pt idx="12">
                  <c:v>0.00234086612046457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"/>
        <c:axId val="599808576"/>
        <c:axId val="599802752"/>
      </c:barChart>
      <c:catAx>
        <c:axId val="5998085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3000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9802752"/>
        <c:crosses val="autoZero"/>
        <c:auto val="1"/>
        <c:lblAlgn val="ctr"/>
        <c:lblOffset val="100"/>
        <c:noMultiLvlLbl val="0"/>
      </c:catAx>
      <c:valAx>
        <c:axId val="599802752"/>
        <c:scaling>
          <c:orientation val="minMax"/>
        </c:scaling>
        <c:delete val="1"/>
        <c:axPos val="b"/>
        <c:numFmt formatCode="0.00%" sourceLinked="1"/>
        <c:majorTickMark val="none"/>
        <c:minorTickMark val="none"/>
        <c:tickLblPos val="nextTo"/>
        <c:crossAx val="599808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Resources.xlsx]Dept &amp; Job Titles!PivotTable3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 b="1"/>
              <a:t>Department with most remote workers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rgbClr val="00B050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00B050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00B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rgbClr val="00B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00B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3348469284793568"/>
          <c:y val="0.27900795696249026"/>
          <c:w val="0.6143564887453026"/>
          <c:h val="0.6683208616981569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'Dept &amp; Job Titles'!$B$21:$B$22</c:f>
              <c:strCache>
                <c:ptCount val="1"/>
                <c:pt idx="0">
                  <c:v>Headquarters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'Dept &amp; Job Titles'!$A$23:$A$27</c:f>
              <c:strCache>
                <c:ptCount val="5"/>
                <c:pt idx="0">
                  <c:v>Engineering</c:v>
                </c:pt>
                <c:pt idx="1">
                  <c:v>Accounting</c:v>
                </c:pt>
                <c:pt idx="2">
                  <c:v>Sales</c:v>
                </c:pt>
                <c:pt idx="3">
                  <c:v>Human Resources</c:v>
                </c:pt>
                <c:pt idx="4">
                  <c:v>Training</c:v>
                </c:pt>
              </c:strCache>
            </c:strRef>
          </c:cat>
          <c:val>
            <c:numRef>
              <c:f>'Dept &amp; Job Titles'!$B$23:$B$27</c:f>
              <c:numCache>
                <c:formatCode>General</c:formatCode>
                <c:ptCount val="5"/>
                <c:pt idx="0">
                  <c:v>5070.0</c:v>
                </c:pt>
                <c:pt idx="1">
                  <c:v>2474.0</c:v>
                </c:pt>
                <c:pt idx="2">
                  <c:v>1365.0</c:v>
                </c:pt>
                <c:pt idx="3">
                  <c:v>1340.0</c:v>
                </c:pt>
                <c:pt idx="4">
                  <c:v>1272.0</c:v>
                </c:pt>
              </c:numCache>
            </c:numRef>
          </c:val>
        </c:ser>
        <c:ser>
          <c:idx val="1"/>
          <c:order val="1"/>
          <c:tx>
            <c:strRef>
              <c:f>'Dept &amp; Job Titles'!$C$21:$C$22</c:f>
              <c:strCache>
                <c:ptCount val="1"/>
                <c:pt idx="0">
                  <c:v>Remote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'Dept &amp; Job Titles'!$A$23:$A$27</c:f>
              <c:strCache>
                <c:ptCount val="5"/>
                <c:pt idx="0">
                  <c:v>Engineering</c:v>
                </c:pt>
                <c:pt idx="1">
                  <c:v>Accounting</c:v>
                </c:pt>
                <c:pt idx="2">
                  <c:v>Sales</c:v>
                </c:pt>
                <c:pt idx="3">
                  <c:v>Human Resources</c:v>
                </c:pt>
                <c:pt idx="4">
                  <c:v>Training</c:v>
                </c:pt>
              </c:strCache>
            </c:strRef>
          </c:cat>
          <c:val>
            <c:numRef>
              <c:f>'Dept &amp; Job Titles'!$C$23:$C$27</c:f>
              <c:numCache>
                <c:formatCode>General</c:formatCode>
                <c:ptCount val="5"/>
                <c:pt idx="0">
                  <c:v>1616.0</c:v>
                </c:pt>
                <c:pt idx="1">
                  <c:v>859.0</c:v>
                </c:pt>
                <c:pt idx="2">
                  <c:v>467.0</c:v>
                </c:pt>
                <c:pt idx="3">
                  <c:v>467.0</c:v>
                </c:pt>
                <c:pt idx="4">
                  <c:v>420.0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653267216"/>
        <c:axId val="653265136"/>
      </c:barChart>
      <c:catAx>
        <c:axId val="6532672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3265136"/>
        <c:crosses val="autoZero"/>
        <c:auto val="1"/>
        <c:lblAlgn val="ctr"/>
        <c:lblOffset val="100"/>
        <c:noMultiLvlLbl val="0"/>
      </c:catAx>
      <c:valAx>
        <c:axId val="65326513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53267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0789655968598475"/>
          <c:y val="0.16708080790126967"/>
          <c:w val="0.5472635477249712"/>
          <c:h val="0.126976058015321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Resources.xlsx]Employment Duration &amp; Turn over!PivotTable1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 b="1"/>
              <a:t>Total Number of Hired</a:t>
            </a:r>
            <a:r>
              <a:rPr lang="en-US" sz="1000" b="1" baseline="0"/>
              <a:t> Employees Yearly</a:t>
            </a:r>
            <a:endParaRPr lang="en-US" sz="10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06470456869497761"/>
          <c:y val="0.2528205128205128"/>
          <c:w val="0.8937960334192072"/>
          <c:h val="0.5785721784776903"/>
        </c:manualLayout>
      </c:layout>
      <c:lineChart>
        <c:grouping val="standard"/>
        <c:varyColors val="0"/>
        <c:ser>
          <c:idx val="0"/>
          <c:order val="0"/>
          <c:tx>
            <c:strRef>
              <c:f>'Employment Duration &amp; Turn over'!$B$3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'Employment Duration &amp; Turn over'!$A$4:$A$25</c:f>
              <c:strCache>
                <c:ptCount val="21"/>
                <c:pt idx="0">
                  <c:v>2018</c:v>
                </c:pt>
                <c:pt idx="1">
                  <c:v>2003</c:v>
                </c:pt>
                <c:pt idx="2">
                  <c:v>2009</c:v>
                </c:pt>
                <c:pt idx="3">
                  <c:v>2004</c:v>
                </c:pt>
                <c:pt idx="4">
                  <c:v>2016</c:v>
                </c:pt>
                <c:pt idx="5">
                  <c:v>2001</c:v>
                </c:pt>
                <c:pt idx="6">
                  <c:v>2006</c:v>
                </c:pt>
                <c:pt idx="7">
                  <c:v>2008</c:v>
                </c:pt>
                <c:pt idx="8">
                  <c:v>2013</c:v>
                </c:pt>
                <c:pt idx="9">
                  <c:v>2012</c:v>
                </c:pt>
                <c:pt idx="10">
                  <c:v>2011</c:v>
                </c:pt>
                <c:pt idx="11">
                  <c:v>2010</c:v>
                </c:pt>
                <c:pt idx="12">
                  <c:v>2005</c:v>
                </c:pt>
                <c:pt idx="13">
                  <c:v>2017</c:v>
                </c:pt>
                <c:pt idx="14">
                  <c:v>2007</c:v>
                </c:pt>
                <c:pt idx="15">
                  <c:v>2019</c:v>
                </c:pt>
                <c:pt idx="16">
                  <c:v>2002</c:v>
                </c:pt>
                <c:pt idx="17">
                  <c:v>2015</c:v>
                </c:pt>
                <c:pt idx="18">
                  <c:v>2014</c:v>
                </c:pt>
                <c:pt idx="19">
                  <c:v>2020</c:v>
                </c:pt>
                <c:pt idx="20">
                  <c:v>2000</c:v>
                </c:pt>
              </c:strCache>
            </c:strRef>
          </c:cat>
          <c:val>
            <c:numRef>
              <c:f>'Employment Duration &amp; Turn over'!$B$4:$B$25</c:f>
              <c:numCache>
                <c:formatCode>General</c:formatCode>
                <c:ptCount val="21"/>
                <c:pt idx="0">
                  <c:v>1147.0</c:v>
                </c:pt>
                <c:pt idx="1">
                  <c:v>1142.0</c:v>
                </c:pt>
                <c:pt idx="2">
                  <c:v>1140.0</c:v>
                </c:pt>
                <c:pt idx="3">
                  <c:v>1135.0</c:v>
                </c:pt>
                <c:pt idx="4">
                  <c:v>1122.0</c:v>
                </c:pt>
                <c:pt idx="5">
                  <c:v>1122.0</c:v>
                </c:pt>
                <c:pt idx="6">
                  <c:v>1118.0</c:v>
                </c:pt>
                <c:pt idx="7">
                  <c:v>1108.0</c:v>
                </c:pt>
                <c:pt idx="8">
                  <c:v>1105.0</c:v>
                </c:pt>
                <c:pt idx="9">
                  <c:v>1103.0</c:v>
                </c:pt>
                <c:pt idx="10">
                  <c:v>1101.0</c:v>
                </c:pt>
                <c:pt idx="11">
                  <c:v>1099.0</c:v>
                </c:pt>
                <c:pt idx="12">
                  <c:v>1097.0</c:v>
                </c:pt>
                <c:pt idx="13">
                  <c:v>1091.0</c:v>
                </c:pt>
                <c:pt idx="14">
                  <c:v>1090.0</c:v>
                </c:pt>
                <c:pt idx="15">
                  <c:v>1083.0</c:v>
                </c:pt>
                <c:pt idx="16">
                  <c:v>1067.0</c:v>
                </c:pt>
                <c:pt idx="17">
                  <c:v>1059.0</c:v>
                </c:pt>
                <c:pt idx="18">
                  <c:v>1053.0</c:v>
                </c:pt>
                <c:pt idx="19">
                  <c:v>1012.0</c:v>
                </c:pt>
                <c:pt idx="20">
                  <c:v>220.0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5491360"/>
        <c:axId val="815481376"/>
      </c:lineChart>
      <c:catAx>
        <c:axId val="8154913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5481376"/>
        <c:crosses val="autoZero"/>
        <c:auto val="1"/>
        <c:lblAlgn val="ctr"/>
        <c:lblOffset val="100"/>
        <c:noMultiLvlLbl val="0"/>
      </c:catAx>
      <c:valAx>
        <c:axId val="81548137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81549136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Resources.xlsx]Employment Duration &amp; Turn over!PivotTable3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/>
              <a:t>Status of employees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4">
              <a:lumMod val="75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tx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010626187863471057"/>
              <c:y val="-0.006055364146713368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4">
              <a:lumMod val="75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tx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010626187863471057"/>
              <c:y val="-0.006055364146713368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4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21022211704377392"/>
              <c:y val="0.0729166666666665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0.29590602337134403"/>
                  <c:h val="0.15552083333333333"/>
                </c:manualLayout>
              </c15:layout>
            </c:ext>
          </c:extLst>
        </c:dLbl>
      </c:pivotFmt>
      <c:pivotFmt>
        <c:idx val="8"/>
        <c:spPr>
          <a:solidFill>
            <a:schemeClr val="tx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1997900839711352"/>
              <c:y val="-0.0989583333333333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0.31938412035311614"/>
                  <c:h val="0.15552083333333333"/>
                </c:manualLayout>
              </c15:layout>
            </c:ext>
          </c:extLst>
        </c:dLbl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4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21022211704377392"/>
              <c:y val="0.0729166666666665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0.29590602337134403"/>
                  <c:h val="0.15552083333333333"/>
                </c:manualLayout>
              </c15:layout>
            </c:ext>
          </c:extLst>
        </c:dLbl>
      </c:pivotFmt>
      <c:pivotFmt>
        <c:idx val="11"/>
        <c:spPr>
          <a:solidFill>
            <a:schemeClr val="tx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1997900839711352"/>
              <c:y val="-0.0989583333333333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0.31938412035311614"/>
                  <c:h val="0.15552083333333333"/>
                </c:manualLayout>
              </c15:layout>
            </c:ext>
          </c:extLst>
        </c:dLbl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4">
              <a:lumMod val="75000"/>
            </a:schemeClr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21022211704377392"/>
              <c:y val="0.0729166666666665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0.29590602337134403"/>
                  <c:h val="0.15552083333333333"/>
                </c:manualLayout>
              </c15:layout>
            </c:ext>
          </c:extLst>
        </c:dLbl>
      </c:pivotFmt>
      <c:pivotFmt>
        <c:idx val="14"/>
        <c:spPr>
          <a:solidFill>
            <a:schemeClr val="tx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1997900839711352"/>
              <c:y val="-0.0989583333333333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0.31938412035311614"/>
                  <c:h val="0.15552083333333333"/>
                </c:manualLayout>
              </c15:layout>
            </c:ext>
          </c:extLst>
        </c:dLbl>
      </c:pivotFmt>
    </c:pivotFmts>
    <c:plotArea>
      <c:layout>
        <c:manualLayout>
          <c:layoutTarget val="inner"/>
          <c:xMode val="edge"/>
          <c:yMode val="edge"/>
          <c:x val="0.22017706823262892"/>
          <c:y val="0.23824023950131235"/>
          <c:w val="0.5259229471316086"/>
          <c:h val="0.6060017497812773"/>
        </c:manualLayout>
      </c:layout>
      <c:doughnutChart>
        <c:varyColors val="1"/>
        <c:ser>
          <c:idx val="0"/>
          <c:order val="0"/>
          <c:tx>
            <c:strRef>
              <c:f>'Employment Duration &amp; Turn over'!$G$3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4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tx1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0.13816637027554624"/>
                  <c:y val="0.0279297309879966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9590602337134403"/>
                      <c:h val="0.1555208333333333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07944759550856641"/>
                  <c:y val="-0.047544430500172055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300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1938412035311614"/>
                      <c:h val="0.15552083333333333"/>
                    </c:manualLayout>
                  </c15:layout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300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'Employment Duration &amp; Turn over'!$F$4:$F$6</c:f>
              <c:strCache>
                <c:ptCount val="2"/>
                <c:pt idx="0">
                  <c:v>Active</c:v>
                </c:pt>
                <c:pt idx="1">
                  <c:v>Inactive</c:v>
                </c:pt>
              </c:strCache>
            </c:strRef>
          </c:cat>
          <c:val>
            <c:numRef>
              <c:f>'Employment Duration &amp; Turn over'!$G$4:$G$6</c:f>
              <c:numCache>
                <c:formatCode>0.00%</c:formatCode>
                <c:ptCount val="2"/>
                <c:pt idx="0">
                  <c:v>0.874898712523634</c:v>
                </c:pt>
                <c:pt idx="1">
                  <c:v>0.125101287476366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8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1" i="0" u="none" strike="noStrike" kern="1200" baseline="300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Resources.xlsx]Geographic Distribution!PivotTable6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/>
              <a:t>No of Employes</a:t>
            </a:r>
            <a:r>
              <a:rPr lang="en-US" sz="1200" baseline="0"/>
              <a:t> by State</a:t>
            </a:r>
            <a:endParaRPr lang="en-US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rgbClr val="C00000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C00000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C00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C00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C00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06036470073210261"/>
          <c:y val="0.1551124279568147"/>
          <c:w val="0.9306176184311022"/>
          <c:h val="0.55334402143031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'Geographic Distribution'!$E$3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'Geographic Distribution'!$D$4:$D$10</c:f>
              <c:strCache>
                <c:ptCount val="7"/>
                <c:pt idx="0">
                  <c:v>Ohio</c:v>
                </c:pt>
                <c:pt idx="1">
                  <c:v>Pennsylvania</c:v>
                </c:pt>
                <c:pt idx="2">
                  <c:v>Illinois</c:v>
                </c:pt>
                <c:pt idx="3">
                  <c:v>Indiana</c:v>
                </c:pt>
                <c:pt idx="4">
                  <c:v>Michigan</c:v>
                </c:pt>
                <c:pt idx="5">
                  <c:v>Kentucky</c:v>
                </c:pt>
                <c:pt idx="6">
                  <c:v>Wisconsin</c:v>
                </c:pt>
              </c:strCache>
            </c:strRef>
          </c:cat>
          <c:val>
            <c:numRef>
              <c:f>'Geographic Distribution'!$E$4:$E$10</c:f>
              <c:numCache>
                <c:formatCode>General</c:formatCode>
                <c:ptCount val="7"/>
                <c:pt idx="0">
                  <c:v>18025.0</c:v>
                </c:pt>
                <c:pt idx="1">
                  <c:v>1115.0</c:v>
                </c:pt>
                <c:pt idx="2">
                  <c:v>868.0</c:v>
                </c:pt>
                <c:pt idx="3">
                  <c:v>700.0</c:v>
                </c:pt>
                <c:pt idx="4">
                  <c:v>673.0</c:v>
                </c:pt>
                <c:pt idx="5">
                  <c:v>451.0</c:v>
                </c:pt>
                <c:pt idx="6">
                  <c:v>382.0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0"/>
        <c:axId val="1995152064"/>
        <c:axId val="1995153728"/>
      </c:barChart>
      <c:catAx>
        <c:axId val="1995152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5153728"/>
        <c:crosses val="autoZero"/>
        <c:auto val="1"/>
        <c:lblAlgn val="ctr"/>
        <c:lblOffset val="100"/>
        <c:noMultiLvlLbl val="0"/>
      </c:catAx>
      <c:valAx>
        <c:axId val="1995153728"/>
        <c:scaling>
          <c:orientation val="minMax"/>
        </c:scaling>
        <c:delete val="1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995152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[Human Resources.xlsx]Geographic Distribution!PivotTable7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0" baseline="0">
                <a:effectLst/>
              </a:rPr>
              <a:t>Remote Vs Onsite Employees</a:t>
            </a:r>
            <a:endParaRPr lang="en-US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>
              <a:lumMod val="50000"/>
            </a:schemeClr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6">
              <a:lumMod val="50000"/>
            </a:schemeClr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4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6">
              <a:lumMod val="5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6">
              <a:lumMod val="5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6">
              <a:lumMod val="5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'Geographic Distribution'!$I$3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'Geographic Distribution'!$H$4:$H$5</c:f>
              <c:strCache>
                <c:ptCount val="2"/>
                <c:pt idx="0">
                  <c:v>Headquarters</c:v>
                </c:pt>
                <c:pt idx="1">
                  <c:v>Remote</c:v>
                </c:pt>
              </c:strCache>
            </c:strRef>
          </c:cat>
          <c:val>
            <c:numRef>
              <c:f>'Geographic Distribution'!$I$4:$I$5</c:f>
              <c:numCache>
                <c:formatCode>0.00%</c:formatCode>
                <c:ptCount val="2"/>
                <c:pt idx="0">
                  <c:v>0.752453407760872</c:v>
                </c:pt>
                <c:pt idx="1">
                  <c:v>0.247546592239128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Words>1023</Words>
  <Pages>6</Pages>
  <Characters>6096</Characters>
  <Application>WPS Office</Application>
  <DocSecurity>0</DocSecurity>
  <Paragraphs>98</Paragraphs>
  <ScaleCrop>false</ScaleCrop>
  <LinksUpToDate>false</LinksUpToDate>
  <CharactersWithSpaces>7083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2025-11-29T10:48:00Z</dcterms:created>
  <dc:creator>Abdul-Hakeem Atinsola</dc:creator>
  <lastModifiedBy>TECNO KD6a</lastModifiedBy>
  <dcterms:modified xsi:type="dcterms:W3CDTF">2025-12-15T16:10:58Z</dcterms:modified>
  <revision>28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8bf17da138fd49d3b74b41202f568d43</vt:lpwstr>
  </property>
</Properties>
</file>