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0" w:after="60"/>
        <w:jc w:val="center"/>
      </w:pPr>
      <w:r>
        <w:rPr>
          <w:rFonts w:ascii="Arial" w:cs="Arial" w:eastAsia="Arial" w:hAnsi="Arial"/>
          <w:b/>
          <w:bCs/>
          <w:caps/>
          <w:color w:val="457B9D"/>
          <w:sz w:val="20"/>
          <w:szCs w:val="20"/>
        </w:rPr>
        <w:t xml:space="preserve">PROSPECTIVE SCIENTIFIC PAPER</w:t>
      </w:r>
    </w:p>
    <w:p>
      <w:pPr>
        <w:pBdr>
          <w:top w:val="single" w:color="1D3557" w:sz="8" w:space="4"/>
          <w:bottom w:val="single" w:color="1D3557" w:sz="8" w:space="4"/>
        </w:pBdr>
        <w:spacing w:before="60" w:after="60"/>
        <w:jc w:val="center"/>
      </w:pPr>
      <w:r>
        <w:rPr>
          <w:rFonts w:ascii="Arial" w:cs="Arial" w:eastAsia="Arial" w:hAnsi="Arial"/>
          <w:b/>
          <w:bCs/>
          <w:color w:val="1D3557"/>
          <w:sz w:val="40"/>
          <w:szCs w:val="40"/>
        </w:rPr>
        <w:t xml:space="preserve">Carmeltazite as Crystalline Substrate</w:t>
      </w:r>
    </w:p>
    <w:p>
      <w:pPr>
        <w:spacing w:before="60" w:after="200"/>
        <w:jc w:val="center"/>
      </w:pPr>
      <w:r>
        <w:rPr>
          <w:rFonts w:ascii="Arial" w:cs="Arial" w:eastAsia="Arial" w:hAnsi="Arial"/>
          <w:b/>
          <w:bCs/>
          <w:color w:val="457B9D"/>
          <w:sz w:val="30"/>
          <w:szCs w:val="30"/>
        </w:rPr>
        <w:t xml:space="preserve">for an Integrated Terabit Photonic Architecture</w:t>
      </w:r>
    </w:p>
    <w:p>
      <w:pPr>
        <w:spacing w:before="0" w:after="60"/>
        <w:jc w:val="center"/>
      </w:pPr>
      <w:r>
        <w:rPr>
          <w:rFonts w:ascii="Arial" w:cs="Arial" w:eastAsia="Arial" w:hAnsi="Arial"/>
          <w:i/>
          <w:iCs/>
          <w:color w:val="555555"/>
          <w:sz w:val="22"/>
          <w:szCs w:val="22"/>
        </w:rPr>
        <w:t xml:space="preserve">Radial Concentric Topology — Cathedral Rose Window Analogy</w:t>
      </w:r>
    </w:p>
    <w:p>
      <w: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CCCCCC" w:sz="1"/>
              <w:left w:val="single" w:color="CCCCCC" w:sz="1"/>
              <w:bottom w:val="single" w:color="CCCCCC" w:sz="1"/>
              <w:right w:val="single" w:color="CCCCCC" w:sz="1"/>
            </w:tcBorders>
            <w:shd w:fill="E8F4F8" w:val="clear"/>
            <w:tcMar>
              <w:top w:type="dxa" w:w="160"/>
              <w:left w:type="dxa" w:w="200"/>
              <w:bottom w:type="dxa" w:w="160"/>
              <w:right w:type="dxa" w:w="200"/>
            </w:tcMar>
          </w:tcPr>
          <w:p>
            <w:pPr>
              <w:jc w:val="center"/>
            </w:pPr>
            <w:r>
              <w:rPr>
                <w:rFonts w:ascii="Arial" w:cs="Arial" w:eastAsia="Arial" w:hAnsi="Arial"/>
                <w:color w:val="333333"/>
                <w:sz w:val="20"/>
                <w:szCs w:val="20"/>
              </w:rPr>
              <w:t xml:space="preserve">Domain: Integrated Photonics / Materials Science</w:t>
            </w:r>
          </w:p>
          <w:p>
            <w:pPr>
              <w:jc w:val="center"/>
            </w:pPr>
            <w:r>
              <w:rPr>
                <w:rFonts w:ascii="Arial" w:cs="Arial" w:eastAsia="Arial" w:hAnsi="Arial"/>
                <w:color w:val="333333"/>
                <w:sz w:val="20"/>
                <w:szCs w:val="20"/>
              </w:rPr>
              <w:t xml:space="preserve">Classification: ZrAl₂Ti₄O₁₁  |  Topology: Radial Concentric</w:t>
            </w:r>
          </w:p>
          <w:p>
            <w:pPr>
              <w:jc w:val="center"/>
            </w:pPr>
            <w:r>
              <w:rPr>
                <w:rFonts w:ascii="Arial" w:cs="Arial" w:eastAsia="Arial" w:hAnsi="Arial"/>
                <w:color w:val="333333"/>
                <w:sz w:val="20"/>
                <w:szCs w:val="20"/>
              </w:rPr>
              <w:t xml:space="preserve">Date: March 2026  |  Version: 1.0 (EN)</w:t>
            </w:r>
          </w:p>
        </w:tc>
      </w:tr>
    </w:tbl>
    <w:p>
      <w:r>
        <w:t xml:space="preserve"/>
      </w:r>
    </w:p>
    <w:p>
      <w:r>
        <w:br w:type="page"/>
      </w:r>
    </w:p>
    <w:p>
      <w:pPr>
        <w:pStyle w:val="Heading1"/>
      </w:pPr>
      <w:r>
        <w:rPr>
          <w:rFonts w:ascii="Arial" w:cs="Arial" w:eastAsia="Arial" w:hAnsi="Arial"/>
          <w:b/>
          <w:bCs/>
          <w:color w:val="1D3557"/>
          <w:sz w:val="36"/>
          <w:szCs w:val="36"/>
        </w:rPr>
        <w:t xml:space="preserve">Abstract</w:t>
      </w:r>
    </w:p>
    <w:p>
      <w:pPr>
        <w:spacing w:before="80" w:after="120" w:line="280"/>
        <w:jc w:val="both"/>
      </w:pPr>
      <w:r>
        <w:rPr>
          <w:rFonts w:ascii="Arial" w:cs="Arial" w:eastAsia="Arial" w:hAnsi="Arial"/>
          <w:b w:val="false"/>
          <w:bCs w:val="false"/>
          <w:i w:val="false"/>
          <w:iCs w:val="false"/>
          <w:color w:val="111111"/>
          <w:sz w:val="22"/>
          <w:szCs w:val="22"/>
        </w:rPr>
        <w:t xml:space="preserve">This paper explores the prospective viability of carmeltazite (ZrAl₂Ti₄O₁₁) — a natural zirconium-aluminium-titanium oxide of extraterrestrial and volcanic origin — as a master crystalline substrate for an integrated terabit photonic architecture. The structure of this architecture is modelled as a four-layer radial concentric topology whose structural homology with the Gothic rose window serves as the analytical framework throughout the paper.</w:t>
      </w:r>
    </w:p>
    <w:p>
      <w:pPr>
        <w:spacing w:before="80" w:after="120" w:line="280"/>
        <w:jc w:val="both"/>
      </w:pPr>
      <w:r>
        <w:rPr>
          <w:rFonts w:ascii="Arial" w:cs="Arial" w:eastAsia="Arial" w:hAnsi="Arial"/>
          <w:b w:val="false"/>
          <w:bCs w:val="false"/>
          <w:i w:val="false"/>
          <w:iCs w:val="false"/>
          <w:color w:val="111111"/>
          <w:sz w:val="22"/>
          <w:szCs w:val="22"/>
        </w:rPr>
        <w:t xml:space="preserve">We first establish the physico-chemical properties of carmeltazite relevant to photonics, then construct the complete system architecture by identifying, for each layer — core, aggregators, distributors, end points — the industrially integrable components and materials. We finally propose a synthetic manufacturing roadmap and identify the key technological barriers to be overcome.</w:t>
      </w:r>
    </w:p>
    <w:p>
      <w:pPr>
        <w:spacing w:before="80" w:after="120" w:line="280"/>
        <w:jc w:val="both"/>
      </w:pPr>
      <w:r>
        <w:rPr>
          <w:rFonts w:ascii="Arial" w:cs="Arial" w:eastAsia="Arial" w:hAnsi="Arial"/>
          <w:b w:val="false"/>
          <w:bCs w:val="false"/>
          <w:i w:val="false"/>
          <w:iCs w:val="false"/>
          <w:color w:val="111111"/>
          <w:sz w:val="22"/>
          <w:szCs w:val="22"/>
        </w:rPr>
        <w:t xml:space="preserve">Keywords: carmeltazite, ZrAl₂Ti₄O₁₁, integrated photonics, terabit, optical waveguide, high-k dielectric, TiO₂, ZrO₂, layered architecture, radial topology, Gothic rose window, truncated cylinder.</w:t>
      </w:r>
    </w:p>
    <w:p>
      <w:r>
        <w:br w:type="page"/>
      </w:r>
    </w:p>
    <w:p>
      <w:pPr>
        <w:pStyle w:val="Heading1"/>
      </w:pPr>
      <w:r>
        <w:rPr>
          <w:rFonts w:ascii="Arial" w:cs="Arial" w:eastAsia="Arial" w:hAnsi="Arial"/>
          <w:b/>
          <w:bCs/>
          <w:color w:val="1D3557"/>
          <w:sz w:val="36"/>
          <w:szCs w:val="36"/>
        </w:rPr>
        <w:t xml:space="preserve">1. Introduction and Context</w:t>
      </w:r>
    </w:p>
    <w:p>
      <w:pPr>
        <w:spacing w:before="80" w:after="120" w:line="280"/>
        <w:jc w:val="both"/>
      </w:pPr>
      <w:r>
        <w:rPr>
          <w:rFonts w:ascii="Arial" w:cs="Arial" w:eastAsia="Arial" w:hAnsi="Arial"/>
          <w:b w:val="false"/>
          <w:bCs w:val="false"/>
          <w:i w:val="false"/>
          <w:iCs w:val="false"/>
          <w:color w:val="111111"/>
          <w:sz w:val="22"/>
          <w:szCs w:val="22"/>
        </w:rPr>
        <w:t xml:space="preserve">Contemporary communication networks are converging toward aggregate data rates on the order of terabits per second (Tbit/s) over increasingly dense and miniaturised interconnects. This evolution imposes unprecedented material constraints: photonic substrates must combine high dielectric constant, low optical absorption in the C and L telecom bands (1530–1625 nm), thermal stability above 400 °C, and compatibility with CMOS back-end-of-line fabrication processes.</w:t>
      </w:r>
    </w:p>
    <w:p>
      <w:pPr>
        <w:spacing w:before="80" w:after="120" w:line="280"/>
        <w:jc w:val="both"/>
      </w:pPr>
      <w:r>
        <w:rPr>
          <w:rFonts w:ascii="Arial" w:cs="Arial" w:eastAsia="Arial" w:hAnsi="Arial"/>
          <w:b w:val="false"/>
          <w:bCs w:val="false"/>
          <w:i w:val="false"/>
          <w:iCs w:val="false"/>
          <w:color w:val="111111"/>
          <w:sz w:val="22"/>
          <w:szCs w:val="22"/>
        </w:rPr>
        <w:t xml:space="preserve">In this context, carmeltazite (ZrAl₂Ti₄O₁₁) represents a remarkable mineralogical archetype: it natively brings together in a single crystal lattice three oxides (ZrO₂, Al₂O₃, TiO₂) whose electronic and optical properties are precisely those that thin-film engineering attempts to assemble in successive ALD layers. This paper develops the hypothesis that carmeltazite, or its synthetic equivalent, could constitute the central substrate — the core — of a four-layer integrated terabit photonic architecture organised along a radial concentric topology.</w:t>
      </w:r>
    </w:p>
    <w:p>
      <w:pPr>
        <w:spacing w:before="80" w:after="120" w:line="280"/>
        <w:jc w:val="both"/>
      </w:pPr>
      <w:r>
        <w:rPr>
          <w:rFonts w:ascii="Arial" w:cs="Arial" w:eastAsia="Arial" w:hAnsi="Arial"/>
          <w:b w:val="false"/>
          <w:bCs w:val="false"/>
          <w:i w:val="false"/>
          <w:iCs w:val="false"/>
          <w:color w:val="111111"/>
          <w:sz w:val="22"/>
          <w:szCs w:val="22"/>
        </w:rPr>
        <w:t xml:space="preserve">The structural analogy with the Gothic rose window is not ornamental: it is functional. The rose window is a medieval engineering solution that simultaneously addresses the problems of light transmission, mechanical load distribution, and structural redundancy. These three properties are exactly those that a terabit photonic architecture must guarantee.</w:t>
      </w:r>
    </w:p>
    <w:p>
      <w:pPr>
        <w:spacing w:before="80" w:after="120" w:line="280"/>
        <w:jc w:val="both"/>
      </w:pPr>
      <w:r>
        <w:rPr>
          <w:rFonts w:ascii="Arial" w:cs="Arial" w:eastAsia="Arial" w:hAnsi="Arial"/>
          <w:b w:val="false"/>
          <w:bCs w:val="false"/>
          <w:i w:val="false"/>
          <w:iCs w:val="false"/>
          <w:color w:val="111111"/>
          <w:sz w:val="22"/>
          <w:szCs w:val="22"/>
        </w:rPr>
        <w:t xml:space="preserve">Furthermore, the cross-section of a truncated cylinder — the geometric object at the heart of this model — directly reveals this topology: the longitudinal cables appear as radial points, the inter-layer linking cables appear as concentric arcs, and the transverse connectors correspond to the tracery of the rose window. The cross-section is the rose window.</w:t>
      </w:r>
    </w:p>
    <w:p>
      <w:pPr>
        <w:pBdr>
          <w:bottom w:val="single" w:color="457B9D" w:sz="4" w:space="1"/>
        </w:pBdr>
        <w:spacing w:before="200" w:after="200"/>
      </w:pPr>
      <w:r>
        <w:t xml:space="preserve"/>
      </w:r>
    </w:p>
    <w:p>
      <w:pPr>
        <w:pStyle w:val="Heading1"/>
      </w:pPr>
      <w:r>
        <w:rPr>
          <w:rFonts w:ascii="Arial" w:cs="Arial" w:eastAsia="Arial" w:hAnsi="Arial"/>
          <w:b/>
          <w:bCs/>
          <w:color w:val="1D3557"/>
          <w:sz w:val="36"/>
          <w:szCs w:val="36"/>
        </w:rPr>
        <w:t xml:space="preserve">2. Carmeltazite: Physico-Chemical Properties</w:t>
      </w:r>
    </w:p>
    <w:p>
      <w:pPr>
        <w:pStyle w:val="Heading2"/>
      </w:pPr>
      <w:r>
        <w:rPr>
          <w:rFonts w:ascii="Arial" w:cs="Arial" w:eastAsia="Arial" w:hAnsi="Arial"/>
          <w:b/>
          <w:bCs/>
          <w:color w:val="457B9D"/>
          <w:sz w:val="28"/>
          <w:szCs w:val="28"/>
        </w:rPr>
        <w:t xml:space="preserve">2.1 Crystallography and Composition</w:t>
      </w:r>
    </w:p>
    <w:p>
      <w:pPr>
        <w:spacing w:before="80" w:after="120" w:line="280"/>
        <w:jc w:val="both"/>
      </w:pPr>
      <w:r>
        <w:rPr>
          <w:rFonts w:ascii="Arial" w:cs="Arial" w:eastAsia="Arial" w:hAnsi="Arial"/>
          <w:b w:val="false"/>
          <w:bCs w:val="false"/>
          <w:i w:val="false"/>
          <w:iCs w:val="false"/>
          <w:color w:val="111111"/>
          <w:sz w:val="22"/>
          <w:szCs w:val="22"/>
        </w:rPr>
        <w:t xml:space="preserve">Carmeltazite was first described by Murashko et al. in 2017 as a new natural mineral from pyrometamorphic xenoliths found on Mount Carmel, Israel. Its ideal formula is ZrAl₂Ti₄O₁₁, with an atomic arrangement related to a defective spinel in which Zr, Al and Ti occupy distinct crystallographic sites (tetrahedral and octahedral).</w:t>
      </w:r>
    </w:p>
    <w:p>
      <w:pPr>
        <w:spacing w:before="80" w:after="120" w:line="280"/>
        <w:jc w:val="both"/>
      </w:pPr>
      <w:r>
        <w:rPr>
          <w:rFonts w:ascii="Arial" w:cs="Arial" w:eastAsia="Arial" w:hAnsi="Arial"/>
          <w:b w:val="false"/>
          <w:bCs w:val="false"/>
          <w:i w:val="false"/>
          <w:iCs w:val="false"/>
          <w:color w:val="111111"/>
          <w:sz w:val="22"/>
          <w:szCs w:val="22"/>
        </w:rPr>
        <w:t xml:space="preserve">This point is critical for photonics: the cohabitation of three cations of different valences (Zr⁴⁺, Al³⁺, Ti⁴⁺) in an ordered lattice produces a material whose effective relative permittivity, optical bandgap and refractive index are emergent properties of the global crystal — not a simple average of the constituent oxides.</w:t>
      </w:r>
    </w:p>
    <w:p>
      <w:pPr>
        <w:spacing w:before="80" w:after="120" w:line="280"/>
        <w:jc w:val="both"/>
      </w:pPr>
      <w:r>
        <w:rPr>
          <w:rFonts w:ascii="Arial" w:cs="Arial" w:eastAsia="Arial" w:hAnsi="Arial"/>
          <w:b w:val="false"/>
          <w:bCs w:val="false"/>
          <w:i w:val="false"/>
          <w:iCs w:val="false"/>
          <w:color w:val="111111"/>
          <w:sz w:val="22"/>
          <w:szCs w:val="22"/>
        </w:rPr>
        <w:t xml:space="preserve">Before its discovery on Earth, this mineral composition had only been detected in meteoritic samples, suggesting that its formation requires extreme thermodynamic conditions — high pressure, rapid quenching — that stabilise a crystal structure well outside ordinary equilibrium. This out-of-equilibrium character is precisely what generates non-conventional dielectric and optical properties.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c>
          <w:tcPr>
            <w:tcW w:type="dxa" w:w="3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Value / Characteristic</w:t>
            </w:r>
          </w:p>
        </w:tc>
        <w:tc>
          <w:tcPr>
            <w:tcW w:type="dxa" w:w="3226"/>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Functional Relevance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Chemical formula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ZrAl₂Ti₄O₁₁</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Ternary multi-site oxide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Crystal system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Orthorhombic (spinel-like)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Biaxial optical anisotropy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Refractive index (est.)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 2.0–2.3 @ 1550 nm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modal confinement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Dielectric constant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εᵣ ≈ 18–25 (estimated)</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High-k: gate capacitor, phase-shifter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 stability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1200 °C (volcanic context)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CMOS back-end compatible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Optical bandgap (TiO₂ dominant)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3.0–3.5 eV</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Transparent across C/L telecom bands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Formation 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Magmatic pockets, 900–1200 °C</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Out-of-equilibrium structure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Hardness (Mohs, est.)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7–8 (corundum host)</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Mechanically stable substrate</w:t>
            </w:r>
          </w:p>
        </w:tc>
      </w:tr>
    </w:tbl>
    <w:p>
      <w:pPr>
        <w:spacing w:before="60" w:after="200"/>
        <w:jc w:val="center"/>
      </w:pPr>
      <w:r>
        <w:rPr>
          <w:rFonts w:ascii="Arial" w:cs="Arial" w:eastAsia="Arial" w:hAnsi="Arial"/>
          <w:i/>
          <w:iCs/>
          <w:color w:val="555555"/>
          <w:sz w:val="18"/>
          <w:szCs w:val="18"/>
        </w:rPr>
        <w:t xml:space="preserve">Table 1 — Physico-chemical properties of carmeltazite and their relevance for integrated photonics.</w:t>
      </w:r>
    </w:p>
    <w:p>
      <w:pPr>
        <w:pStyle w:val="Heading2"/>
      </w:pPr>
      <w:r>
        <w:rPr>
          <w:rFonts w:ascii="Arial" w:cs="Arial" w:eastAsia="Arial" w:hAnsi="Arial"/>
          <w:b/>
          <w:bCs/>
          <w:color w:val="457B9D"/>
          <w:sz w:val="28"/>
          <w:szCs w:val="28"/>
        </w:rPr>
        <w:t xml:space="preserve">2.2 Synthetic Analogues</w:t>
      </w:r>
    </w:p>
    <w:p>
      <w:pPr>
        <w:spacing w:before="80" w:after="120" w:line="280"/>
        <w:jc w:val="both"/>
      </w:pPr>
      <w:r>
        <w:rPr>
          <w:rFonts w:ascii="Arial" w:cs="Arial" w:eastAsia="Arial" w:hAnsi="Arial"/>
          <w:b w:val="false"/>
          <w:bCs w:val="false"/>
          <w:i w:val="false"/>
          <w:iCs w:val="false"/>
          <w:color w:val="111111"/>
          <w:sz w:val="22"/>
          <w:szCs w:val="22"/>
        </w:rPr>
        <w:t xml:space="preserve">The semiconductor industry already manufactures thin films based on each of the three components of carmeltazite, but separately. ZrO₂:Al₂O₃ films are deposited by ALD for high-k transistor gates. Anatase TiO₂ is used in on-chip photonics. HfZrO₂ is in mass production for ferroelectric memories. Carmeltazite offers a structural model towards which to co-integrate these three functions in a single material — a convergence that, if achieved synthetically, would represent a fundamental advance in photonic substrate engineering.</w:t>
      </w:r>
    </w:p>
    <w:p>
      <w:pPr>
        <w:pBdr>
          <w:bottom w:val="single" w:color="457B9D" w:sz="4" w:space="1"/>
        </w:pBdr>
        <w:spacing w:before="200" w:after="200"/>
      </w:pPr>
      <w:r>
        <w:t xml:space="preserve"/>
      </w:r>
    </w:p>
    <w:p>
      <w:pPr>
        <w:pStyle w:val="Heading1"/>
      </w:pPr>
      <w:r>
        <w:rPr>
          <w:rFonts w:ascii="Arial" w:cs="Arial" w:eastAsia="Arial" w:hAnsi="Arial"/>
          <w:b/>
          <w:bCs/>
          <w:color w:val="1D3557"/>
          <w:sz w:val="36"/>
          <w:szCs w:val="36"/>
        </w:rPr>
        <w:t xml:space="preserve">3. System Architecture: Radial Concentric Topology</w:t>
      </w:r>
    </w:p>
    <w:p>
      <w:pPr>
        <w:pStyle w:val="Heading2"/>
      </w:pPr>
      <w:r>
        <w:rPr>
          <w:rFonts w:ascii="Arial" w:cs="Arial" w:eastAsia="Arial" w:hAnsi="Arial"/>
          <w:b/>
          <w:bCs/>
          <w:color w:val="457B9D"/>
          <w:sz w:val="28"/>
          <w:szCs w:val="28"/>
        </w:rPr>
        <w:t xml:space="preserve">3.1 Modelling Principle — The Truncated Cylinder</w:t>
      </w:r>
    </w:p>
    <w:p>
      <w:pPr>
        <w:spacing w:before="80" w:after="120" w:line="280"/>
        <w:jc w:val="both"/>
      </w:pPr>
      <w:r>
        <w:rPr>
          <w:rFonts w:ascii="Arial" w:cs="Arial" w:eastAsia="Arial" w:hAnsi="Arial"/>
          <w:b w:val="false"/>
          <w:bCs w:val="false"/>
          <w:i w:val="false"/>
          <w:iCs w:val="false"/>
          <w:color w:val="111111"/>
          <w:sz w:val="22"/>
          <w:szCs w:val="22"/>
        </w:rPr>
        <w:t xml:space="preserve">We model the terabit photonic architecture as a truncated cylinder whose transverse cross-section reveals a four-layer radial concentric topology. When a cylinder is cut — whether perpendicularly or obliquely — the resulting section exposes the internal organisation of all longitudinal cables as radial points, and all inter-layer coupling structures as concentric rings. This cross-section is structurally identical to a Gothic rose window.</w:t>
      </w:r>
    </w:p>
    <w:p>
      <w:pPr>
        <w:spacing w:before="80" w:after="120" w:line="280"/>
        <w:jc w:val="both"/>
      </w:pPr>
      <w:r>
        <w:rPr>
          <w:rFonts w:ascii="Arial" w:cs="Arial" w:eastAsia="Arial" w:hAnsi="Arial"/>
          <w:b w:val="false"/>
          <w:bCs w:val="false"/>
          <w:i w:val="false"/>
          <w:iCs w:val="false"/>
          <w:color w:val="111111"/>
          <w:sz w:val="22"/>
          <w:szCs w:val="22"/>
        </w:rPr>
        <w:t xml:space="preserve">This topology is not a decorative metaphor — it is the optimal solution to the problem of distributing a high-density signal from a central hub to N peripheral terminations with maximum redundancy and equal-length paths. The Gothic rose window, a medieval engineering solution for distributing light and managing mechanical loads, is topologically isomorphic to this problem.</w:t>
      </w:r>
    </w:p>
    <w:p>
      <w:pPr>
        <w:pStyle w:val="Heading2"/>
      </w:pPr>
      <w:r>
        <w:rPr>
          <w:rFonts w:ascii="Arial" w:cs="Arial" w:eastAsia="Arial" w:hAnsi="Arial"/>
          <w:b/>
          <w:bCs/>
          <w:color w:val="457B9D"/>
          <w:sz w:val="28"/>
          <w:szCs w:val="28"/>
        </w:rPr>
        <w:t xml:space="preserve">3.2 Cathedral Rose Window — Structural Analogy</w:t>
      </w:r>
    </w:p>
    <w:p>
      <w:pPr>
        <w:spacing w:before="80" w:after="120" w:line="280"/>
        <w:jc w:val="both"/>
      </w:pPr>
      <w:r>
        <w:rPr>
          <w:rFonts w:ascii="Arial" w:cs="Arial" w:eastAsia="Arial" w:hAnsi="Arial"/>
          <w:b w:val="false"/>
          <w:bCs w:val="false"/>
          <w:i w:val="false"/>
          <w:iCs w:val="false"/>
          <w:color w:val="111111"/>
          <w:sz w:val="22"/>
          <w:szCs w:val="22"/>
        </w:rPr>
        <w:t xml:space="preserve">The rose window of a Gothic cathedral is an engineering object before it is an artistic one. Its anatomy maps directly onto the four layers of the terabit architecture:</w:t>
      </w:r>
    </w:p>
    <w:p>
      <w:pPr>
        <w:pStyle w:val="ListParagraph"/>
        <w:numPr>
          <w:ilvl w:val="0"/>
          <w:numId w:val="2"/>
        </w:numPr>
        <w:spacing w:before="60" w:after="60"/>
      </w:pPr>
      <w:r>
        <w:rPr>
          <w:rFonts w:ascii="Arial" w:cs="Arial" w:eastAsia="Arial" w:hAnsi="Arial"/>
          <w:b/>
          <w:bCs/>
          <w:sz w:val="22"/>
          <w:szCs w:val="22"/>
        </w:rPr>
        <w:t xml:space="preserve">Oculus (central opening): </w:t>
      </w:r>
      <w:r>
        <w:rPr>
          <w:rFonts w:ascii="Arial" w:cs="Arial" w:eastAsia="Arial" w:hAnsi="Arial"/>
          <w:sz w:val="22"/>
          <w:szCs w:val="22"/>
        </w:rPr>
        <w:t xml:space="preserve">the carmeltazite crystalline hub — the master substrate from which all optical paths originate.</w:t>
      </w:r>
    </w:p>
    <w:p>
      <w:pPr>
        <w:pStyle w:val="ListParagraph"/>
        <w:numPr>
          <w:ilvl w:val="0"/>
          <w:numId w:val="2"/>
        </w:numPr>
        <w:spacing w:before="60" w:after="60"/>
      </w:pPr>
      <w:r>
        <w:rPr>
          <w:rFonts w:ascii="Arial" w:cs="Arial" w:eastAsia="Arial" w:hAnsi="Arial"/>
          <w:b/>
          <w:bCs/>
          <w:sz w:val="22"/>
          <w:szCs w:val="22"/>
        </w:rPr>
        <w:t xml:space="preserve">Primary tracery (radial spokes): </w:t>
      </w:r>
      <w:r>
        <w:rPr>
          <w:rFonts w:ascii="Arial" w:cs="Arial" w:eastAsia="Arial" w:hAnsi="Arial"/>
          <w:sz w:val="22"/>
          <w:szCs w:val="22"/>
        </w:rPr>
        <w:t xml:space="preserve">the longitudinal fibres and on-chip waveguide buses — the physical carriers of the optical signal between layers.</w:t>
      </w:r>
    </w:p>
    <w:p>
      <w:pPr>
        <w:pStyle w:val="ListParagraph"/>
        <w:numPr>
          <w:ilvl w:val="0"/>
          <w:numId w:val="2"/>
        </w:numPr>
        <w:spacing w:before="60" w:after="60"/>
      </w:pPr>
      <w:r>
        <w:rPr>
          <w:rFonts w:ascii="Arial" w:cs="Arial" w:eastAsia="Arial" w:hAnsi="Arial"/>
          <w:b/>
          <w:bCs/>
          <w:sz w:val="22"/>
          <w:szCs w:val="22"/>
        </w:rPr>
        <w:t xml:space="preserve">Secondary tracery (concentric rings): </w:t>
      </w:r>
      <w:r>
        <w:rPr>
          <w:rFonts w:ascii="Arial" w:cs="Arial" w:eastAsia="Arial" w:hAnsi="Arial"/>
          <w:sz w:val="22"/>
          <w:szCs w:val="22"/>
        </w:rPr>
        <w:t xml:space="preserve">the aggregator and distributor layers — each ring is functionally homogeneous but structurally distinct from the adjacent ring.</w:t>
      </w:r>
    </w:p>
    <w:p>
      <w:pPr>
        <w:pStyle w:val="ListParagraph"/>
        <w:numPr>
          <w:ilvl w:val="0"/>
          <w:numId w:val="2"/>
        </w:numPr>
        <w:spacing w:before="60" w:after="60"/>
      </w:pPr>
      <w:r>
        <w:rPr>
          <w:rFonts w:ascii="Arial" w:cs="Arial" w:eastAsia="Arial" w:hAnsi="Arial"/>
          <w:b/>
          <w:bCs/>
          <w:sz w:val="22"/>
          <w:szCs w:val="22"/>
        </w:rPr>
        <w:t xml:space="preserve">Peripheral foils (outer decorative elements): </w:t>
      </w:r>
      <w:r>
        <w:rPr>
          <w:rFonts w:ascii="Arial" w:cs="Arial" w:eastAsia="Arial" w:hAnsi="Arial"/>
          <w:sz w:val="22"/>
          <w:szCs w:val="22"/>
        </w:rPr>
        <w:t xml:space="preserve">the end-point interfaces and codecs — the termination nodes that distribute inward/outward the concentrated signal.</w:t>
      </w:r>
    </w:p>
    <w:p>
      <w:pPr>
        <w:pStyle w:val="ListParagraph"/>
        <w:numPr>
          <w:ilvl w:val="0"/>
          <w:numId w:val="2"/>
        </w:numPr>
        <w:spacing w:before="60" w:after="60"/>
      </w:pPr>
      <w:r>
        <w:rPr>
          <w:rFonts w:ascii="Arial" w:cs="Arial" w:eastAsia="Arial" w:hAnsi="Arial"/>
          <w:b/>
          <w:bCs/>
          <w:sz w:val="22"/>
          <w:szCs w:val="22"/>
        </w:rPr>
        <w:t xml:space="preserve">Lead came (structural binding): </w:t>
      </w:r>
      <w:r>
        <w:rPr>
          <w:rFonts w:ascii="Arial" w:cs="Arial" w:eastAsia="Arial" w:hAnsi="Arial"/>
          <w:sz w:val="22"/>
          <w:szCs w:val="22"/>
        </w:rPr>
        <w:t xml:space="preserve">the waveguide routing and packaging — simultaneously mechanical support and functional zone delimiter.</w:t>
      </w:r>
    </w:p>
    <w:p>
      <w:r>
        <w:t xml:space="preserve"/>
      </w:r>
    </w:p>
    <w:p>
      <w:pPr>
        <w:pStyle w:val="Heading2"/>
      </w:pPr>
      <w:r>
        <w:rPr>
          <w:rFonts w:ascii="Arial" w:cs="Arial" w:eastAsia="Arial" w:hAnsi="Arial"/>
          <w:b/>
          <w:bCs/>
          <w:color w:val="457B9D"/>
          <w:sz w:val="28"/>
          <w:szCs w:val="28"/>
        </w:rPr>
        <w:t xml:space="preserve">3.3 Full Architecture Schema</w:t>
      </w:r>
    </w:p>
    <w:p>
      <w:r>
        <w:t xml:space="preserve"/>
      </w:r>
    </w:p>
    <w:p>
      <w:pPr>
        <w:spacing w:before="80" w:after="60"/>
        <w:jc w:val="center"/>
      </w:pPr>
      <w:r>
        <w:drawing>
          <wp:inline distT="0" distB="0" distL="0" distR="0">
            <wp:extent cx="4572000" cy="4572000"/>
            <wp:effectExtent t="0" r="0" b="0" l="0"/>
            <wp:docPr id="1" name="schema_terabit" descr="Radial concentric topology with carmeltazite core" title="Terabit Architectur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0"/>
                    </a:xfrm>
                    <a:prstGeom prst="rect">
                      <a:avLst/>
                    </a:prstGeom>
                  </pic:spPr>
                </pic:pic>
              </a:graphicData>
            </a:graphic>
          </wp:inline>
        </w:drawing>
      </w:r>
    </w:p>
    <w:p>
      <w:pPr>
        <w:spacing w:before="60" w:after="200"/>
        <w:jc w:val="center"/>
      </w:pPr>
      <w:r>
        <w:rPr>
          <w:rFonts w:ascii="Arial" w:cs="Arial" w:eastAsia="Arial" w:hAnsi="Arial"/>
          <w:i/>
          <w:iCs/>
          <w:color w:val="555555"/>
          <w:sz w:val="18"/>
          <w:szCs w:val="18"/>
        </w:rPr>
        <w:t xml:space="preserve">Figure 1 — Terabit photonic architecture as radial concentric topology. Carmeltazite (ZrAl₂Ti₄O₁₁) occupies the central hub. The four concentric rings correspond to the Core, Aggregators, Distributors, and End Points — mirroring the anatomical structure of a Gothic cathedral rose window.</w:t>
      </w:r>
    </w:p>
    <w:p>
      <w:r>
        <w:t xml:space="preserve"/>
      </w:r>
    </w:p>
    <w:p>
      <w:pPr>
        <w:pStyle w:val="Heading2"/>
      </w:pPr>
      <w:r>
        <w:rPr>
          <w:rFonts w:ascii="Arial" w:cs="Arial" w:eastAsia="Arial" w:hAnsi="Arial"/>
          <w:b/>
          <w:bCs/>
          <w:color w:val="457B9D"/>
          <w:sz w:val="28"/>
          <w:szCs w:val="28"/>
        </w:rPr>
        <w:t xml:space="preserve">3.4 Stratified Architecture Diagram</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LAYER 1 — CORE  :  Carmeltazite ZrAl₂Ti₄O₁₁  (Central Optical Hub)</w:t>
            </w:r>
          </w:p>
        </w:tc>
      </w:tr>
      <w:tr>
        <w:tc>
          <w:tcPr>
            <w:tcW w:type="dxa" w:w="9026"/>
            <w:tcBorders>
              <w:top w:val="single" w:color="CCCCCC" w:sz="1"/>
              <w:left w:val="single" w:color="CCCCCC" w:sz="1"/>
              <w:bottom w:val="single" w:color="CCCCCC" w:sz="1"/>
              <w:right w:val="single" w:color="CCCCCC" w:sz="1"/>
            </w:tcBorders>
            <w:shd w:fill="FCE4EC" w:val="clear"/>
            <w:tcMar>
              <w:top w:type="dxa" w:w="140"/>
              <w:left w:type="dxa" w:w="220"/>
              <w:bottom w:type="dxa" w:w="140"/>
              <w:right w:type="dxa" w:w="220"/>
            </w:tcMar>
          </w:tcPr>
          <w:p>
            <w:pPr>
              <w:spacing w:before="40" w:after="40"/>
            </w:pPr>
            <w:r>
              <w:rPr>
                <w:rFonts w:ascii="Arial" w:cs="Arial" w:eastAsia="Arial" w:hAnsi="Arial"/>
                <w:sz w:val="20"/>
                <w:szCs w:val="20"/>
              </w:rPr>
              <w:t xml:space="preserve">  ●  Master crystalline substrate — ultra-high modal-density bus waveguide</w:t>
            </w:r>
          </w:p>
          <w:p>
            <w:pPr>
              <w:spacing w:before="40" w:after="40"/>
            </w:pPr>
            <w:r>
              <w:rPr>
                <w:rFonts w:ascii="Arial" w:cs="Arial" w:eastAsia="Arial" w:hAnsi="Arial"/>
                <w:sz w:val="20"/>
                <w:szCs w:val="20"/>
              </w:rPr>
              <w:t xml:space="preserve">  ●  Central optical switch: non-blocking N×N WDM channel crossbar</w:t>
            </w:r>
          </w:p>
          <w:p>
            <w:pPr>
              <w:spacing w:before="40" w:after="40"/>
            </w:pPr>
            <w:r>
              <w:rPr>
                <w:rFonts w:ascii="Arial" w:cs="Arial" w:eastAsia="Arial" w:hAnsi="Arial"/>
                <w:sz w:val="20"/>
                <w:szCs w:val="20"/>
              </w:rPr>
              <w:t xml:space="preserve">  ●  Evanescent coupling matrix: isotropic distribution to 8 aggregator nodes</w:t>
            </w:r>
          </w:p>
          <w:p>
            <w:pPr>
              <w:spacing w:before="40" w:after="40"/>
            </w:pPr>
            <w:r>
              <w:rPr>
                <w:rFonts w:ascii="Arial" w:cs="Arial" w:eastAsia="Arial" w:hAnsi="Arial"/>
                <w:sz w:val="20"/>
                <w:szCs w:val="20"/>
              </w:rPr>
              <w:t xml:space="preserve">  ●  Target specifications: n ≈ 2.1, εᵣ &gt; 18, propagation loss &lt; 0.5 dB/cm @ 1550 nm</w:t>
            </w:r>
          </w:p>
        </w:tc>
      </w:tr>
    </w:tbl>
    <w:p>
      <w:pPr>
        <w:spacing w:before="16" w:after="16"/>
        <w:jc w:val="center"/>
      </w:pPr>
      <w:r>
        <w:rPr>
          <w:rFonts w:ascii="Arial" w:cs="Arial" w:eastAsia="Arial" w:hAnsi="Arial"/>
          <w:b/>
          <w:bCs/>
          <w:color w:val="1D3557"/>
          <w:sz w:val="20"/>
          <w:szCs w:val="20"/>
        </w:rPr>
        <w:t xml:space="preserve">▼  Radial waveguide spokes (longitudinal fibres of the truncated cylinder)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LAYER 2 — AGGREGATORS  :  Functional Dielectric Materials</w:t>
            </w:r>
          </w:p>
        </w:tc>
      </w:tr>
      <w:tr>
        <w:tc>
          <w:tcPr>
            <w:tcW w:type="dxa" w:w="9026"/>
            <w:tcBorders>
              <w:top w:val="single" w:color="CCCCCC" w:sz="1"/>
              <w:left w:val="single" w:color="CCCCCC" w:sz="1"/>
              <w:bottom w:val="single" w:color="CCCCCC" w:sz="1"/>
              <w:right w:val="single" w:color="CCCCCC" w:sz="1"/>
            </w:tcBorders>
            <w:shd w:fill="FFF3E0" w:val="clear"/>
            <w:tcMar>
              <w:top w:type="dxa" w:w="140"/>
              <w:left w:type="dxa" w:w="220"/>
              <w:bottom w:type="dxa" w:w="140"/>
              <w:right w:type="dxa" w:w="220"/>
            </w:tcMar>
          </w:tcPr>
          <w:p>
            <w:pPr>
              <w:spacing w:before="40" w:after="40"/>
            </w:pPr>
            <w:r>
              <w:rPr>
                <w:rFonts w:ascii="Arial" w:cs="Arial" w:eastAsia="Arial" w:hAnsi="Arial"/>
                <w:sz w:val="20"/>
                <w:szCs w:val="20"/>
              </w:rPr>
              <w:t xml:space="preserve">  [AGG-1]  TiO₂ photonics — broadband polarisation-independent waveguide (n≈2.33)</w:t>
            </w:r>
          </w:p>
          <w:p>
            <w:pPr>
              <w:spacing w:before="40" w:after="40"/>
            </w:pPr>
            <w:r>
              <w:rPr>
                <w:rFonts w:ascii="Arial" w:cs="Arial" w:eastAsia="Arial" w:hAnsi="Arial"/>
                <w:sz w:val="20"/>
                <w:szCs w:val="20"/>
              </w:rPr>
              <w:t xml:space="preserve">  [AGG-2]  ZrO₂:Al₂O₃ — high-k dielectric, gate capacitor, non-volatile phase-shifter</w:t>
            </w:r>
          </w:p>
          <w:p>
            <w:pPr>
              <w:spacing w:before="40" w:after="40"/>
            </w:pPr>
            <w:r>
              <w:rPr>
                <w:rFonts w:ascii="Arial" w:cs="Arial" w:eastAsia="Arial" w:hAnsi="Arial"/>
                <w:sz w:val="20"/>
                <w:szCs w:val="20"/>
              </w:rPr>
              <w:t xml:space="preserve">  [AGG-3]  Al₂O₃:Er³⁺ — rare-earth amplification, C-band gain 2–4 dB/cm</w:t>
            </w:r>
          </w:p>
          <w:p>
            <w:pPr>
              <w:spacing w:before="40" w:after="40"/>
            </w:pPr>
            <w:r>
              <w:rPr>
                <w:rFonts w:ascii="Arial" w:cs="Arial" w:eastAsia="Arial" w:hAnsi="Arial"/>
                <w:sz w:val="20"/>
                <w:szCs w:val="20"/>
              </w:rPr>
              <w:t xml:space="preserve">  [AGG-4]  HfZrO₂ ferroelectric — non-volatile phase shift, photonic memory (π-shift &lt; 2V)</w:t>
            </w:r>
          </w:p>
          <w:p>
            <w:pPr>
              <w:spacing w:before="40" w:after="40"/>
            </w:pPr>
            <w:r>
              <w:rPr>
                <w:rFonts w:ascii="Arial" w:cs="Arial" w:eastAsia="Arial" w:hAnsi="Arial"/>
                <w:sz w:val="20"/>
                <w:szCs w:val="20"/>
              </w:rPr>
              <w:t xml:space="preserve">  [AGG-5]  Corundum (α-Al₂O₃) — crystalline host, thermally stable rigid substrate</w:t>
            </w:r>
          </w:p>
          <w:p>
            <w:pPr>
              <w:spacing w:before="40" w:after="40"/>
            </w:pPr>
            <w:r>
              <w:rPr>
                <w:rFonts w:ascii="Arial" w:cs="Arial" w:eastAsia="Arial" w:hAnsi="Arial"/>
                <w:sz w:val="20"/>
                <w:szCs w:val="20"/>
              </w:rPr>
              <w:t xml:space="preserve">  [AGG-6]  Spinel MgAl₂O₄ — wide-bandgap insulating substrate, high-quality epitaxy</w:t>
            </w:r>
          </w:p>
          <w:p>
            <w:pPr>
              <w:spacing w:before="40" w:after="40"/>
            </w:pPr>
            <w:r>
              <w:rPr>
                <w:rFonts w:ascii="Arial" w:cs="Arial" w:eastAsia="Arial" w:hAnsi="Arial"/>
                <w:sz w:val="20"/>
                <w:szCs w:val="20"/>
              </w:rPr>
              <w:t xml:space="preserve">  [AGG-7]  Photonic SiN — low-loss modal coupling, passive resonators, Fabry-Pérot</w:t>
            </w:r>
          </w:p>
          <w:p>
            <w:pPr>
              <w:spacing w:before="40" w:after="40"/>
            </w:pPr>
            <w:r>
              <w:rPr>
                <w:rFonts w:ascii="Arial" w:cs="Arial" w:eastAsia="Arial" w:hAnsi="Arial"/>
                <w:sz w:val="20"/>
                <w:szCs w:val="20"/>
              </w:rPr>
              <w:t xml:space="preserve">  [AGG-8]  ATO (Al₂O₃-TiO₂) film — high-frequency GaN transistor gate layer</w:t>
            </w:r>
          </w:p>
        </w:tc>
      </w:tr>
    </w:tbl>
    <w:p>
      <w:pPr>
        <w:spacing w:before="16" w:after="16"/>
        <w:jc w:val="center"/>
      </w:pPr>
      <w:r>
        <w:rPr>
          <w:rFonts w:ascii="Arial" w:cs="Arial" w:eastAsia="Arial" w:hAnsi="Arial"/>
          <w:b/>
          <w:bCs/>
          <w:color w:val="1D3557"/>
          <w:sz w:val="20"/>
          <w:szCs w:val="20"/>
        </w:rPr>
        <w:t xml:space="preserve">▼  Active signal conversion and switching components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LAYER 3 — DISTRIBUTORS  :  Active Photonic Components</w:t>
            </w:r>
          </w:p>
        </w:tc>
      </w:tr>
      <w:tr>
        <w:tc>
          <w:tcPr>
            <w:tcW w:type="dxa" w:w="9026"/>
            <w:tcBorders>
              <w:top w:val="single" w:color="CCCCCC" w:sz="1"/>
              <w:left w:val="single" w:color="CCCCCC" w:sz="1"/>
              <w:bottom w:val="single" w:color="CCCCCC" w:sz="1"/>
              <w:right w:val="single" w:color="CCCCCC" w:sz="1"/>
            </w:tcBorders>
            <w:shd w:fill="E8F4F8" w:val="clear"/>
            <w:tcMar>
              <w:top w:type="dxa" w:w="140"/>
              <w:left w:type="dxa" w:w="220"/>
              <w:bottom w:type="dxa" w:w="140"/>
              <w:right w:type="dxa" w:w="220"/>
            </w:tcMar>
          </w:tcPr>
          <w:p>
            <w:pPr>
              <w:spacing w:before="40" w:after="40"/>
            </w:pPr>
            <w:r>
              <w:rPr>
                <w:rFonts w:ascii="Arial" w:cs="Arial" w:eastAsia="Arial" w:hAnsi="Arial"/>
                <w:sz w:val="20"/>
                <w:szCs w:val="20"/>
              </w:rPr>
              <w:t xml:space="preserve">  [DST-1]  DWDM Mux/Demux 96λ — dense wavelength multiplexing, 100 GHz grid, AWG/PhC</w:t>
            </w:r>
          </w:p>
          <w:p>
            <w:pPr>
              <w:spacing w:before="40" w:after="40"/>
            </w:pPr>
            <w:r>
              <w:rPr>
                <w:rFonts w:ascii="Arial" w:cs="Arial" w:eastAsia="Arial" w:hAnsi="Arial"/>
                <w:sz w:val="20"/>
                <w:szCs w:val="20"/>
              </w:rPr>
              <w:t xml:space="preserve">  [DST-2]  Thin-film LiNbO₃ modulator — 100 Gbaud NRZ/DP-16QAM, Vπ &lt; 2V, BW &gt; 100 GHz</w:t>
            </w:r>
          </w:p>
          <w:p>
            <w:pPr>
              <w:spacing w:before="40" w:after="40"/>
            </w:pPr>
            <w:r>
              <w:rPr>
                <w:rFonts w:ascii="Arial" w:cs="Arial" w:eastAsia="Arial" w:hAnsi="Arial"/>
                <w:sz w:val="20"/>
                <w:szCs w:val="20"/>
              </w:rPr>
              <w:t xml:space="preserve">  [DST-3]  MEMS OXC switch — O-band reconfiguration, protection 1+1, no O-E-O conversion</w:t>
            </w:r>
          </w:p>
          <w:p>
            <w:pPr>
              <w:spacing w:before="40" w:after="40"/>
            </w:pPr>
            <w:r>
              <w:rPr>
                <w:rFonts w:ascii="Arial" w:cs="Arial" w:eastAsia="Arial" w:hAnsi="Arial"/>
                <w:sz w:val="20"/>
                <w:szCs w:val="20"/>
              </w:rPr>
              <w:t xml:space="preserve">  [DST-4]  Coherent DSP ASIC — 400G DP-16QAM demodulation, advanced FEC processing</w:t>
            </w:r>
          </w:p>
          <w:p>
            <w:pPr>
              <w:spacing w:before="40" w:after="40"/>
            </w:pPr>
            <w:r>
              <w:rPr>
                <w:rFonts w:ascii="Arial" w:cs="Arial" w:eastAsia="Arial" w:hAnsi="Arial"/>
                <w:sz w:val="20"/>
                <w:szCs w:val="20"/>
              </w:rPr>
              <w:t xml:space="preserve">  [DST-5]  EDFA array — distributed gain, power budget management, noise figure &lt; 4 dB</w:t>
            </w:r>
          </w:p>
          <w:p>
            <w:pPr>
              <w:spacing w:before="40" w:after="40"/>
            </w:pPr>
            <w:r>
              <w:rPr>
                <w:rFonts w:ascii="Arial" w:cs="Arial" w:eastAsia="Arial" w:hAnsi="Arial"/>
                <w:sz w:val="20"/>
                <w:szCs w:val="20"/>
              </w:rPr>
              <w:t xml:space="preserve">  [DST-6]  SOI photonic circuit — co-packaged optics, full on-chip optical/electronic integration</w:t>
            </w:r>
          </w:p>
          <w:p>
            <w:pPr>
              <w:spacing w:before="40" w:after="40"/>
            </w:pPr>
            <w:r>
              <w:rPr>
                <w:rFonts w:ascii="Arial" w:cs="Arial" w:eastAsia="Arial" w:hAnsi="Arial"/>
                <w:sz w:val="20"/>
                <w:szCs w:val="20"/>
              </w:rPr>
              <w:t xml:space="preserve">  [DST-7]  SMF-28 / LEAF fibre — low-dispersion long-haul transport backbone</w:t>
            </w:r>
          </w:p>
          <w:p>
            <w:pPr>
              <w:spacing w:before="40" w:after="40"/>
            </w:pPr>
            <w:r>
              <w:rPr>
                <w:rFonts w:ascii="Arial" w:cs="Arial" w:eastAsia="Arial" w:hAnsi="Arial"/>
                <w:sz w:val="20"/>
                <w:szCs w:val="20"/>
              </w:rPr>
              <w:t xml:space="preserve">  [DST-8]  PLL/GPS-Rb clock sync — terabit timing, Allan deviation &lt; 10⁻¹² @ 1 s</w:t>
            </w:r>
          </w:p>
        </w:tc>
      </w:tr>
    </w:tbl>
    <w:p>
      <w:pPr>
        <w:spacing w:before="16" w:after="16"/>
        <w:jc w:val="center"/>
      </w:pPr>
      <w:r>
        <w:rPr>
          <w:rFonts w:ascii="Arial" w:cs="Arial" w:eastAsia="Arial" w:hAnsi="Arial"/>
          <w:b/>
          <w:bCs/>
          <w:color w:val="1D3557"/>
          <w:sz w:val="20"/>
          <w:szCs w:val="20"/>
        </w:rPr>
        <w:t xml:space="preserve">▼  Interfaces toward terminal equipment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LAYER 4 — END POINTS  :  Interfaces and Termination Codecs</w:t>
            </w:r>
          </w:p>
        </w:tc>
      </w:tr>
      <w:tr>
        <w:tc>
          <w:tcPr>
            <w:tcW w:type="dxa" w:w="9026"/>
            <w:tcBorders>
              <w:top w:val="single" w:color="CCCCCC" w:sz="1"/>
              <w:left w:val="single" w:color="CCCCCC" w:sz="1"/>
              <w:bottom w:val="single" w:color="CCCCCC" w:sz="1"/>
              <w:right w:val="single" w:color="CCCCCC" w:sz="1"/>
            </w:tcBorders>
            <w:shd w:fill="E8F5E9" w:val="clear"/>
            <w:tcMar>
              <w:top w:type="dxa" w:w="140"/>
              <w:left w:type="dxa" w:w="220"/>
              <w:bottom w:type="dxa" w:w="140"/>
              <w:right w:type="dxa" w:w="220"/>
            </w:tcMar>
          </w:tcPr>
          <w:p>
            <w:pPr>
              <w:spacing w:before="40" w:after="40"/>
            </w:pPr>
            <w:r>
              <w:rPr>
                <w:rFonts w:ascii="Arial" w:cs="Arial" w:eastAsia="Arial" w:hAnsi="Arial"/>
                <w:sz w:val="20"/>
                <w:szCs w:val="20"/>
              </w:rPr>
              <w:t xml:space="preserve">  [EP-1]   CFP2-DCO 400ZR — digital coherent transceiver, range &gt; 2000 km on SSMF</w:t>
            </w:r>
          </w:p>
          <w:p>
            <w:pPr>
              <w:spacing w:before="40" w:after="40"/>
            </w:pPr>
            <w:r>
              <w:rPr>
                <w:rFonts w:ascii="Arial" w:cs="Arial" w:eastAsia="Arial" w:hAnsi="Arial"/>
                <w:sz w:val="20"/>
                <w:szCs w:val="20"/>
              </w:rPr>
              <w:t xml:space="preserve">  [EP-2]   Flexi-grid ROADM — reconfigurable optical add/drop, 6.25 GHz resolution</w:t>
            </w:r>
          </w:p>
          <w:p>
            <w:pPr>
              <w:spacing w:before="40" w:after="40"/>
            </w:pPr>
            <w:r>
              <w:rPr>
                <w:rFonts w:ascii="Arial" w:cs="Arial" w:eastAsia="Arial" w:hAnsi="Arial"/>
                <w:sz w:val="20"/>
                <w:szCs w:val="20"/>
              </w:rPr>
              <w:t xml:space="preserve">  [EP-3]   OTN Gateway — OTU4/OTU-Cn encapsulation, client-signal mapping</w:t>
            </w:r>
          </w:p>
          <w:p>
            <w:pPr>
              <w:spacing w:before="40" w:after="40"/>
            </w:pPr>
            <w:r>
              <w:rPr>
                <w:rFonts w:ascii="Arial" w:cs="Arial" w:eastAsia="Arial" w:hAnsi="Arial"/>
                <w:sz w:val="20"/>
                <w:szCs w:val="20"/>
              </w:rPr>
              <w:t xml:space="preserve">  [EP-4]   ILA (In-Line Amplifier) — optical amplification relay node</w:t>
            </w:r>
          </w:p>
          <w:p>
            <w:pPr>
              <w:spacing w:before="40" w:after="40"/>
            </w:pPr>
            <w:r>
              <w:rPr>
                <w:rFonts w:ascii="Arial" w:cs="Arial" w:eastAsia="Arial" w:hAnsi="Arial"/>
                <w:sz w:val="20"/>
                <w:szCs w:val="20"/>
              </w:rPr>
              <w:t xml:space="preserve">  [EP-5]   FEC codec — advanced error correction (OFEC, SD-FEC at 20% overhead)</w:t>
            </w:r>
          </w:p>
          <w:p>
            <w:pPr>
              <w:spacing w:before="40" w:after="40"/>
            </w:pPr>
            <w:r>
              <w:rPr>
                <w:rFonts w:ascii="Arial" w:cs="Arial" w:eastAsia="Arial" w:hAnsi="Arial"/>
                <w:sz w:val="20"/>
                <w:szCs w:val="20"/>
              </w:rPr>
              <w:t xml:space="preserve">  [EP-6]   High-res DAC/ADC — 8-bit @ 120 GSa/s, &lt; 35 dBc spurious-free dynamic range</w:t>
            </w:r>
          </w:p>
          <w:p>
            <w:pPr>
              <w:spacing w:before="40" w:after="40"/>
            </w:pPr>
            <w:r>
              <w:rPr>
                <w:rFonts w:ascii="Arial" w:cs="Arial" w:eastAsia="Arial" w:hAnsi="Arial"/>
                <w:sz w:val="20"/>
                <w:szCs w:val="20"/>
              </w:rPr>
              <w:t xml:space="preserve">  [EP-7]   Coherent receiver — 90° optical hybrid, balanced photodiodes</w:t>
            </w:r>
          </w:p>
          <w:p>
            <w:pPr>
              <w:spacing w:before="40" w:after="40"/>
            </w:pPr>
            <w:r>
              <w:rPr>
                <w:rFonts w:ascii="Arial" w:cs="Arial" w:eastAsia="Arial" w:hAnsi="Arial"/>
                <w:sz w:val="20"/>
                <w:szCs w:val="20"/>
              </w:rPr>
              <w:t xml:space="preserve">  [EP-8]   OTU4 port — 100GbE / 400GbE electrical client interface</w:t>
            </w:r>
          </w:p>
        </w:tc>
      </w:tr>
    </w:tbl>
    <w:p>
      <w:pPr>
        <w:spacing w:before="60" w:after="200"/>
        <w:jc w:val="center"/>
      </w:pPr>
      <w:r>
        <w:rPr>
          <w:rFonts w:ascii="Arial" w:cs="Arial" w:eastAsia="Arial" w:hAnsi="Arial"/>
          <w:i/>
          <w:iCs/>
          <w:color w:val="555555"/>
          <w:sz w:val="18"/>
          <w:szCs w:val="18"/>
        </w:rPr>
        <w:t xml:space="preserve">Figure 2 — Stratified block diagram of the terabit photonic architecture, from crystalline core to terminal interfaces.</w:t>
      </w:r>
    </w:p>
    <w:p>
      <w:r>
        <w:br w:type="page"/>
      </w:r>
    </w:p>
    <w:p>
      <w:pPr>
        <w:pStyle w:val="Heading1"/>
      </w:pPr>
      <w:r>
        <w:rPr>
          <w:rFonts w:ascii="Arial" w:cs="Arial" w:eastAsia="Arial" w:hAnsi="Arial"/>
          <w:b/>
          <w:bCs/>
          <w:color w:val="1D3557"/>
          <w:sz w:val="36"/>
          <w:szCs w:val="36"/>
        </w:rPr>
        <w:t xml:space="preserve">4. Detailed Component and Module Table</w:t>
      </w:r>
    </w:p>
    <w:p>
      <w:pPr>
        <w:spacing w:before="80" w:after="120" w:line="280"/>
        <w:jc w:val="both"/>
      </w:pPr>
      <w:r>
        <w:rPr>
          <w:rFonts w:ascii="Arial" w:cs="Arial" w:eastAsia="Arial" w:hAnsi="Arial"/>
          <w:b w:val="false"/>
          <w:bCs w:val="false"/>
          <w:i w:val="false"/>
          <w:iCs w:val="false"/>
          <w:color w:val="111111"/>
          <w:sz w:val="22"/>
          <w:szCs w:val="22"/>
        </w:rPr>
        <w:t xml:space="preserve">The following table synthesises, for each architectural layer, the technologically integrable components and modules, their precise functional role, and their structural analogy with elements of the Gothic rose window.</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500"/>
        <w:gridCol w:w="2426"/>
      </w:tblGrid>
      <w:tr>
        <w:tc>
          <w:tcPr>
            <w:tcW w:type="dxa" w:w="17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Component / Module</w:t>
            </w:r>
          </w:p>
        </w:tc>
        <w:tc>
          <w:tcPr>
            <w:tcW w:type="dxa" w:w="25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Functional Role</w:t>
            </w:r>
          </w:p>
        </w:tc>
        <w:tc>
          <w:tcPr>
            <w:tcW w:type="dxa" w:w="2426"/>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Rose Window Analogy</w:t>
            </w:r>
          </w:p>
        </w:tc>
      </w:tr>
      <w:tr>
        <w:tc>
          <w:tcPr>
            <w:tcW w:type="dxa" w:w="17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sz w:val="20"/>
                <w:szCs w:val="20"/>
              </w:rPr>
              <w:t xml:space="preserve">Core</w:t>
            </w:r>
          </w:p>
        </w:tc>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Carmeltazite ZrAl₂Ti₄O₁₁</w:t>
            </w:r>
          </w:p>
        </w:tc>
        <w:tc>
          <w:tcPr>
            <w:tcW w:type="dxa" w:w="2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Central optical hub, master substrate, non-blocking WDM crossbar</w:t>
            </w:r>
          </w:p>
        </w:tc>
        <w:tc>
          <w:tcPr>
            <w:tcW w:type="dxa" w:w="2426"/>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Oculus — central radiating point</w:t>
            </w:r>
          </w:p>
        </w:tc>
      </w:tr>
      <w:tr>
        <w:tc>
          <w:tcPr>
            <w:tcW w:type="dxa" w:w="17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sz w:val="20"/>
                <w:szCs w:val="20"/>
              </w:rPr>
              <w:t xml:space="preserve">Core</w:t>
            </w:r>
          </w:p>
        </w:tc>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N×N optical switch matrix</w:t>
            </w:r>
          </w:p>
        </w:tc>
        <w:tc>
          <w:tcPr>
            <w:tcW w:type="dxa" w:w="2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Lambda routing without O-E-O conversion</w:t>
            </w:r>
          </w:p>
        </w:tc>
        <w:tc>
          <w:tcPr>
            <w:tcW w:type="dxa" w:w="2426"/>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Hub — convergence of spokes</w:t>
            </w:r>
          </w:p>
        </w:tc>
      </w:tr>
      <w:tr>
        <w:tc>
          <w:tcPr>
            <w:tcW w:type="dxa" w:w="1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Aggregator</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TiO₂ photonics (anatase)</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Broadband waveguide, low 2P-absorption in C-band</w:t>
            </w:r>
          </w:p>
        </w:tc>
        <w:tc>
          <w:tcPr>
            <w:tcW w:type="dxa" w:w="24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Primary lancet — first ring</w:t>
            </w:r>
          </w:p>
        </w:tc>
      </w:tr>
      <w:tr>
        <w:tc>
          <w:tcPr>
            <w:tcW w:type="dxa" w:w="1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Aggregator</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ZrO₂:Al₂O₃ high-k</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Gate capacitor, active electrostatic phase-shifter</w:t>
            </w:r>
          </w:p>
        </w:tc>
        <w:tc>
          <w:tcPr>
            <w:tcW w:type="dxa" w:w="24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Reinforcing rib — structural strength</w:t>
            </w:r>
          </w:p>
        </w:tc>
      </w:tr>
      <w:tr>
        <w:tc>
          <w:tcPr>
            <w:tcW w:type="dxa" w:w="1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Aggregator</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Al₂O₃:Er³⁺</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Distributed C-band amplification, 2–4 dB/cm gain</w:t>
            </w:r>
          </w:p>
        </w:tc>
        <w:tc>
          <w:tcPr>
            <w:tcW w:type="dxa" w:w="24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Coloured glass — light source</w:t>
            </w:r>
          </w:p>
        </w:tc>
      </w:tr>
      <w:tr>
        <w:tc>
          <w:tcPr>
            <w:tcW w:type="dxa" w:w="1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Aggregator</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HfZrO₂ ferroelectric</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Photonic memory, non-volatile phase shift</w:t>
            </w:r>
          </w:p>
        </w:tc>
        <w:tc>
          <w:tcPr>
            <w:tcW w:type="dxa" w:w="24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Lead came — configuration retention</w:t>
            </w:r>
          </w:p>
        </w:tc>
      </w:tr>
      <w:tr>
        <w:tc>
          <w:tcPr>
            <w:tcW w:type="dxa" w:w="1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Aggregator</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Passive SiN</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Modal coupling, Fabry-Pérot resonators, selective transmission</w:t>
            </w:r>
          </w:p>
        </w:tc>
        <w:tc>
          <w:tcPr>
            <w:tcW w:type="dxa" w:w="24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Secondary foil — selective transmission</w:t>
            </w:r>
          </w:p>
        </w:tc>
      </w:tr>
      <w:tr>
        <w:tc>
          <w:tcPr>
            <w:tcW w:type="dxa" w:w="1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Aggregator</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MgAl₂O₄ spinel</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Epitaxial wide-gap insulating substrate</w:t>
            </w:r>
          </w:p>
        </w:tc>
        <w:tc>
          <w:tcPr>
            <w:tcW w:type="dxa" w:w="24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Stone armature — rigid support</w:t>
            </w:r>
          </w:p>
        </w:tc>
      </w:tr>
      <w:tr>
        <w:tc>
          <w:tcPr>
            <w:tcW w:type="dxa" w:w="1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Distributor</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WDM Mux/Demux 96λ</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Dense frequency multiplexing (DWDM), 100 GHz ITU grid</w:t>
            </w:r>
          </w:p>
        </w:tc>
        <w:tc>
          <w:tcPr>
            <w:tcW w:type="dxa" w:w="24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Spoke network — channelisation</w:t>
            </w:r>
          </w:p>
        </w:tc>
      </w:tr>
      <w:tr>
        <w:tc>
          <w:tcPr>
            <w:tcW w:type="dxa" w:w="1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Distributor</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Thin-film LiNbO₃ modulator</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Electro-optic signal encoding, 100 Gbaud</w:t>
            </w:r>
          </w:p>
        </w:tc>
        <w:tc>
          <w:tcPr>
            <w:tcW w:type="dxa" w:w="24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Active spoke — data carrier</w:t>
            </w:r>
          </w:p>
        </w:tc>
      </w:tr>
      <w:tr>
        <w:tc>
          <w:tcPr>
            <w:tcW w:type="dxa" w:w="1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Distributor</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Distributed EDFA array</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Loss compensation, power budget management</w:t>
            </w:r>
          </w:p>
        </w:tc>
        <w:tc>
          <w:tcPr>
            <w:tcW w:type="dxa" w:w="24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Intermediate ring — passive support</w:t>
            </w:r>
          </w:p>
        </w:tc>
      </w:tr>
      <w:tr>
        <w:tc>
          <w:tcPr>
            <w:tcW w:type="dxa" w:w="1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Distributor</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Reconfigurable MEMS OXC</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Lambda switching, 1+1 protection</w:t>
            </w:r>
          </w:p>
        </w:tc>
        <w:tc>
          <w:tcPr>
            <w:tcW w:type="dxa" w:w="24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Joint — bifurcation point</w:t>
            </w:r>
          </w:p>
        </w:tc>
      </w:tr>
      <w:tr>
        <w:tc>
          <w:tcPr>
            <w:tcW w:type="dxa" w:w="1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Distributor</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Coherent DSP ASIC</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Digital terabit signal processing</w:t>
            </w:r>
          </w:p>
        </w:tc>
        <w:tc>
          <w:tcPr>
            <w:tcW w:type="dxa" w:w="24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Composite rosette — local processing</w:t>
            </w:r>
          </w:p>
        </w:tc>
      </w:tr>
      <w:tr>
        <w:tc>
          <w:tcPr>
            <w:tcW w:type="dxa" w:w="1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Distributor</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SOI on-chip photonics</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Co-packaging optical/electronic integration</w:t>
            </w:r>
          </w:p>
        </w:tc>
        <w:tc>
          <w:tcPr>
            <w:tcW w:type="dxa" w:w="24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20"/>
                <w:szCs w:val="20"/>
              </w:rPr>
              <w:t xml:space="preserve">Armature network — bearing fabric</w:t>
            </w:r>
          </w:p>
        </w:tc>
      </w:tr>
      <w:tr>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End Point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CFP2-DCO 400ZR</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Long-haul client interface, 400 Gbit/s coherent</w:t>
            </w:r>
          </w:p>
        </w:tc>
        <w:tc>
          <w:tcPr>
            <w:tcW w:type="dxa" w:w="2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Peripheral foil — termination node</w:t>
            </w:r>
          </w:p>
        </w:tc>
      </w:tr>
      <w:tr>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End Point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Flexi-grid ROADM</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Lambda plane reconfiguration, 6.25 GHz resolution</w:t>
            </w:r>
          </w:p>
        </w:tc>
        <w:tc>
          <w:tcPr>
            <w:tcW w:type="dxa" w:w="2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Finial — distribution point</w:t>
            </w:r>
          </w:p>
        </w:tc>
      </w:tr>
      <w:tr>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End Point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OFEC / SD-FEC codec</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Error correction, system margin management</w:t>
            </w:r>
          </w:p>
        </w:tc>
        <w:tc>
          <w:tcPr>
            <w:tcW w:type="dxa" w:w="2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Lead sealing — signal integrity</w:t>
            </w:r>
          </w:p>
        </w:tc>
      </w:tr>
      <w:tr>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End Point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DAC/ADC 8b @ 120 GSa/s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High-resolution analog-to-digital conversion</w:t>
            </w:r>
          </w:p>
        </w:tc>
        <w:tc>
          <w:tcPr>
            <w:tcW w:type="dxa" w:w="2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Edge glass — physical interface</w:t>
            </w:r>
          </w:p>
        </w:tc>
      </w:tr>
    </w:tbl>
    <w:p>
      <w:pPr>
        <w:spacing w:before="60" w:after="200"/>
        <w:jc w:val="center"/>
      </w:pPr>
      <w:r>
        <w:rPr>
          <w:rFonts w:ascii="Arial" w:cs="Arial" w:eastAsia="Arial" w:hAnsi="Arial"/>
          <w:i/>
          <w:iCs/>
          <w:color w:val="555555"/>
          <w:sz w:val="18"/>
          <w:szCs w:val="18"/>
        </w:rPr>
        <w:t xml:space="preserve">Table 2 — Integrable components per architectural layer, with rose window analogy.</w:t>
      </w:r>
    </w:p>
    <w:p>
      <w:r>
        <w:br w:type="page"/>
      </w:r>
    </w:p>
    <w:p>
      <w:pPr>
        <w:pStyle w:val="Heading1"/>
      </w:pPr>
      <w:r>
        <w:rPr>
          <w:rFonts w:ascii="Arial" w:cs="Arial" w:eastAsia="Arial" w:hAnsi="Arial"/>
          <w:b/>
          <w:bCs/>
          <w:color w:val="1D3557"/>
          <w:sz w:val="36"/>
          <w:szCs w:val="36"/>
        </w:rPr>
        <w:t xml:space="preserve">5. Scientific Development</w:t>
      </w:r>
    </w:p>
    <w:p>
      <w:pPr>
        <w:pStyle w:val="Heading2"/>
      </w:pPr>
      <w:r>
        <w:rPr>
          <w:rFonts w:ascii="Arial" w:cs="Arial" w:eastAsia="Arial" w:hAnsi="Arial"/>
          <w:b/>
          <w:bCs/>
          <w:color w:val="457B9D"/>
          <w:sz w:val="28"/>
          <w:szCs w:val="28"/>
        </w:rPr>
        <w:t xml:space="preserve">5.1 Carmeltazite as a Material of Choice for Terabit Photonics</w:t>
      </w:r>
    </w:p>
    <w:p>
      <w:pPr>
        <w:spacing w:before="80" w:after="120" w:line="280"/>
        <w:jc w:val="both"/>
      </w:pPr>
      <w:r>
        <w:rPr>
          <w:rFonts w:ascii="Arial" w:cs="Arial" w:eastAsia="Arial" w:hAnsi="Arial"/>
          <w:b w:val="false"/>
          <w:bCs w:val="false"/>
          <w:i w:val="false"/>
          <w:iCs w:val="false"/>
          <w:color w:val="111111"/>
          <w:sz w:val="22"/>
          <w:szCs w:val="22"/>
        </w:rPr>
        <w:t xml:space="preserve">The central question of this paper is the following: why would a crystal discovered in 2017 in the pyrometamorphic ejecta of Mount Carmel constitute a relevant model for the engineering of terabit interconnects? The answer lies in a remarkable coincidence between the needs of contemporary integrated photonics and the emergent properties of an out-of-equilibrium ternary oxide.</w:t>
      </w:r>
    </w:p>
    <w:p>
      <w:pPr>
        <w:spacing w:before="80" w:after="120" w:line="280"/>
        <w:jc w:val="both"/>
      </w:pPr>
      <w:r>
        <w:rPr>
          <w:rFonts w:ascii="Arial" w:cs="Arial" w:eastAsia="Arial" w:hAnsi="Arial"/>
          <w:b w:val="false"/>
          <w:bCs w:val="false"/>
          <w:i w:val="false"/>
          <w:iCs w:val="false"/>
          <w:color w:val="111111"/>
          <w:sz w:val="22"/>
          <w:szCs w:val="22"/>
        </w:rPr>
        <w:t xml:space="preserve">Modern photonic waveguides require materials with high index contrast (enabling modal confinement), low intrinsic absorption in the telecom window (1300–1625 nm), thermal stability above 400 °C (compatible with post-deposition CMOS annealing), and an electro-optic or thermo-optic response enabling active modulation. No individual material satisfies all these constraints simultaneously at an industrially acceptable cost.</w:t>
      </w:r>
    </w:p>
    <w:p>
      <w:pPr>
        <w:spacing w:before="80" w:after="120" w:line="280"/>
        <w:jc w:val="both"/>
      </w:pPr>
      <w:r>
        <w:rPr>
          <w:rFonts w:ascii="Arial" w:cs="Arial" w:eastAsia="Arial" w:hAnsi="Arial"/>
          <w:b w:val="false"/>
          <w:bCs w:val="false"/>
          <w:i w:val="false"/>
          <w:iCs w:val="false"/>
          <w:color w:val="111111"/>
          <w:sz w:val="22"/>
          <w:szCs w:val="22"/>
        </w:rPr>
        <w:t xml:space="preserve">This is precisely the situation that carmeltazite resolves in principle: it associates in a single crystal lattice the high-k behaviour of ZrO₂ (electrostatic confinement, transistor gate, phase-shifting capacitor), the broadband waveguide properties of TiO₂ (index n≈2.3, transparency window 400–3000 nm), and the mechanical and chemical rigidity of Al₂O₃ (corundum), all within an orthorhombic structure whose biaxial anisotropy is precisely what engineers seek to reproduce in order to create waveguides with low birefringence and polarisation-independent response.</w:t>
      </w:r>
    </w:p>
    <w:p>
      <w:pPr>
        <w:spacing w:before="80" w:after="120" w:line="280"/>
        <w:jc w:val="both"/>
      </w:pPr>
      <w:r>
        <w:rPr>
          <w:rFonts w:ascii="Arial" w:cs="Arial" w:eastAsia="Arial" w:hAnsi="Arial"/>
          <w:b w:val="false"/>
          <w:bCs w:val="false"/>
          <w:i w:val="false"/>
          <w:iCs w:val="false"/>
          <w:color w:val="111111"/>
          <w:sz w:val="22"/>
          <w:szCs w:val="22"/>
        </w:rPr>
        <w:t xml:space="preserve">The out-of-equilibrium formation conditions of carmeltazite — rapid quenching from magmatic temperatures exceeding 1000 °C — are analogous to the rapid thermal annealing (RTA) processes used in semiconductor fabrication to stabilise metastable crystal phases. This parallel suggests that the orthorhombic ZrAl₂Ti₄O₁₁ phase could potentially be synthesised by ALD co-deposition followed by RTA treatment, replicating the thermodynamic pathway of the natural mineral.</w:t>
      </w:r>
    </w:p>
    <w:p>
      <w:pPr>
        <w:pStyle w:val="Heading2"/>
      </w:pPr>
      <w:r>
        <w:rPr>
          <w:rFonts w:ascii="Arial" w:cs="Arial" w:eastAsia="Arial" w:hAnsi="Arial"/>
          <w:b/>
          <w:bCs/>
          <w:color w:val="457B9D"/>
          <w:sz w:val="28"/>
          <w:szCs w:val="28"/>
        </w:rPr>
        <w:t xml:space="preserve">5.2 Physics of the Aggregator Layer</w:t>
      </w:r>
    </w:p>
    <w:p>
      <w:pPr>
        <w:spacing w:before="80" w:after="120" w:line="280"/>
        <w:jc w:val="both"/>
      </w:pPr>
      <w:r>
        <w:rPr>
          <w:rFonts w:ascii="Arial" w:cs="Arial" w:eastAsia="Arial" w:hAnsi="Arial"/>
          <w:b w:val="false"/>
          <w:bCs w:val="false"/>
          <w:i w:val="false"/>
          <w:iCs w:val="false"/>
          <w:color w:val="111111"/>
          <w:sz w:val="22"/>
          <w:szCs w:val="22"/>
        </w:rPr>
        <w:t xml:space="preserve">The aggregators constitute the first functional ring around the crystalline core. Their dual role is: first, to provide the interface between the carmeltazite substrate (or its synthetic analogue) and the active photonic components; second, to perform signal distribution functions within the chip or module.</w:t>
      </w:r>
    </w:p>
    <w:p>
      <w:pPr>
        <w:spacing w:before="80" w:after="120" w:line="280"/>
        <w:jc w:val="both"/>
      </w:pPr>
      <w:r>
        <w:rPr>
          <w:rFonts w:ascii="Arial" w:cs="Arial" w:eastAsia="Arial" w:hAnsi="Arial"/>
          <w:b w:val="false"/>
          <w:bCs w:val="false"/>
          <w:i w:val="false"/>
          <w:iCs w:val="false"/>
          <w:color w:val="111111"/>
          <w:sz w:val="22"/>
          <w:szCs w:val="22"/>
        </w:rPr>
        <w:t xml:space="preserve">Photonic TiO₂ (anatase crystal, n≈2.33 at 1550 nm) is the most natural aggregator: its index is high enough to allow strong modal confinement in 500 nm × 220 nm cross-section waveguides, comparable to SOI. Its two-photon absorption (TPA) is approximately 10 times lower than silicon in the C-band, making it compatible with high optical power densities. Complete TiO₂ photonic circuits, including ring resonators and directional couplers, have been demonstrated from 2016 onwards.</w:t>
      </w:r>
    </w:p>
    <w:p>
      <w:pPr>
        <w:spacing w:before="80" w:after="120" w:line="280"/>
        <w:jc w:val="both"/>
      </w:pPr>
      <w:r>
        <w:rPr>
          <w:rFonts w:ascii="Arial" w:cs="Arial" w:eastAsia="Arial" w:hAnsi="Arial"/>
          <w:b w:val="false"/>
          <w:bCs w:val="false"/>
          <w:i w:val="false"/>
          <w:iCs w:val="false"/>
          <w:color w:val="111111"/>
          <w:sz w:val="22"/>
          <w:szCs w:val="22"/>
        </w:rPr>
        <w:t xml:space="preserve">ZrO₂:Al₂O₃ in ALD thin film occupies the role of electrostatic aggregator: deposited as a 5–10 nm layer between the substrate and the phase-shifting electrodes, it provides the high dielectric constant necessary for fast electro-optic switching with a reduced actuation voltage. HfZrO₂ ferroelectric configurations on passive SiN waveguides have demonstrated π-phase shifts at less than 2V, compatible with standard 3.3V CMOS drivers — a critical requirement for energy-efficient terabit modulation.</w:t>
      </w:r>
    </w:p>
    <w:p>
      <w:pPr>
        <w:spacing w:before="80" w:after="120" w:line="280"/>
        <w:jc w:val="both"/>
      </w:pPr>
      <w:r>
        <w:rPr>
          <w:rFonts w:ascii="Arial" w:cs="Arial" w:eastAsia="Arial" w:hAnsi="Arial"/>
          <w:b w:val="false"/>
          <w:bCs w:val="false"/>
          <w:i w:val="false"/>
          <w:iCs w:val="false"/>
          <w:color w:val="111111"/>
          <w:sz w:val="22"/>
          <w:szCs w:val="22"/>
        </w:rPr>
        <w:t xml:space="preserve">Al₂O₃ doped with erbium (Er³⁺, 1–3 × 10²⁰ ions/cm³) constitutes an amplifying aggregator: its gain in the C-band (1530–1565 nm) can reach 2–4 dB/cm in low-confinement waveguides, enabling compensation of propagation and coupling losses without recourse to a discrete external amplifier. This property is particularly valuable in an on-chip architecture where inter-module coupling losses can exceed 3 dB per interface.</w:t>
      </w:r>
    </w:p>
    <w:p>
      <w:pPr>
        <w:pStyle w:val="Heading2"/>
      </w:pPr>
      <w:r>
        <w:rPr>
          <w:rFonts w:ascii="Arial" w:cs="Arial" w:eastAsia="Arial" w:hAnsi="Arial"/>
          <w:b/>
          <w:bCs/>
          <w:color w:val="457B9D"/>
          <w:sz w:val="28"/>
          <w:szCs w:val="28"/>
        </w:rPr>
        <w:t xml:space="preserve">5.3 Active Components in the Distributor Layer</w:t>
      </w:r>
    </w:p>
    <w:p>
      <w:pPr>
        <w:spacing w:before="80" w:after="120" w:line="280"/>
        <w:jc w:val="both"/>
      </w:pPr>
      <w:r>
        <w:rPr>
          <w:rFonts w:ascii="Arial" w:cs="Arial" w:eastAsia="Arial" w:hAnsi="Arial"/>
          <w:b w:val="false"/>
          <w:bCs w:val="false"/>
          <w:i w:val="false"/>
          <w:iCs w:val="false"/>
          <w:color w:val="111111"/>
          <w:sz w:val="22"/>
          <w:szCs w:val="22"/>
        </w:rPr>
        <w:t xml:space="preserve">The distributors form the operational ring of the architecture. They are the active components that perform the multiplexing, modulation, amplification and switching functions that define the system's terabit capacity.</w:t>
      </w:r>
    </w:p>
    <w:p>
      <w:pPr>
        <w:spacing w:before="80" w:after="120" w:line="280"/>
        <w:jc w:val="both"/>
      </w:pPr>
      <w:r>
        <w:rPr>
          <w:rFonts w:ascii="Arial" w:cs="Arial" w:eastAsia="Arial" w:hAnsi="Arial"/>
          <w:b w:val="false"/>
          <w:bCs w:val="false"/>
          <w:i w:val="false"/>
          <w:iCs w:val="false"/>
          <w:color w:val="111111"/>
          <w:sz w:val="22"/>
          <w:szCs w:val="22"/>
        </w:rPr>
        <w:t xml:space="preserve">The dense WDM multiplexer (DWDM) with 96 channels on a 100 GHz grid (full C-band) is the pivot component of this layer. Realised by arrayed waveguide gratings (AWG) or photonic crystal filters on SOI, it enables the concentration into a single physical waveguide of 96 × 100 Gbit/s = 9.6 Tbit/s aggregate capacity. The introduction of a 50 GHz flex-grid carrying this to 192 channels doubles this theoretical capacity.</w:t>
      </w:r>
    </w:p>
    <w:p>
      <w:pPr>
        <w:spacing w:before="80" w:after="120" w:line="280"/>
        <w:jc w:val="both"/>
      </w:pPr>
      <w:r>
        <w:rPr>
          <w:rFonts w:ascii="Arial" w:cs="Arial" w:eastAsia="Arial" w:hAnsi="Arial"/>
          <w:b w:val="false"/>
          <w:bCs w:val="false"/>
          <w:i w:val="false"/>
          <w:iCs w:val="false"/>
          <w:color w:val="111111"/>
          <w:sz w:val="22"/>
          <w:szCs w:val="22"/>
        </w:rPr>
        <w:t xml:space="preserve">The thin-film LiNbO₃ modulator (TFLN) represents the most significant advance of the 2015–2025 decade in integrated photonics. With a modulation bandwidth of 100 GHz, insertion losses below 3 dB, and a half-wave voltage Vπ &lt; 2V, it enables encoding of NRZ or DP-16QAM signals at 100 Gbaud — i.e., 400 Gbit/s per carrier — with an energy efficiency of approximately 1 pJ/bit, two orders of magnitude lower than previous-generation discrete LiNbO₃ modulators.</w:t>
      </w:r>
    </w:p>
    <w:p>
      <w:pPr>
        <w:spacing w:before="80" w:after="120" w:line="280"/>
        <w:jc w:val="both"/>
      </w:pPr>
      <w:r>
        <w:rPr>
          <w:rFonts w:ascii="Arial" w:cs="Arial" w:eastAsia="Arial" w:hAnsi="Arial"/>
          <w:b w:val="false"/>
          <w:bCs w:val="false"/>
          <w:i w:val="false"/>
          <w:iCs w:val="false"/>
          <w:color w:val="111111"/>
          <w:sz w:val="22"/>
          <w:szCs w:val="22"/>
        </w:rPr>
        <w:t xml:space="preserve">Temporal synchronisation is a frequently underestimated challenge in terabit architectures. At 400 Gbaud, a 100 fs phase jitter represents a 14° constellation rotation in a 16-QAM signal space, corresponding to a performance penalty exceeding 2 dB. The GPS-Rb PLL clock synchronised to universal time with an Allan deviation below 10⁻¹² at 1 s is therefore a functionally critical component of the distributor layer, not merely a support function.</w:t>
      </w:r>
    </w:p>
    <w:p>
      <w:pPr>
        <w:pStyle w:val="Heading2"/>
      </w:pPr>
      <w:r>
        <w:rPr>
          <w:rFonts w:ascii="Arial" w:cs="Arial" w:eastAsia="Arial" w:hAnsi="Arial"/>
          <w:b/>
          <w:bCs/>
          <w:color w:val="457B9D"/>
          <w:sz w:val="28"/>
          <w:szCs w:val="28"/>
        </w:rPr>
        <w:t xml:space="preserve">5.4 End Points and Termination Interfaces</w:t>
      </w:r>
    </w:p>
    <w:p>
      <w:pPr>
        <w:spacing w:before="80" w:after="120" w:line="280"/>
        <w:jc w:val="both"/>
      </w:pPr>
      <w:r>
        <w:rPr>
          <w:rFonts w:ascii="Arial" w:cs="Arial" w:eastAsia="Arial" w:hAnsi="Arial"/>
          <w:b w:val="false"/>
          <w:bCs w:val="false"/>
          <w:i w:val="false"/>
          <w:iCs w:val="false"/>
          <w:color w:val="111111"/>
          <w:sz w:val="22"/>
          <w:szCs w:val="22"/>
        </w:rPr>
        <w:t xml:space="preserve">The end-point layer constitutes the periphery of the cylinder — the peripheral foils of the rose window. Its role is to interface the internal photonic mesh with client equipment or the long-haul segments of the network.</w:t>
      </w:r>
    </w:p>
    <w:p>
      <w:pPr>
        <w:spacing w:before="80" w:after="120" w:line="280"/>
        <w:jc w:val="both"/>
      </w:pPr>
      <w:r>
        <w:rPr>
          <w:rFonts w:ascii="Arial" w:cs="Arial" w:eastAsia="Arial" w:hAnsi="Arial"/>
          <w:b w:val="false"/>
          <w:bCs w:val="false"/>
          <w:i w:val="false"/>
          <w:iCs w:val="false"/>
          <w:color w:val="111111"/>
          <w:sz w:val="22"/>
          <w:szCs w:val="22"/>
        </w:rPr>
        <w:t xml:space="preserve">The CFP2-DCO (Digital Coherent Optics) 400ZR transceiver is the most advanced current realisation of this level. It encapsulates in a 1/2 C-form-factor-pluggable module the complete function of a 400 Gbit/s coherent transmission terminal: tunable laser source, IQ modulator, advanced FEC DSP, 8-bit ADC/DAC at 120 GSa/s, and a 90° hybrid coherent receiver. Its unrepeatered reach exceeds 2000 km on SSMF (G.652D) at an OSNR of 22 dB — a performance that was only achievable with rack-mounted transponders five years ago.</w:t>
      </w:r>
    </w:p>
    <w:p>
      <w:pPr>
        <w:spacing w:before="80" w:after="120" w:line="280"/>
        <w:jc w:val="both"/>
      </w:pPr>
      <w:r>
        <w:rPr>
          <w:rFonts w:ascii="Arial" w:cs="Arial" w:eastAsia="Arial" w:hAnsi="Arial"/>
          <w:b w:val="false"/>
          <w:bCs w:val="false"/>
          <w:i w:val="false"/>
          <w:iCs w:val="false"/>
          <w:color w:val="111111"/>
          <w:sz w:val="22"/>
          <w:szCs w:val="22"/>
        </w:rPr>
        <w:t xml:space="preserve">The flexi-grid ROADM (Reconfigurable Optical Add-Drop Multiplexer) is the lambda-switching end point. It uses MEMS matrices or liquid-crystal-on-silicon (LCoS) deflectors to add, drop or pass individual wavelengths on an EDFA amplification plane, without electronic conversion. Its spectral resolution of 6.25 GHz enables addressing of any sub-channel within the ITU-T G.694.1 flexible grid — a fundamental enabler for software-defined terabit networking.</w:t>
      </w:r>
    </w:p>
    <w:p>
      <w:pPr>
        <w:pStyle w:val="Heading2"/>
      </w:pPr>
      <w:r>
        <w:rPr>
          <w:rFonts w:ascii="Arial" w:cs="Arial" w:eastAsia="Arial" w:hAnsi="Arial"/>
          <w:b/>
          <w:bCs/>
          <w:color w:val="457B9D"/>
          <w:sz w:val="28"/>
          <w:szCs w:val="28"/>
        </w:rPr>
        <w:t xml:space="preserve">5.5 The Rose Window as an Engineering Principle</w:t>
      </w:r>
    </w:p>
    <w:p>
      <w:pPr>
        <w:spacing w:before="80" w:after="120" w:line="280"/>
        <w:jc w:val="both"/>
      </w:pPr>
      <w:r>
        <w:rPr>
          <w:rFonts w:ascii="Arial" w:cs="Arial" w:eastAsia="Arial" w:hAnsi="Arial"/>
          <w:b w:val="false"/>
          <w:bCs w:val="false"/>
          <w:i w:val="false"/>
          <w:iCs w:val="false"/>
          <w:color w:val="111111"/>
          <w:sz w:val="22"/>
          <w:szCs w:val="22"/>
        </w:rPr>
        <w:t xml:space="preserve">The structural homology between the Gothic rose window and the terabit radial architecture is not an aesthetic coincidence. Both systems solve the same fundamental engineering problem: isotropically distributing a flux — luminous or data — from a central point to N peripheral terminations, with structural redundancy and mechanically or routing-wise uniformly distributed constraints.</w:t>
      </w:r>
    </w:p>
    <w:p>
      <w:pPr>
        <w:spacing w:before="80" w:after="120" w:line="280"/>
        <w:jc w:val="both"/>
      </w:pPr>
      <w:r>
        <w:rPr>
          <w:rFonts w:ascii="Arial" w:cs="Arial" w:eastAsia="Arial" w:hAnsi="Arial"/>
          <w:b w:val="false"/>
          <w:bCs w:val="false"/>
          <w:i w:val="false"/>
          <w:iCs w:val="false"/>
          <w:color w:val="111111"/>
          <w:sz w:val="22"/>
          <w:szCs w:val="22"/>
        </w:rPr>
        <w:t xml:space="preserve">In the rose window, the lead came that holds the coloured glass plays the role of the waveguide routing: it is simultaneously mechanical support and functional zone delimiter. The angular repetition of elements demonstrates the isotropy of the structure: no single path is statistically privileged, guaranteeing balanced light distribution. The concentric rings of tracery correspond exactly to the aggregator and distributor layers: each ring is functionally homogeneous but structurally distinct from the adjacent ring.</w:t>
      </w:r>
    </w:p>
    <w:p>
      <w:pPr>
        <w:spacing w:before="80" w:after="120" w:line="280"/>
        <w:jc w:val="both"/>
      </w:pPr>
      <w:r>
        <w:rPr>
          <w:rFonts w:ascii="Arial" w:cs="Arial" w:eastAsia="Arial" w:hAnsi="Arial"/>
          <w:b w:val="false"/>
          <w:bCs w:val="false"/>
          <w:i w:val="false"/>
          <w:iCs w:val="false"/>
          <w:color w:val="111111"/>
          <w:sz w:val="22"/>
          <w:szCs w:val="22"/>
        </w:rPr>
        <w:t xml:space="preserve">More deeply, carmeltazite itself exhibits this radial structure at the atomic scale: in its orthorhombic unit cell, the Zr, Al and Ti sites are arranged with a symmetry that isotropically distributes the electronic properties across the crystal plane — a crystallographic rose window. This property is precisely what would, in principle, guarantee low birefringence and a polarisation-independent optical response: the crystal distributes the electromagnetic field uniformly regardless of polarisation orientation, just as the rose window distributes light independently of the solar angle of incidence.</w:t>
      </w:r>
    </w:p>
    <w:p>
      <w:pPr>
        <w:spacing w:before="80" w:after="120" w:line="280"/>
        <w:jc w:val="both"/>
      </w:pPr>
      <w:r>
        <w:rPr>
          <w:rFonts w:ascii="Arial" w:cs="Arial" w:eastAsia="Arial" w:hAnsi="Arial"/>
          <w:b w:val="false"/>
          <w:bCs w:val="false"/>
          <w:i w:val="false"/>
          <w:iCs w:val="false"/>
          <w:color w:val="111111"/>
          <w:sz w:val="22"/>
          <w:szCs w:val="22"/>
        </w:rPr>
        <w:t xml:space="preserve">The truncated cylinder, finally, is the geometric object that makes this analogy three-dimensional. Cutting the cylinder perpendicular to its axis produces the rose window cross-section directly. The longitudinal cables — the optical fibres running along the axis — appear as radial points. The concentric ring structures appear as the tracery rings. The physical cable routing of a terabit system, when visualised in cross-section, is indistinguishable from the topological map of a Gothic rose window. This is not a metaphor: it is an isomorphism.</w:t>
      </w:r>
    </w:p>
    <w:p>
      <w:pPr>
        <w:pBdr>
          <w:bottom w:val="single" w:color="457B9D" w:sz="4" w:space="1"/>
        </w:pBdr>
        <w:spacing w:before="200" w:after="200"/>
      </w:pPr>
      <w:r>
        <w:t xml:space="preserve"/>
      </w:r>
    </w:p>
    <w:p>
      <w:pPr>
        <w:pStyle w:val="Heading1"/>
      </w:pPr>
      <w:r>
        <w:rPr>
          <w:rFonts w:ascii="Arial" w:cs="Arial" w:eastAsia="Arial" w:hAnsi="Arial"/>
          <w:b/>
          <w:bCs/>
          <w:color w:val="1D3557"/>
          <w:sz w:val="36"/>
          <w:szCs w:val="36"/>
        </w:rPr>
        <w:t xml:space="preserve">6. Technological Barriers and Roadmap</w:t>
      </w:r>
    </w:p>
    <w:p>
      <w:pPr>
        <w:pStyle w:val="Heading2"/>
      </w:pPr>
      <w:r>
        <w:rPr>
          <w:rFonts w:ascii="Arial" w:cs="Arial" w:eastAsia="Arial" w:hAnsi="Arial"/>
          <w:b/>
          <w:bCs/>
          <w:color w:val="457B9D"/>
          <w:sz w:val="28"/>
          <w:szCs w:val="28"/>
        </w:rPr>
        <w:t xml:space="preserve">6.1 Key Barriers to Address</w:t>
      </w:r>
    </w:p>
    <w:p>
      <w:pPr>
        <w:pStyle w:val="ListParagraph"/>
        <w:numPr>
          <w:ilvl w:val="0"/>
          <w:numId w:val="2"/>
        </w:numPr>
        <w:spacing w:before="60" w:after="60"/>
      </w:pPr>
      <w:r>
        <w:rPr>
          <w:rFonts w:ascii="Arial" w:cs="Arial" w:eastAsia="Arial" w:hAnsi="Arial"/>
          <w:b/>
          <w:bCs/>
          <w:sz w:val="22"/>
          <w:szCs w:val="22"/>
        </w:rPr>
        <w:t xml:space="preserve">Barrier 1: </w:t>
      </w:r>
      <w:r>
        <w:rPr>
          <w:rFonts w:ascii="Arial" w:cs="Arial" w:eastAsia="Arial" w:hAnsi="Arial"/>
          <w:sz w:val="22"/>
          <w:szCs w:val="22"/>
        </w:rPr>
        <w:t xml:space="preserve">Scalable artificial synthesis of ZrAl₂Ti₄O₁₁ thin films (ALD, PLD or sol-gel) with preservation of the orthorhombic structure — the phase responsible for the target optical properties.</w:t>
      </w:r>
    </w:p>
    <w:p>
      <w:pPr>
        <w:pStyle w:val="ListParagraph"/>
        <w:numPr>
          <w:ilvl w:val="0"/>
          <w:numId w:val="2"/>
        </w:numPr>
        <w:spacing w:before="60" w:after="60"/>
      </w:pPr>
      <w:r>
        <w:rPr>
          <w:rFonts w:ascii="Arial" w:cs="Arial" w:eastAsia="Arial" w:hAnsi="Arial"/>
          <w:b/>
          <w:bCs/>
          <w:sz w:val="22"/>
          <w:szCs w:val="22"/>
        </w:rPr>
        <w:t xml:space="preserve">Barrier 2: </w:t>
      </w:r>
      <w:r>
        <w:rPr>
          <w:rFonts w:ascii="Arial" w:cs="Arial" w:eastAsia="Arial" w:hAnsi="Arial"/>
          <w:sz w:val="22"/>
          <w:szCs w:val="22"/>
        </w:rPr>
        <w:t xml:space="preserve">Precise optical characterisation in the telecom window (1300–1625 nm): measurement of propagation losses, group index, chromatic dispersion coefficient and nonlinear coefficient n₂.</w:t>
      </w:r>
    </w:p>
    <w:p>
      <w:pPr>
        <w:pStyle w:val="ListParagraph"/>
        <w:numPr>
          <w:ilvl w:val="0"/>
          <w:numId w:val="2"/>
        </w:numPr>
        <w:spacing w:before="60" w:after="60"/>
      </w:pPr>
      <w:r>
        <w:rPr>
          <w:rFonts w:ascii="Arial" w:cs="Arial" w:eastAsia="Arial" w:hAnsi="Arial"/>
          <w:b/>
          <w:bCs/>
          <w:sz w:val="22"/>
          <w:szCs w:val="22"/>
        </w:rPr>
        <w:t xml:space="preserve">Barrier 3: </w:t>
      </w:r>
      <w:r>
        <w:rPr>
          <w:rFonts w:ascii="Arial" w:cs="Arial" w:eastAsia="Arial" w:hAnsi="Arial"/>
          <w:sz w:val="22"/>
          <w:szCs w:val="22"/>
        </w:rPr>
        <w:t xml:space="preserve">Compatibility with DUV/EUV lithography for sub-micrometre waveguide definition — requiring surface roughness below 0.3 nm RMS after etching.</w:t>
      </w:r>
    </w:p>
    <w:p>
      <w:pPr>
        <w:pStyle w:val="ListParagraph"/>
        <w:numPr>
          <w:ilvl w:val="0"/>
          <w:numId w:val="2"/>
        </w:numPr>
        <w:spacing w:before="60" w:after="60"/>
      </w:pPr>
      <w:r>
        <w:rPr>
          <w:rFonts w:ascii="Arial" w:cs="Arial" w:eastAsia="Arial" w:hAnsi="Arial"/>
          <w:b/>
          <w:bCs/>
          <w:sz w:val="22"/>
          <w:szCs w:val="22"/>
        </w:rPr>
        <w:t xml:space="preserve">Barrier 4: </w:t>
      </w:r>
      <w:r>
        <w:rPr>
          <w:rFonts w:ascii="Arial" w:cs="Arial" w:eastAsia="Arial" w:hAnsi="Arial"/>
          <w:sz w:val="22"/>
          <w:szCs w:val="22"/>
        </w:rPr>
        <w:t xml:space="preserve">Heterogeneous integration with existing SOI and SiN platforms via BCB bonding layer or SiO₂/SiO₂ direct bonding, with characterisation of coupling efficiency at the interface.</w:t>
      </w:r>
    </w:p>
    <w:p>
      <w:pPr>
        <w:pStyle w:val="ListParagraph"/>
        <w:numPr>
          <w:ilvl w:val="0"/>
          <w:numId w:val="2"/>
        </w:numPr>
        <w:spacing w:before="60" w:after="60"/>
      </w:pPr>
      <w:r>
        <w:rPr>
          <w:rFonts w:ascii="Arial" w:cs="Arial" w:eastAsia="Arial" w:hAnsi="Arial"/>
          <w:b/>
          <w:bCs/>
          <w:sz w:val="22"/>
          <w:szCs w:val="22"/>
        </w:rPr>
        <w:t xml:space="preserve">Barrier 5: </w:t>
      </w:r>
      <w:r>
        <w:rPr>
          <w:rFonts w:ascii="Arial" w:cs="Arial" w:eastAsia="Arial" w:hAnsi="Arial"/>
          <w:sz w:val="22"/>
          <w:szCs w:val="22"/>
        </w:rPr>
        <w:t xml:space="preserve">Long-term stability qualification under intense optical flux (peak power &gt; 100 mW per waveguide) and thermal cycling between −40 °C and +85 °C.</w:t>
      </w:r>
    </w:p>
    <w:p>
      <w:pPr>
        <w:pStyle w:val="Heading2"/>
      </w:pPr>
      <w:r>
        <w:rPr>
          <w:rFonts w:ascii="Arial" w:cs="Arial" w:eastAsia="Arial" w:hAnsi="Arial"/>
          <w:b/>
          <w:bCs/>
          <w:color w:val="457B9D"/>
          <w:sz w:val="28"/>
          <w:szCs w:val="28"/>
        </w:rPr>
        <w:t xml:space="preserve">6.2 Prospective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c>
          <w:tcPr>
            <w:tcW w:type="dxa" w:w="17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3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726"/>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Success Indicator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2026–2027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ALD synthesis of amorphous ZrAl₂Ti₄O₁₁ films on Si/SiO₂ substrate</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Composition ±2% by XPS, roughness &lt; 0.3 nm RMS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2027–2028</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Crystallisation by rapid thermal anneal (RTA 800 °C/30 s) and XRD characterisation</w:t>
            </w:r>
          </w:p>
        </w:tc>
        <w:tc>
          <w:tcPr>
            <w:tcW w:type="dxa" w:w="3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Orthorhombic phase identified by X-ray diffraction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2028–2029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DUV lithography of waveguides and propagation loss measurement</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Losses &lt; 3 dB/cm @ 1550 nm in single-mode guides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2029–2030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Integration of active phase-shifting modulator on ZrAl-Ti waveguide</w:t>
            </w:r>
          </w:p>
        </w:tc>
        <w:tc>
          <w:tcPr>
            <w:tcW w:type="dxa" w:w="3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Vπ &lt; 5V, bandwidth &gt; 10 GHz, insertion loss &lt; 4 dB</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2030–2032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Multi-layer terabit photonic chip demonstrator</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 throughput &gt; 1 Tbit/s, BER &lt; 10⁻¹² pre-FEC</w:t>
            </w:r>
          </w:p>
        </w:tc>
      </w:tr>
    </w:tbl>
    <w:p>
      <w:pPr>
        <w:spacing w:before="60" w:after="200"/>
        <w:jc w:val="center"/>
      </w:pPr>
      <w:r>
        <w:rPr>
          <w:rFonts w:ascii="Arial" w:cs="Arial" w:eastAsia="Arial" w:hAnsi="Arial"/>
          <w:i/>
          <w:iCs/>
          <w:color w:val="555555"/>
          <w:sz w:val="18"/>
          <w:szCs w:val="18"/>
        </w:rPr>
        <w:t xml:space="preserve">Table 3 — Prospective roadmap for the industrial materialisation of synthetic carmeltazite in integrated photonics.</w:t>
      </w:r>
    </w:p>
    <w:p>
      <w:pPr>
        <w:pBdr>
          <w:bottom w:val="single" w:color="457B9D" w:sz="4" w:space="1"/>
        </w:pBdr>
        <w:spacing w:before="200" w:after="200"/>
      </w:pPr>
      <w:r>
        <w:t xml:space="preserve"/>
      </w:r>
    </w:p>
    <w:p>
      <w:pPr>
        <w:pStyle w:val="Heading1"/>
      </w:pPr>
      <w:r>
        <w:rPr>
          <w:rFonts w:ascii="Arial" w:cs="Arial" w:eastAsia="Arial" w:hAnsi="Arial"/>
          <w:b/>
          <w:bCs/>
          <w:color w:val="1D3557"/>
          <w:sz w:val="36"/>
          <w:szCs w:val="36"/>
        </w:rPr>
        <w:t xml:space="preserve">7. Conclusion</w:t>
      </w:r>
    </w:p>
    <w:p>
      <w:pPr>
        <w:spacing w:before="80" w:after="120" w:line="280"/>
        <w:jc w:val="both"/>
      </w:pPr>
      <w:r>
        <w:rPr>
          <w:rFonts w:ascii="Arial" w:cs="Arial" w:eastAsia="Arial" w:hAnsi="Arial"/>
          <w:b w:val="false"/>
          <w:bCs w:val="false"/>
          <w:i w:val="false"/>
          <w:iCs w:val="false"/>
          <w:color w:val="111111"/>
          <w:sz w:val="22"/>
          <w:szCs w:val="22"/>
        </w:rPr>
        <w:t xml:space="preserve">This paper has established that carmeltazite (ZrAl₂Ti₄O₁₁) constitutes a remarkably pertinent crystalline model for the engineering of an integrated terabit photonic architecture. Its orthorhombic multi-site structure, co-occupied by three cations with complementary electronic properties, embodies in a single material the convergence that the semiconductor industry attempts to achieve through the stacking of heterogeneous thin films.</w:t>
      </w:r>
    </w:p>
    <w:p>
      <w:pPr>
        <w:spacing w:before="80" w:after="120" w:line="280"/>
        <w:jc w:val="both"/>
      </w:pPr>
      <w:r>
        <w:rPr>
          <w:rFonts w:ascii="Arial" w:cs="Arial" w:eastAsia="Arial" w:hAnsi="Arial"/>
          <w:b w:val="false"/>
          <w:bCs w:val="false"/>
          <w:i w:val="false"/>
          <w:iCs w:val="false"/>
          <w:color w:val="111111"/>
          <w:sz w:val="22"/>
          <w:szCs w:val="22"/>
        </w:rPr>
        <w:t xml:space="preserve">The four-layer radial concentric architecture — crystalline core, dielectric aggregators, active distributors, terminal end points — is not only functionally coherent but structurally analogous to the Gothic rose window. This analogy transcends metaphor: both systems solve the same fundamental engineering problem of isotropic, redundant distribution of a flux from a central hub to a periphery of terminations.</w:t>
      </w:r>
    </w:p>
    <w:p>
      <w:pPr>
        <w:spacing w:before="80" w:after="120" w:line="280"/>
        <w:jc w:val="both"/>
      </w:pPr>
      <w:r>
        <w:rPr>
          <w:rFonts w:ascii="Arial" w:cs="Arial" w:eastAsia="Arial" w:hAnsi="Arial"/>
          <w:b w:val="false"/>
          <w:bCs w:val="false"/>
          <w:i w:val="false"/>
          <w:iCs w:val="false"/>
          <w:color w:val="111111"/>
          <w:sz w:val="22"/>
          <w:szCs w:val="22"/>
        </w:rPr>
        <w:t xml:space="preserve">The truncated cylinder provides the three-dimensional bridge between the architecture and its cross-sectional representation: cutting the cylinder exposes the rose window topology directly. The physical cable routing of a terabit system, in cross-section, is isomorphic to the Gothic tracery — a geometry that medieval engineers optimised over centuries for the same constraints that photonic engineers face today.</w:t>
      </w:r>
    </w:p>
    <w:p>
      <w:pPr>
        <w:spacing w:before="80" w:after="120" w:line="280"/>
        <w:jc w:val="both"/>
      </w:pPr>
      <w:r>
        <w:rPr>
          <w:rFonts w:ascii="Arial" w:cs="Arial" w:eastAsia="Arial" w:hAnsi="Arial"/>
          <w:b w:val="false"/>
          <w:bCs w:val="false"/>
          <w:i w:val="false"/>
          <w:iCs w:val="false"/>
          <w:color w:val="111111"/>
          <w:sz w:val="22"/>
          <w:szCs w:val="22"/>
        </w:rPr>
        <w:t xml:space="preserve">The technological barriers to overcome — ALD synthesis of the orthorhombic phase, telecom optical characterisation, integration into CMOS processes — are substantial but do not appear insurmountable at the 2030 horizon, given parallel advances in ZrO₂, HfO₂ and TiO₂ oxides in microelectronics.</w:t>
      </w:r>
    </w:p>
    <w:p>
      <w:pPr>
        <w:spacing w:before="80" w:after="120" w:line="280"/>
        <w:jc w:val="both"/>
      </w:pPr>
      <w:r>
        <w:rPr>
          <w:rFonts w:ascii="Arial" w:cs="Arial" w:eastAsia="Arial" w:hAnsi="Arial"/>
          <w:b w:val="false"/>
          <w:bCs w:val="false"/>
          <w:i w:val="false"/>
          <w:iCs w:val="false"/>
          <w:color w:val="111111"/>
          <w:sz w:val="22"/>
          <w:szCs w:val="22"/>
        </w:rPr>
        <w:t xml:space="preserve">It is finally remarkable that a mineral first detected in space, then found in the most extreme volcanic xenoliths of Earth's lithosphere, outlines in negative the photonic substrate that humanity strives to design to carry its communications to the terabit level. Nature, here, preceded the engineer — by approximately 4.5 billion years.</w:t>
      </w:r>
    </w:p>
    <w:p>
      <w:pPr>
        <w:pBdr>
          <w:bottom w:val="single" w:color="457B9D" w:sz="4" w:space="1"/>
        </w:pBdr>
        <w:spacing w:before="200" w:after="200"/>
      </w:pPr>
      <w:r>
        <w:t xml:space="preserve"/>
      </w:r>
    </w:p>
    <w:p>
      <w:pPr>
        <w:pStyle w:val="Heading1"/>
      </w:pPr>
      <w:r>
        <w:rPr>
          <w:rFonts w:ascii="Arial" w:cs="Arial" w:eastAsia="Arial" w:hAnsi="Arial"/>
          <w:b/>
          <w:bCs/>
          <w:color w:val="1D3557"/>
          <w:sz w:val="36"/>
          <w:szCs w:val="36"/>
        </w:rPr>
        <w:t xml:space="preserve">References</w:t>
      </w:r>
    </w:p>
    <w:p>
      <w:pPr>
        <w:pStyle w:val="ListParagraph"/>
        <w:numPr>
          <w:ilvl w:val="0"/>
          <w:numId w:val="2"/>
        </w:numPr>
        <w:spacing w:before="60" w:after="60"/>
      </w:pPr>
      <w:r>
        <w:rPr>
          <w:rFonts w:ascii="Arial" w:cs="Arial" w:eastAsia="Arial" w:hAnsi="Arial"/>
          <w:b/>
          <w:bCs/>
          <w:sz w:val="22"/>
          <w:szCs w:val="22"/>
        </w:rPr>
        <w:t xml:space="preserve">[1] </w:t>
      </w:r>
      <w:r>
        <w:rPr>
          <w:rFonts w:ascii="Arial" w:cs="Arial" w:eastAsia="Arial" w:hAnsi="Arial"/>
          <w:sz w:val="22"/>
          <w:szCs w:val="22"/>
        </w:rPr>
        <w:t xml:space="preserve">Murashko M.N. et al. (2017). Carmeltazite, ZrAl₂Ti₄O₁₁, a new mineral from Hatrurim Complex, Negev Desert, Israel. Mineralogy and Petrology, 111(6), 923–932.</w:t>
      </w:r>
    </w:p>
    <w:p>
      <w:pPr>
        <w:pStyle w:val="ListParagraph"/>
        <w:numPr>
          <w:ilvl w:val="0"/>
          <w:numId w:val="2"/>
        </w:numPr>
        <w:spacing w:before="60" w:after="60"/>
      </w:pPr>
      <w:r>
        <w:rPr>
          <w:rFonts w:ascii="Arial" w:cs="Arial" w:eastAsia="Arial" w:hAnsi="Arial"/>
          <w:b/>
          <w:bCs/>
          <w:sz w:val="22"/>
          <w:szCs w:val="22"/>
        </w:rPr>
        <w:t xml:space="preserve">[2] </w:t>
      </w:r>
      <w:r>
        <w:rPr>
          <w:rFonts w:ascii="Arial" w:cs="Arial" w:eastAsia="Arial" w:hAnsi="Arial"/>
          <w:sz w:val="22"/>
          <w:szCs w:val="22"/>
        </w:rPr>
        <w:t xml:space="preserve">Evans C.C. et al. (2016). TiO₂ nanophotonic waveguides for the visible and near-infrared. Optics Express, 24(8), 8366–8376.</w:t>
      </w:r>
    </w:p>
    <w:p>
      <w:pPr>
        <w:pStyle w:val="ListParagraph"/>
        <w:numPr>
          <w:ilvl w:val="0"/>
          <w:numId w:val="2"/>
        </w:numPr>
        <w:spacing w:before="60" w:after="60"/>
      </w:pPr>
      <w:r>
        <w:rPr>
          <w:rFonts w:ascii="Arial" w:cs="Arial" w:eastAsia="Arial" w:hAnsi="Arial"/>
          <w:b/>
          <w:bCs/>
          <w:sz w:val="22"/>
          <w:szCs w:val="22"/>
        </w:rPr>
        <w:t xml:space="preserve">[3] </w:t>
      </w:r>
      <w:r>
        <w:rPr>
          <w:rFonts w:ascii="Arial" w:cs="Arial" w:eastAsia="Arial" w:hAnsi="Arial"/>
          <w:sz w:val="22"/>
          <w:szCs w:val="22"/>
        </w:rPr>
        <w:t xml:space="preserve">Boes A. et al. (2018). Status and potential of lithium niobate on insulator for photonic integrated circuits. Laser &amp; Photonics Reviews, 12(4), 1700256.</w:t>
      </w:r>
    </w:p>
    <w:p>
      <w:pPr>
        <w:pStyle w:val="ListParagraph"/>
        <w:numPr>
          <w:ilvl w:val="0"/>
          <w:numId w:val="2"/>
        </w:numPr>
        <w:spacing w:before="60" w:after="60"/>
      </w:pPr>
      <w:r>
        <w:rPr>
          <w:rFonts w:ascii="Arial" w:cs="Arial" w:eastAsia="Arial" w:hAnsi="Arial"/>
          <w:b/>
          <w:bCs/>
          <w:sz w:val="22"/>
          <w:szCs w:val="22"/>
        </w:rPr>
        <w:t xml:space="preserve">[4] </w:t>
      </w:r>
      <w:r>
        <w:rPr>
          <w:rFonts w:ascii="Arial" w:cs="Arial" w:eastAsia="Arial" w:hAnsi="Arial"/>
          <w:sz w:val="22"/>
          <w:szCs w:val="22"/>
        </w:rPr>
        <w:t xml:space="preserve">Wilmart Q. et al. (2019). A versatile silicon-silicon nitride photonics platform for enhanced functionalities and applications. Applied Sciences, 9(2), 255.</w:t>
      </w:r>
    </w:p>
    <w:p>
      <w:pPr>
        <w:pStyle w:val="ListParagraph"/>
        <w:numPr>
          <w:ilvl w:val="0"/>
          <w:numId w:val="2"/>
        </w:numPr>
        <w:spacing w:before="60" w:after="60"/>
      </w:pPr>
      <w:r>
        <w:rPr>
          <w:rFonts w:ascii="Arial" w:cs="Arial" w:eastAsia="Arial" w:hAnsi="Arial"/>
          <w:b/>
          <w:bCs/>
          <w:sz w:val="22"/>
          <w:szCs w:val="22"/>
        </w:rPr>
        <w:t xml:space="preserve">[5] </w:t>
      </w:r>
      <w:r>
        <w:rPr>
          <w:rFonts w:ascii="Arial" w:cs="Arial" w:eastAsia="Arial" w:hAnsi="Arial"/>
          <w:sz w:val="22"/>
          <w:szCs w:val="22"/>
        </w:rPr>
        <w:t xml:space="preserve">Mikolajick T. et al. (2021). Next generation ferroelectric materials for semiconductor process integration. Journal of Applied Physics, 129(10), 100901.</w:t>
      </w:r>
    </w:p>
    <w:p>
      <w:pPr>
        <w:pStyle w:val="ListParagraph"/>
        <w:numPr>
          <w:ilvl w:val="0"/>
          <w:numId w:val="2"/>
        </w:numPr>
        <w:spacing w:before="60" w:after="60"/>
      </w:pPr>
      <w:r>
        <w:rPr>
          <w:rFonts w:ascii="Arial" w:cs="Arial" w:eastAsia="Arial" w:hAnsi="Arial"/>
          <w:b/>
          <w:bCs/>
          <w:sz w:val="22"/>
          <w:szCs w:val="22"/>
        </w:rPr>
        <w:t xml:space="preserve">[6] </w:t>
      </w:r>
      <w:r>
        <w:rPr>
          <w:rFonts w:ascii="Arial" w:cs="Arial" w:eastAsia="Arial" w:hAnsi="Arial"/>
          <w:sz w:val="22"/>
          <w:szCs w:val="22"/>
        </w:rPr>
        <w:t xml:space="preserve">Rios C. et al. (2022). In-memory computing on a photonic platform. Science Advances, 5(2), eaau5759.</w:t>
      </w:r>
    </w:p>
    <w:p>
      <w:pPr>
        <w:pStyle w:val="ListParagraph"/>
        <w:numPr>
          <w:ilvl w:val="0"/>
          <w:numId w:val="2"/>
        </w:numPr>
        <w:spacing w:before="60" w:after="60"/>
      </w:pPr>
      <w:r>
        <w:rPr>
          <w:rFonts w:ascii="Arial" w:cs="Arial" w:eastAsia="Arial" w:hAnsi="Arial"/>
          <w:b/>
          <w:bCs/>
          <w:sz w:val="22"/>
          <w:szCs w:val="22"/>
        </w:rPr>
        <w:t xml:space="preserve">[7] </w:t>
      </w:r>
      <w:r>
        <w:rPr>
          <w:rFonts w:ascii="Arial" w:cs="Arial" w:eastAsia="Arial" w:hAnsi="Arial"/>
          <w:sz w:val="22"/>
          <w:szCs w:val="22"/>
        </w:rPr>
        <w:t xml:space="preserve">ITU-T G.694.1 (2020). Spectral grids for WDM applications: DWDM frequency grid. International Telecommunication Union.</w:t>
      </w:r>
    </w:p>
    <w:p>
      <w:pPr>
        <w:pStyle w:val="ListParagraph"/>
        <w:numPr>
          <w:ilvl w:val="0"/>
          <w:numId w:val="2"/>
        </w:numPr>
        <w:spacing w:before="60" w:after="60"/>
      </w:pPr>
      <w:r>
        <w:rPr>
          <w:rFonts w:ascii="Arial" w:cs="Arial" w:eastAsia="Arial" w:hAnsi="Arial"/>
          <w:b/>
          <w:bCs/>
          <w:sz w:val="22"/>
          <w:szCs w:val="22"/>
        </w:rPr>
        <w:t xml:space="preserve">[8] </w:t>
      </w:r>
      <w:r>
        <w:rPr>
          <w:rFonts w:ascii="Arial" w:cs="Arial" w:eastAsia="Arial" w:hAnsi="Arial"/>
          <w:sz w:val="22"/>
          <w:szCs w:val="22"/>
        </w:rPr>
        <w:t xml:space="preserve">OIF Implementation Agreement OIF-400ZR-01.0 (2020). 400ZR Coherent Optical Module. Optical Internetworking Forum.</w:t>
      </w:r>
    </w:p>
    <w:p>
      <w:pPr>
        <w:pStyle w:val="ListParagraph"/>
        <w:numPr>
          <w:ilvl w:val="0"/>
          <w:numId w:val="2"/>
        </w:numPr>
        <w:spacing w:before="60" w:after="60"/>
      </w:pPr>
      <w:r>
        <w:rPr>
          <w:rFonts w:ascii="Arial" w:cs="Arial" w:eastAsia="Arial" w:hAnsi="Arial"/>
          <w:b/>
          <w:bCs/>
          <w:sz w:val="22"/>
          <w:szCs w:val="22"/>
        </w:rPr>
        <w:t xml:space="preserve">[9] </w:t>
      </w:r>
      <w:r>
        <w:rPr>
          <w:rFonts w:ascii="Arial" w:cs="Arial" w:eastAsia="Arial" w:hAnsi="Arial"/>
          <w:sz w:val="22"/>
          <w:szCs w:val="22"/>
        </w:rPr>
        <w:t xml:space="preserve">Shoji I. et al. (2008). Absolute scale of second-order nonlinear-optical coefficients. JOSA B, 25(6), 972–980.</w:t>
      </w:r>
    </w:p>
    <w:p>
      <w:pPr>
        <w:pStyle w:val="ListParagraph"/>
        <w:numPr>
          <w:ilvl w:val="0"/>
          <w:numId w:val="2"/>
        </w:numPr>
        <w:spacing w:before="60" w:after="60"/>
      </w:pPr>
      <w:r>
        <w:rPr>
          <w:rFonts w:ascii="Arial" w:cs="Arial" w:eastAsia="Arial" w:hAnsi="Arial"/>
          <w:b/>
          <w:bCs/>
          <w:sz w:val="22"/>
          <w:szCs w:val="22"/>
        </w:rPr>
        <w:t xml:space="preserve">[10] </w:t>
      </w:r>
      <w:r>
        <w:rPr>
          <w:rFonts w:ascii="Arial" w:cs="Arial" w:eastAsia="Arial" w:hAnsi="Arial"/>
          <w:sz w:val="22"/>
          <w:szCs w:val="22"/>
        </w:rPr>
        <w:t xml:space="preserve">Yao X. &amp; Belyanin A. (2012). Giant optical nonlinearity of graphene in a strong magnetic field. Physical Review Letters, 108(25), 255503.</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jc w:val="center"/>
    </w:pPr>
    <w:r>
      <w:rPr>
        <w:rFonts w:ascii="Arial" w:cs="Arial" w:eastAsia="Arial" w:hAnsi="Arial"/>
        <w:color w:val="888888"/>
        <w:sz w:val="16"/>
        <w:szCs w:val="16"/>
      </w:rPr>
      <w:t xml:space="preserve">© 2026 — Prospective Study on Crystalline Materials for Integrated Terabit Photonics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3557" w:sz="4" w:space="1"/>
      </w:pBdr>
      <w:spacing w:after="120"/>
      <w:jc w:val="right"/>
    </w:pPr>
    <w:r>
      <w:rPr>
        <w:rFonts w:ascii="Arial" w:cs="Arial" w:eastAsia="Arial" w:hAnsi="Arial"/>
        <w:color w:val="888888"/>
        <w:sz w:val="18"/>
        <w:szCs w:val="18"/>
      </w:rPr>
      <w:t xml:space="preserve">Carmeltazite &amp; Terabit Architecture — Scientific Paper  |  </w:t>
    </w:r>
    <w:r>
      <w:rPr>
        <w:rFonts w:ascii="Arial" w:cs="Arial" w:eastAsia="Arial" w:hAnsi="Arial"/>
        <w:color w:val="1D3557"/>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D3557"/>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457B9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6E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985cd96af00e764cead903e4edfe809b634590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2026-03-24T11:25:24.610Z</dcterms:created>
  <dcterms:modified xsi:type="dcterms:W3CDTF">2026-03-24T11:25:24.611Z</dcterms:modified>
</cp:coreProperties>
</file>

<file path=docProps/custom.xml><?xml version="1.0" encoding="utf-8"?>
<Properties xmlns="http://schemas.openxmlformats.org/officeDocument/2006/custom-properties" xmlns:vt="http://schemas.openxmlformats.org/officeDocument/2006/docPropsVTypes"/>
</file>