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Fournisseurs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1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Saisir un fournisseur (identifiant SIREN/SIRET, adresse, activité, au moins un contact : nom, n° téléphone)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un fournisseur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un fournisseur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un fournisseur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Commandes fournisseur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Saisir une commande (produit (nourriture animaux..), quantité)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commande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une commande si non validée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Validation commande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Envoyer commande à la comptabilité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Envoi de la commande par mail directement au fournisseur</w:t>
        <w:br w:type="textWrapping"/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Salariés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salarié (Etat civil, situation familiale, emploi, horaires, diplômes, qualification, formation, identifiant , mdp)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salarié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salarié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salarié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Clients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un client (nom, prénom, adresse, téléphone, adresse mail)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un client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un client(supprimer son compte sur le site)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un client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Pointages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Pouvoir se pointer en scannant sa carte (salarié)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Accès à une liste des employés pour voir s’ils ont pointé à la machine, et à quelle heure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Statistiques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 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Statistiques concernant la fréquentation du parc (nombre de visiteurs par jour, mois...)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 pour la fréquentation du site web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Statistiques fiabilité du matériel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 concernant la facturation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Statistiques concernant le chiffre d’affaires (par poste, montant billet/repas)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Statistiques concernant la consommation de nourriture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Prévisionnel de visites par jour (se basant sur les deux dernières années)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Stock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 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Saisir un produit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un produit : accès au nombre de produits en stock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un produit (description, mais aussi quantité en stock)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un produit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Matériel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materiel (Nom, utilisateur : salarié, état)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matériel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matériel (État -&gt; “Bon” ou “à remplacer”, utilisateur)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matériel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Interventions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intervention (créer bon intervention, équipe intervention, machine)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intervention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Consulter intervention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Planifier intervention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Valider une intervention (rapport, facture)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Maintenances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Suivre les interventions (planning)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Suivre les équipes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maintenance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maintenance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maintenance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Contrats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un contrat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un contrat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un contrat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Supprimer un contrat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Historique des contrats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Inscription internet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un compte (information d’état civil, contact, adresse, notion de famille, âge, sexe, dates de venue)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Proposer des offres promotionnelles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Paiement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Payer une facture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Rechercher une facture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Payer salaire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  <w:i w:val="1"/>
          <w:color w:val="666666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1"/>
          <w:szCs w:val="21"/>
          <w:highlight w:val="white"/>
          <w:u w:val="single"/>
          <w:rtl w:val="0"/>
        </w:rPr>
        <w:t xml:space="preserve">Tarif : use case ajouté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Modifier les tarifs (saison, groupe, famille)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Billetterie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 connecter (client enregistré ou client anonyme)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Retirer des billets pré-achetés en ligne (Nécessité d’un compte client)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Créer un achat de billets et accéder au paiement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Obtenir un remboursement de billet -&gt; cahier des charges 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color w:val="ff000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u w:val="single"/>
          <w:rtl w:val="0"/>
        </w:rPr>
        <w:t xml:space="preserve">Restauration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CAHIER DES CHARGES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Accéder au nombre de couverts du jour avec les gains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Accéder aux commandes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