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FCB12" w14:textId="77777777" w:rsidR="00C65379" w:rsidRDefault="003C57BC" w:rsidP="009F72E4">
      <w:pPr>
        <w:pStyle w:val="Heading1"/>
      </w:pPr>
      <w:r>
        <w:t>Conflicts in the equal method from Simple Feature Access</w:t>
      </w:r>
    </w:p>
    <w:p w14:paraId="7FBE2024" w14:textId="77777777" w:rsidR="009F72E4" w:rsidRDefault="00BB4380" w:rsidP="009F72E4">
      <w:r>
        <w:t xml:space="preserve">One interesting issue has raised during the development of the </w:t>
      </w:r>
      <w:proofErr w:type="spellStart"/>
      <w:r>
        <w:t>GeoSPARQL’s</w:t>
      </w:r>
      <w:proofErr w:type="spellEnd"/>
      <w:r>
        <w:t xml:space="preserve"> geometry topology extension-the relate query function. When we testing the relate function, one synthetic RDF data is used to verify the precision of the function. </w:t>
      </w:r>
      <w:r w:rsidR="0085052B">
        <w:t xml:space="preserve">Since previously we have successfully tested all the functionalities of the topological functions from the three relation families, therefore, the test of relate function is initially designed to reuse the queries in those tests but using the relate function. For example, </w:t>
      </w:r>
      <w:r w:rsidR="009F72E4">
        <w:fldChar w:fldCharType="begin"/>
      </w:r>
      <w:r w:rsidR="009F72E4">
        <w:instrText xml:space="preserve"> REF _Ref466757669 \h </w:instrText>
      </w:r>
      <w:r w:rsidR="009F72E4">
        <w:fldChar w:fldCharType="separate"/>
      </w:r>
      <w:r w:rsidR="009F72E4">
        <w:t xml:space="preserve">Figure </w:t>
      </w:r>
      <w:r w:rsidR="009F72E4">
        <w:rPr>
          <w:noProof/>
        </w:rPr>
        <w:t>1</w:t>
      </w:r>
      <w:r w:rsidR="009F72E4">
        <w:fldChar w:fldCharType="end"/>
      </w:r>
      <w:r w:rsidR="009F72E4">
        <w:t xml:space="preserve"> demonstrates the query for testing the </w:t>
      </w:r>
      <w:proofErr w:type="spellStart"/>
      <w:r w:rsidR="009F72E4">
        <w:t>sfEquals</w:t>
      </w:r>
      <w:proofErr w:type="spellEnd"/>
      <w:r w:rsidR="009F72E4">
        <w:t xml:space="preserve"> query function.</w:t>
      </w:r>
    </w:p>
    <w:p w14:paraId="3BE40488" w14:textId="77777777" w:rsidR="009F72E4" w:rsidRDefault="009F72E4" w:rsidP="009F72E4">
      <w:r w:rsidRPr="009F72E4">
        <w:drawing>
          <wp:inline distT="0" distB="0" distL="0" distR="0" wp14:anchorId="1D36B9AC" wp14:editId="577DCF07">
            <wp:extent cx="5727700" cy="114744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1147445"/>
                    </a:xfrm>
                    <a:prstGeom prst="rect">
                      <a:avLst/>
                    </a:prstGeom>
                  </pic:spPr>
                </pic:pic>
              </a:graphicData>
            </a:graphic>
          </wp:inline>
        </w:drawing>
      </w:r>
    </w:p>
    <w:p w14:paraId="358EAE32" w14:textId="77777777" w:rsidR="009F72E4" w:rsidRDefault="009F72E4" w:rsidP="009F72E4">
      <w:pPr>
        <w:pStyle w:val="Caption"/>
      </w:pPr>
      <w:bookmarkStart w:id="0" w:name="_Ref466757669"/>
      <w:r>
        <w:t xml:space="preserve">Figure </w:t>
      </w:r>
      <w:fldSimple w:instr=" SEQ Figure \* ARABIC ">
        <w:r w:rsidR="00706CDA">
          <w:rPr>
            <w:noProof/>
          </w:rPr>
          <w:t>1</w:t>
        </w:r>
      </w:fldSimple>
      <w:bookmarkEnd w:id="0"/>
      <w:r>
        <w:t xml:space="preserve">: The query for testing the </w:t>
      </w:r>
      <w:proofErr w:type="spellStart"/>
      <w:r>
        <w:t>sfEquals</w:t>
      </w:r>
      <w:proofErr w:type="spellEnd"/>
      <w:r>
        <w:t xml:space="preserve"> query function.</w:t>
      </w:r>
    </w:p>
    <w:p w14:paraId="3DBD975F" w14:textId="77777777" w:rsidR="00706CDA" w:rsidRDefault="009F72E4" w:rsidP="009F72E4">
      <w:r>
        <w:t xml:space="preserve">Then, when using this query to test the relate function, just simply replace the function URI, and then add the extra parameter for relate function-the intersection matrix. </w:t>
      </w:r>
      <w:r w:rsidR="00706CDA">
        <w:fldChar w:fldCharType="begin"/>
      </w:r>
      <w:r w:rsidR="00706CDA">
        <w:instrText xml:space="preserve"> REF _Ref466758067 \h </w:instrText>
      </w:r>
      <w:r w:rsidR="00706CDA">
        <w:fldChar w:fldCharType="separate"/>
      </w:r>
      <w:r w:rsidR="00706CDA">
        <w:t xml:space="preserve">Figure </w:t>
      </w:r>
      <w:r w:rsidR="00706CDA">
        <w:rPr>
          <w:noProof/>
        </w:rPr>
        <w:t>2</w:t>
      </w:r>
      <w:r w:rsidR="00706CDA">
        <w:fldChar w:fldCharType="end"/>
      </w:r>
      <w:r w:rsidR="00706CDA">
        <w:t xml:space="preserve"> shows the corresponding query for testing the relate function using the </w:t>
      </w:r>
      <w:r w:rsidR="00706CDA" w:rsidRPr="00706CDA">
        <w:t>intersection matrix "TFFFTFFFT", which is the intersection matrix for simple feature equals.</w:t>
      </w:r>
    </w:p>
    <w:p w14:paraId="2D64DDDF" w14:textId="77777777" w:rsidR="00932C61" w:rsidRDefault="00932C61" w:rsidP="009F72E4">
      <w:r w:rsidRPr="00932C61">
        <w:drawing>
          <wp:inline distT="0" distB="0" distL="0" distR="0" wp14:anchorId="23ED83D4" wp14:editId="69E7181B">
            <wp:extent cx="5727700" cy="115252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152525"/>
                    </a:xfrm>
                    <a:prstGeom prst="rect">
                      <a:avLst/>
                    </a:prstGeom>
                  </pic:spPr>
                </pic:pic>
              </a:graphicData>
            </a:graphic>
          </wp:inline>
        </w:drawing>
      </w:r>
    </w:p>
    <w:p w14:paraId="11A07CFF" w14:textId="77777777" w:rsidR="00706CDA" w:rsidRDefault="00706CDA" w:rsidP="00706CDA">
      <w:pPr>
        <w:pStyle w:val="Caption"/>
      </w:pPr>
      <w:bookmarkStart w:id="1" w:name="_Ref466758067"/>
      <w:r>
        <w:t xml:space="preserve">Figure </w:t>
      </w:r>
      <w:fldSimple w:instr=" SEQ Figure \* ARABIC ">
        <w:r>
          <w:rPr>
            <w:noProof/>
          </w:rPr>
          <w:t>2</w:t>
        </w:r>
      </w:fldSimple>
      <w:bookmarkEnd w:id="1"/>
      <w:r>
        <w:t xml:space="preserve">: The modified query for testing the relate function using the intersection matrix "TFFFTFFFT", which is the </w:t>
      </w:r>
      <w:r w:rsidRPr="0006086F">
        <w:t>intersection matrix</w:t>
      </w:r>
      <w:r>
        <w:t xml:space="preserve"> for simple feature equals.</w:t>
      </w:r>
    </w:p>
    <w:p w14:paraId="54E7F2F7" w14:textId="77777777" w:rsidR="00706CDA" w:rsidRDefault="00706CDA" w:rsidP="00706CDA">
      <w:r>
        <w:t>Ideally,</w:t>
      </w:r>
      <w:r w:rsidR="00FA467E">
        <w:t xml:space="preserve"> </w:t>
      </w:r>
      <w:r w:rsidR="00467BA0">
        <w:t>all the</w:t>
      </w:r>
      <w:r w:rsidR="00FA467E">
        <w:t xml:space="preserve"> modified queries</w:t>
      </w:r>
      <w:r w:rsidR="00467BA0">
        <w:t>, which are captured from the queries for testing topological functions from the three relation families,</w:t>
      </w:r>
      <w:r>
        <w:t xml:space="preserve"> </w:t>
      </w:r>
      <w:r w:rsidR="00932C61">
        <w:t>should have a same result</w:t>
      </w:r>
      <w:r w:rsidR="00F53E46">
        <w:t xml:space="preserve">. </w:t>
      </w:r>
      <w:r w:rsidR="00467BA0">
        <w:t>Although the test results for testing polygon (</w:t>
      </w:r>
      <w:proofErr w:type="spellStart"/>
      <w:r w:rsidR="00467BA0">
        <w:t>polygon</w:t>
      </w:r>
      <w:proofErr w:type="spellEnd"/>
      <w:r w:rsidR="00467BA0">
        <w:t xml:space="preserve"> to all geometry types) and line string (line string to all geometry types) are exactly same as the results for the topological function tests, the test for point to point scenario is failed as the query from </w:t>
      </w:r>
      <w:r w:rsidR="00467BA0">
        <w:fldChar w:fldCharType="begin"/>
      </w:r>
      <w:r w:rsidR="00467BA0">
        <w:instrText xml:space="preserve"> REF _Ref466758067 \h </w:instrText>
      </w:r>
      <w:r w:rsidR="00467BA0">
        <w:fldChar w:fldCharType="separate"/>
      </w:r>
      <w:r w:rsidR="00467BA0">
        <w:t xml:space="preserve">Figure </w:t>
      </w:r>
      <w:r w:rsidR="00467BA0">
        <w:rPr>
          <w:noProof/>
        </w:rPr>
        <w:t>2</w:t>
      </w:r>
      <w:r w:rsidR="00467BA0">
        <w:fldChar w:fldCharType="end"/>
      </w:r>
      <w:r w:rsidR="00467BA0">
        <w:t xml:space="preserve"> yields no result.</w:t>
      </w:r>
    </w:p>
    <w:p w14:paraId="6160CDA3" w14:textId="77777777" w:rsidR="00467BA0" w:rsidRDefault="00467BA0" w:rsidP="00706CDA">
      <w:r>
        <w:t>After carefully exclude the mistakes and bugs form the program, we finally find out where the problem comes from-the intersection matrix.</w:t>
      </w:r>
      <w:r w:rsidR="001802FC">
        <w:t xml:space="preserve"> According to OGC Simple Feature Access document (</w:t>
      </w:r>
      <w:r w:rsidR="0043277B" w:rsidRPr="0043277B">
        <w:t>Herring</w:t>
      </w:r>
      <w:r w:rsidR="0043277B">
        <w:t xml:space="preserve"> 2011, p. 10)</w:t>
      </w:r>
      <w:r w:rsidR="001802FC">
        <w:t>, “</w:t>
      </w:r>
      <w:r w:rsidR="001802FC" w:rsidRPr="001802FC">
        <w:t>the boundary of a point (the only 0D primitive ob</w:t>
      </w:r>
      <w:r w:rsidR="0043277B">
        <w:t>ject type in geometry) is empty</w:t>
      </w:r>
      <w:r w:rsidR="001802FC">
        <w:t>”</w:t>
      </w:r>
      <w:r w:rsidR="0043277B">
        <w:t xml:space="preserve">. Thus, according to the DE-9IM model, two equal point geometries should have an intersection matrix like the following table, in other words, the intersection matrix of these relation should be “0FFFFFFF2” where “0” stands for 0-dimensional geometry and “2” stands for 2-dimensional geometry. </w:t>
      </w:r>
      <w:r w:rsidR="00852E6E">
        <w:t xml:space="preserve">Since the boundary of point is empty, so their intersection should be empty(False) as well. Nevertheless, the OGC simple feature </w:t>
      </w:r>
      <w:r w:rsidR="003C57BC">
        <w:t xml:space="preserve">access </w:t>
      </w:r>
      <w:r w:rsidR="00852E6E">
        <w:t>explicitly states the intersection matrix for equal</w:t>
      </w:r>
      <w:r w:rsidR="003C57BC">
        <w:t xml:space="preserve"> function</w:t>
      </w:r>
      <w:r w:rsidR="00852E6E">
        <w:t xml:space="preserve"> is “TFFFTFFFT”, which means the two equal geometries should have a same</w:t>
      </w:r>
      <w:r w:rsidR="00852E6E">
        <w:t xml:space="preserve">-and-not-empty </w:t>
      </w:r>
      <w:r w:rsidR="00852E6E">
        <w:t xml:space="preserve">boundary set as well. </w:t>
      </w:r>
    </w:p>
    <w:p w14:paraId="59BDD33C" w14:textId="77777777" w:rsidR="0043277B" w:rsidRDefault="003C57BC" w:rsidP="003C57BC">
      <w:pPr>
        <w:pStyle w:val="Caption"/>
      </w:pPr>
      <w:r>
        <w:lastRenderedPageBreak/>
        <w:t xml:space="preserve">Table </w:t>
      </w:r>
      <w:fldSimple w:instr=" SEQ Table \* ARABIC ">
        <w:r>
          <w:rPr>
            <w:noProof/>
          </w:rPr>
          <w:t>1</w:t>
        </w:r>
      </w:fldSimple>
      <w:r>
        <w:t>: The DE-9IM intersection matrix of two equal points.</w:t>
      </w:r>
    </w:p>
    <w:tbl>
      <w:tblPr>
        <w:tblStyle w:val="TableGrid"/>
        <w:tblW w:w="0" w:type="auto"/>
        <w:tblLayout w:type="fixed"/>
        <w:tblLook w:val="04A0" w:firstRow="1" w:lastRow="0" w:firstColumn="1" w:lastColumn="0" w:noHBand="0" w:noVBand="1"/>
      </w:tblPr>
      <w:tblGrid>
        <w:gridCol w:w="810"/>
        <w:gridCol w:w="1255"/>
        <w:gridCol w:w="2070"/>
        <w:gridCol w:w="2430"/>
        <w:gridCol w:w="2445"/>
      </w:tblGrid>
      <w:tr w:rsidR="0043277B" w14:paraId="14C71FC9" w14:textId="77777777" w:rsidTr="0043277B">
        <w:tc>
          <w:tcPr>
            <w:tcW w:w="2065" w:type="dxa"/>
            <w:gridSpan w:val="2"/>
            <w:vMerge w:val="restart"/>
          </w:tcPr>
          <w:p w14:paraId="625D89A6" w14:textId="77777777" w:rsidR="0043277B" w:rsidRDefault="0043277B" w:rsidP="0043277B">
            <w:pPr>
              <w:jc w:val="center"/>
            </w:pPr>
          </w:p>
        </w:tc>
        <w:tc>
          <w:tcPr>
            <w:tcW w:w="6945" w:type="dxa"/>
            <w:gridSpan w:val="3"/>
          </w:tcPr>
          <w:p w14:paraId="397691E0" w14:textId="77777777" w:rsidR="0043277B" w:rsidRDefault="0043277B" w:rsidP="0043277B">
            <w:pPr>
              <w:jc w:val="center"/>
            </w:pPr>
            <w:r>
              <w:t>Point B</w:t>
            </w:r>
          </w:p>
        </w:tc>
      </w:tr>
      <w:tr w:rsidR="0043277B" w14:paraId="4C302979" w14:textId="77777777" w:rsidTr="0043277B">
        <w:tc>
          <w:tcPr>
            <w:tcW w:w="2065" w:type="dxa"/>
            <w:gridSpan w:val="2"/>
            <w:vMerge/>
          </w:tcPr>
          <w:p w14:paraId="361B1A97" w14:textId="77777777" w:rsidR="0043277B" w:rsidRDefault="0043277B" w:rsidP="0043277B">
            <w:pPr>
              <w:jc w:val="center"/>
            </w:pPr>
          </w:p>
        </w:tc>
        <w:tc>
          <w:tcPr>
            <w:tcW w:w="2070" w:type="dxa"/>
          </w:tcPr>
          <w:p w14:paraId="48D7F204" w14:textId="77777777" w:rsidR="0043277B" w:rsidRDefault="0043277B" w:rsidP="0043277B">
            <w:pPr>
              <w:jc w:val="center"/>
            </w:pPr>
            <w:r>
              <w:t>Interior</w:t>
            </w:r>
          </w:p>
        </w:tc>
        <w:tc>
          <w:tcPr>
            <w:tcW w:w="2430" w:type="dxa"/>
          </w:tcPr>
          <w:p w14:paraId="1F6C5128" w14:textId="77777777" w:rsidR="0043277B" w:rsidRDefault="0043277B" w:rsidP="0043277B">
            <w:pPr>
              <w:jc w:val="center"/>
            </w:pPr>
            <w:r>
              <w:t>Boundary</w:t>
            </w:r>
          </w:p>
        </w:tc>
        <w:tc>
          <w:tcPr>
            <w:tcW w:w="2445" w:type="dxa"/>
          </w:tcPr>
          <w:p w14:paraId="19722CDF" w14:textId="77777777" w:rsidR="0043277B" w:rsidRDefault="0043277B" w:rsidP="0043277B">
            <w:pPr>
              <w:jc w:val="center"/>
            </w:pPr>
            <w:r>
              <w:t>Exterior</w:t>
            </w:r>
          </w:p>
        </w:tc>
      </w:tr>
      <w:tr w:rsidR="0043277B" w14:paraId="606EDCCC" w14:textId="77777777" w:rsidTr="0043277B">
        <w:trPr>
          <w:trHeight w:val="431"/>
        </w:trPr>
        <w:tc>
          <w:tcPr>
            <w:tcW w:w="810" w:type="dxa"/>
            <w:vMerge w:val="restart"/>
          </w:tcPr>
          <w:p w14:paraId="6EB3E537" w14:textId="77777777" w:rsidR="0043277B" w:rsidRDefault="0043277B" w:rsidP="0043277B">
            <w:pPr>
              <w:jc w:val="center"/>
            </w:pPr>
            <w:r>
              <w:t>Point</w:t>
            </w:r>
          </w:p>
          <w:p w14:paraId="066D5C28" w14:textId="77777777" w:rsidR="0043277B" w:rsidRDefault="0043277B" w:rsidP="0043277B">
            <w:pPr>
              <w:jc w:val="center"/>
            </w:pPr>
            <w:r>
              <w:t>A</w:t>
            </w:r>
          </w:p>
        </w:tc>
        <w:tc>
          <w:tcPr>
            <w:tcW w:w="1255" w:type="dxa"/>
          </w:tcPr>
          <w:p w14:paraId="2C7510AC" w14:textId="77777777" w:rsidR="0043277B" w:rsidRDefault="0043277B" w:rsidP="0043277B">
            <w:pPr>
              <w:jc w:val="center"/>
            </w:pPr>
            <w:r>
              <w:t>Interior</w:t>
            </w:r>
          </w:p>
        </w:tc>
        <w:tc>
          <w:tcPr>
            <w:tcW w:w="2070" w:type="dxa"/>
          </w:tcPr>
          <w:p w14:paraId="220D5B6C" w14:textId="77777777" w:rsidR="0043277B" w:rsidRDefault="0043277B" w:rsidP="0043277B">
            <w:pPr>
              <w:jc w:val="center"/>
            </w:pPr>
            <w:r>
              <w:t>Not empty</w:t>
            </w:r>
          </w:p>
        </w:tc>
        <w:tc>
          <w:tcPr>
            <w:tcW w:w="2430" w:type="dxa"/>
          </w:tcPr>
          <w:p w14:paraId="7578F5E7" w14:textId="77777777" w:rsidR="0043277B" w:rsidRDefault="0043277B" w:rsidP="0043277B">
            <w:pPr>
              <w:jc w:val="center"/>
            </w:pPr>
            <w:r>
              <w:t>Empty</w:t>
            </w:r>
          </w:p>
        </w:tc>
        <w:tc>
          <w:tcPr>
            <w:tcW w:w="2445" w:type="dxa"/>
          </w:tcPr>
          <w:p w14:paraId="3C7E9D8C" w14:textId="77777777" w:rsidR="0043277B" w:rsidRDefault="0043277B" w:rsidP="0043277B">
            <w:pPr>
              <w:jc w:val="center"/>
            </w:pPr>
            <w:r>
              <w:t>Empty</w:t>
            </w:r>
          </w:p>
        </w:tc>
      </w:tr>
      <w:tr w:rsidR="0043277B" w14:paraId="37CE1D06" w14:textId="77777777" w:rsidTr="0043277B">
        <w:trPr>
          <w:trHeight w:val="206"/>
        </w:trPr>
        <w:tc>
          <w:tcPr>
            <w:tcW w:w="810" w:type="dxa"/>
            <w:vMerge/>
          </w:tcPr>
          <w:p w14:paraId="18196F41" w14:textId="77777777" w:rsidR="0043277B" w:rsidRDefault="0043277B" w:rsidP="0043277B">
            <w:pPr>
              <w:jc w:val="center"/>
            </w:pPr>
          </w:p>
        </w:tc>
        <w:tc>
          <w:tcPr>
            <w:tcW w:w="1255" w:type="dxa"/>
          </w:tcPr>
          <w:p w14:paraId="22CDCEBB" w14:textId="77777777" w:rsidR="0043277B" w:rsidRDefault="0043277B" w:rsidP="0043277B">
            <w:pPr>
              <w:jc w:val="center"/>
            </w:pPr>
            <w:r>
              <w:t>Boundary</w:t>
            </w:r>
          </w:p>
        </w:tc>
        <w:tc>
          <w:tcPr>
            <w:tcW w:w="2070" w:type="dxa"/>
          </w:tcPr>
          <w:p w14:paraId="4C80A5AA" w14:textId="77777777" w:rsidR="0043277B" w:rsidRDefault="0043277B" w:rsidP="0043277B">
            <w:pPr>
              <w:jc w:val="center"/>
            </w:pPr>
            <w:r>
              <w:t>Empty</w:t>
            </w:r>
          </w:p>
        </w:tc>
        <w:tc>
          <w:tcPr>
            <w:tcW w:w="2430" w:type="dxa"/>
          </w:tcPr>
          <w:p w14:paraId="7E603A67" w14:textId="77777777" w:rsidR="0043277B" w:rsidRDefault="0043277B" w:rsidP="0043277B">
            <w:pPr>
              <w:jc w:val="center"/>
            </w:pPr>
            <w:r>
              <w:t>Empty</w:t>
            </w:r>
          </w:p>
        </w:tc>
        <w:tc>
          <w:tcPr>
            <w:tcW w:w="2445" w:type="dxa"/>
          </w:tcPr>
          <w:p w14:paraId="4CAD84D7" w14:textId="77777777" w:rsidR="0043277B" w:rsidRDefault="0043277B" w:rsidP="0043277B">
            <w:pPr>
              <w:jc w:val="center"/>
            </w:pPr>
            <w:r>
              <w:t>Empty</w:t>
            </w:r>
          </w:p>
        </w:tc>
      </w:tr>
      <w:tr w:rsidR="0043277B" w14:paraId="0AC3BCBC" w14:textId="77777777" w:rsidTr="0043277B">
        <w:trPr>
          <w:trHeight w:val="242"/>
        </w:trPr>
        <w:tc>
          <w:tcPr>
            <w:tcW w:w="810" w:type="dxa"/>
            <w:vMerge/>
          </w:tcPr>
          <w:p w14:paraId="793C3EC0" w14:textId="77777777" w:rsidR="0043277B" w:rsidRDefault="0043277B" w:rsidP="0043277B">
            <w:pPr>
              <w:jc w:val="center"/>
            </w:pPr>
          </w:p>
        </w:tc>
        <w:tc>
          <w:tcPr>
            <w:tcW w:w="1255" w:type="dxa"/>
          </w:tcPr>
          <w:p w14:paraId="17404835" w14:textId="77777777" w:rsidR="0043277B" w:rsidRDefault="0043277B" w:rsidP="0043277B">
            <w:pPr>
              <w:jc w:val="center"/>
            </w:pPr>
            <w:r>
              <w:t>Exterior</w:t>
            </w:r>
          </w:p>
        </w:tc>
        <w:tc>
          <w:tcPr>
            <w:tcW w:w="2070" w:type="dxa"/>
          </w:tcPr>
          <w:p w14:paraId="181EE7DB" w14:textId="77777777" w:rsidR="0043277B" w:rsidRDefault="0043277B" w:rsidP="0043277B">
            <w:pPr>
              <w:jc w:val="center"/>
            </w:pPr>
            <w:r>
              <w:t>Empty</w:t>
            </w:r>
          </w:p>
        </w:tc>
        <w:tc>
          <w:tcPr>
            <w:tcW w:w="2430" w:type="dxa"/>
          </w:tcPr>
          <w:p w14:paraId="74B184C9" w14:textId="77777777" w:rsidR="0043277B" w:rsidRDefault="0043277B" w:rsidP="0043277B">
            <w:pPr>
              <w:jc w:val="center"/>
            </w:pPr>
            <w:r>
              <w:t>Empty</w:t>
            </w:r>
          </w:p>
        </w:tc>
        <w:tc>
          <w:tcPr>
            <w:tcW w:w="2445" w:type="dxa"/>
          </w:tcPr>
          <w:p w14:paraId="5940171E" w14:textId="77777777" w:rsidR="0043277B" w:rsidRDefault="0043277B" w:rsidP="0043277B">
            <w:pPr>
              <w:jc w:val="center"/>
            </w:pPr>
            <w:r>
              <w:t>Not empty</w:t>
            </w:r>
          </w:p>
        </w:tc>
      </w:tr>
    </w:tbl>
    <w:p w14:paraId="122C1BD1" w14:textId="77777777" w:rsidR="001802FC" w:rsidRDefault="003C57BC" w:rsidP="00706CDA">
      <w:r>
        <w:t xml:space="preserve">Obviously </w:t>
      </w:r>
      <w:r>
        <w:t>the definition of the equal function conflicts with the point to point scenario. Actually, according to JTS document and the ESRI website, they define a more general pattern for testing the topological equivalence for two geometries “</w:t>
      </w:r>
      <w:r w:rsidRPr="003C57BC">
        <w:t>T*F**FFF*</w:t>
      </w:r>
      <w:r>
        <w:t>”. This intersection matrix perfectly solves the previous conflict for the point-to-point scenario.</w:t>
      </w:r>
      <w:bookmarkStart w:id="2" w:name="_GoBack"/>
      <w:bookmarkEnd w:id="2"/>
    </w:p>
    <w:p w14:paraId="4133D826" w14:textId="77777777" w:rsidR="003C57BC" w:rsidRPr="00706CDA" w:rsidRDefault="003C57BC" w:rsidP="00706CDA"/>
    <w:sectPr w:rsidR="003C57BC" w:rsidRPr="00706CDA" w:rsidSect="00DA4D32">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80"/>
    <w:rsid w:val="0011223D"/>
    <w:rsid w:val="001802FC"/>
    <w:rsid w:val="003C57BC"/>
    <w:rsid w:val="0043277B"/>
    <w:rsid w:val="00467BA0"/>
    <w:rsid w:val="00706CDA"/>
    <w:rsid w:val="0085052B"/>
    <w:rsid w:val="00852E6E"/>
    <w:rsid w:val="00932C61"/>
    <w:rsid w:val="009F72E4"/>
    <w:rsid w:val="00BB4380"/>
    <w:rsid w:val="00C65379"/>
    <w:rsid w:val="00DA4D32"/>
    <w:rsid w:val="00F53E46"/>
    <w:rsid w:val="00FA46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C320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02FC"/>
    <w:pPr>
      <w:spacing w:before="120" w:after="120"/>
    </w:pPr>
  </w:style>
  <w:style w:type="paragraph" w:styleId="Heading1">
    <w:name w:val="heading 1"/>
    <w:basedOn w:val="Normal"/>
    <w:next w:val="Normal"/>
    <w:link w:val="Heading1Char"/>
    <w:uiPriority w:val="9"/>
    <w:qFormat/>
    <w:rsid w:val="009F72E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72E4"/>
    <w:pPr>
      <w:spacing w:after="200"/>
    </w:pPr>
    <w:rPr>
      <w:i/>
      <w:iCs/>
      <w:color w:val="44546A" w:themeColor="text2"/>
      <w:sz w:val="18"/>
      <w:szCs w:val="18"/>
    </w:rPr>
  </w:style>
  <w:style w:type="character" w:customStyle="1" w:styleId="Heading1Char">
    <w:name w:val="Heading 1 Char"/>
    <w:basedOn w:val="DefaultParagraphFont"/>
    <w:link w:val="Heading1"/>
    <w:uiPriority w:val="9"/>
    <w:rsid w:val="009F72E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27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43277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327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1">
    <w:name w:val="Grid Table 3 Accent 1"/>
    <w:basedOn w:val="TableNormal"/>
    <w:uiPriority w:val="48"/>
    <w:rsid w:val="0043277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PlainTable2">
    <w:name w:val="Plain Table 2"/>
    <w:basedOn w:val="TableNormal"/>
    <w:uiPriority w:val="42"/>
    <w:rsid w:val="0043277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488</Words>
  <Characters>2785</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Thoughts on the OGC simple feature access</vt:lpstr>
    </vt:vector>
  </TitlesOfParts>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Chen</dc:creator>
  <cp:keywords/>
  <dc:description/>
  <cp:lastModifiedBy>Haozhe Chen</cp:lastModifiedBy>
  <cp:revision>1</cp:revision>
  <dcterms:created xsi:type="dcterms:W3CDTF">2016-11-12T23:33:00Z</dcterms:created>
  <dcterms:modified xsi:type="dcterms:W3CDTF">2016-11-13T00:44:00Z</dcterms:modified>
</cp:coreProperties>
</file>