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32"/>
          <w:szCs w:val="32"/>
        </w:rPr>
        <w:t xml:space="preserve">On-Chain Verilerle Büyük Cüzdanların Borsaya Transfer Riskinin Makine Öğrenmesi ile Tahmini ve Erken Uyarı Paneli</w:t>
      </w:r>
    </w:p>
    <w:p>
      <w:pPr>
        <w:pBdr>
          <w:bottom w:val="single" w:color="1F3864" w:sz="6" w:space="6"/>
        </w:pBdr>
        <w:spacing w:after="300"/>
        <w:jc w:val="center"/>
      </w:pPr>
      <w:r>
        <w:rPr>
          <w:i/>
          <w:iCs/>
          <w:color w:val="595959"/>
          <w:sz w:val="20"/>
          <w:szCs w:val="20"/>
        </w:rPr>
        <w:t xml:space="preserve">Hacettepe Üniversitesi · Veri ve Bilgi Mühendisliği Tezsiz Yüksek Lisans · Dönem Projesi Önerisi (Revize)</w:t>
      </w:r>
    </w:p>
    <w:p>
      <w:pPr>
        <w:pStyle w:val="Heading1"/>
      </w:pPr>
      <w:r>
        <w:t xml:space="preserve">1. Amaç ve Problem</w:t>
      </w:r>
    </w:p>
    <w:p>
      <w:pPr>
        <w:spacing w:after="120"/>
      </w:pPr>
      <w:r>
        <w:t xml:space="preserve">Blokzincir işlemleri herkese açıktır; ancak veri gürültülüdür, adresler takma isimlidir ve etiketsizdir. Bu projenin amacı, büyük token sahiplerinin (balinaların) geçmiş cüzdan davranışlarından yola çıkarak önümüzdeki 7 gün içinde merkezi borsalara (CEX) büyük miktarda token gönderme olasılığını tahmin etmektir. Borsaya transfer, satış niyetinin yaygın kabul gören bir öncü göstergesidir. Tahmin çıktısı, cüzdan bazında olasılıksal bir risk skoru olarak sunulacaktır.</w:t>
      </w:r>
    </w:p>
    <w:p>
      <w:pPr>
        <w:spacing w:after="120"/>
      </w:pPr>
      <w:r>
        <w:t xml:space="preserve">Problem yapısı (varlık × hafta düzeyinde, davranışsal olay verisinden risk skoru üretimi) müşteri kaybı (churn), dolandırıcılık tespiti ve kredi riski problemleriyle aynı biçimdedir; geliştirilen yöntem bu alanlara doğrudan aktarılabilir.</w:t>
      </w:r>
    </w:p>
    <w:p>
      <w:pPr>
        <w:spacing w:after="120"/>
      </w:pPr>
      <w:r>
        <w:rPr>
          <w:b/>
          <w:bCs/>
        </w:rPr>
        <w:t xml:space="preserve">Araştırma soruları:</w:t>
      </w:r>
    </w:p>
    <w:p>
      <w:pPr>
        <w:pStyle w:val="ListParagraph"/>
        <w:numPr>
          <w:ilvl w:val="0"/>
          <w:numId w:val="2"/>
        </w:numPr>
        <w:spacing w:after="60"/>
      </w:pPr>
      <w:r>
        <w:t xml:space="preserve">Cüzdan davranış metrikleri, yakın vadeli borsa transferlerini kural tabanlı basit bir yöntemden anlamlı düzeyde daha iyi öngörebilir mi?</w:t>
      </w:r>
    </w:p>
    <w:p>
      <w:pPr>
        <w:pStyle w:val="ListParagraph"/>
        <w:numPr>
          <w:ilvl w:val="0"/>
          <w:numId w:val="2"/>
        </w:numPr>
        <w:spacing w:after="60"/>
      </w:pPr>
      <w:r>
        <w:t xml:space="preserve">Hangi davranışsal özellikler bu tahminde en belirleyicidir?</w:t>
      </w:r>
    </w:p>
    <w:p>
      <w:pPr>
        <w:pStyle w:val="ListParagraph"/>
        <w:numPr>
          <w:ilvl w:val="0"/>
          <w:numId w:val="2"/>
        </w:numPr>
        <w:spacing w:after="60"/>
      </w:pPr>
      <w:r>
        <w:t xml:space="preserve">Modelin başarısı farklı piyasa koşullarında (düşüş / yatay / yükseliş) nasıl değişmektedir?</w:t>
      </w:r>
    </w:p>
    <w:p>
      <w:pPr>
        <w:pStyle w:val="Heading1"/>
      </w:pPr>
      <w:r>
        <w:t xml:space="preserve">2. Veri ve Kapsam</w:t>
      </w:r>
    </w:p>
    <w:p>
      <w:pPr>
        <w:pStyle w:val="ListParagraph"/>
        <w:numPr>
          <w:ilvl w:val="0"/>
          <w:numId w:val="2"/>
        </w:numPr>
        <w:spacing w:after="60"/>
      </w:pPr>
      <w:r>
        <w:rPr>
          <w:b/>
          <w:bCs/>
        </w:rPr>
        <w:t xml:space="preserve">Kaynak:</w:t>
      </w:r>
      <w:r>
        <w:t xml:space="preserve"> Google BigQuery crypto_ethereum public dataset (token_transfers, contracts); ücretsiz sandbox ile erişim.</w:t>
      </w:r>
    </w:p>
    <w:p>
      <w:pPr>
        <w:pStyle w:val="ListParagraph"/>
        <w:numPr>
          <w:ilvl w:val="0"/>
          <w:numId w:val="2"/>
        </w:numPr>
        <w:spacing w:after="60"/>
      </w:pPr>
      <w:r>
        <w:rPr>
          <w:b/>
          <w:bCs/>
        </w:rPr>
        <w:t xml:space="preserve">Tokenlar:</w:t>
      </w:r>
      <w:r>
        <w:t xml:space="preserve"> LINK ve UNI. Likit, büyük borsalarda listelenmiş standart ERC-20 tokenlarıdır; bakiyeler transferlerin kümülatif toplamıyla birebir hesaplanabilir.</w:t>
      </w:r>
    </w:p>
    <w:p>
      <w:pPr>
        <w:pStyle w:val="ListParagraph"/>
        <w:numPr>
          <w:ilvl w:val="0"/>
          <w:numId w:val="2"/>
        </w:numPr>
        <w:spacing w:after="60"/>
      </w:pPr>
      <w:r>
        <w:rPr>
          <w:b/>
          <w:bCs/>
        </w:rPr>
        <w:t xml:space="preserve">Dönem:</w:t>
      </w:r>
      <w:r>
        <w:t xml:space="preserve"> Ocak 2023 – Aralık 2024 (analiz dönemi). 90 günlük geriye dönük özellikler için Ekim–Aralık 2022 verisi de çekilir.</w:t>
      </w:r>
    </w:p>
    <w:p>
      <w:pPr>
        <w:pStyle w:val="ListParagraph"/>
        <w:numPr>
          <w:ilvl w:val="0"/>
          <w:numId w:val="2"/>
        </w:numPr>
        <w:spacing w:after="60"/>
      </w:pPr>
      <w:r>
        <w:rPr>
          <w:b/>
          <w:bCs/>
        </w:rPr>
        <w:t xml:space="preserve">Cüzdan evreni:</w:t>
      </w:r>
      <w:r>
        <w:t xml:space="preserve"> Her hafta, o haftaki bakiyeye göre her token için en büyük ~1.000 sahip seçilir (geleceğe bakan seçim yanlılığını önlemek için). DEX havuzları, köprüler, staking/vesting kontratları, DAO hazineleri ve bilinen CEX adresleri çıkarılır; akıllı cüzdanlar (Gnosis Safe vb.) analizde tutulur.</w:t>
      </w:r>
    </w:p>
    <w:p>
      <w:pPr>
        <w:pStyle w:val="ListParagraph"/>
        <w:numPr>
          <w:ilvl w:val="0"/>
          <w:numId w:val="2"/>
        </w:numPr>
        <w:spacing w:after="60"/>
      </w:pPr>
      <w:r>
        <w:rPr>
          <w:b/>
          <w:bCs/>
        </w:rPr>
        <w:t xml:space="preserve">CEX etiketleri:</w:t>
      </w:r>
      <w:r>
        <w:t xml:space="preserve"> Açık kaynak Ethereum adres etiket listeleri kullanılır. Bu listeler çoğunlukla yalnızca borsaların ana cüzdanlarını içerdiğinden, gelen token'ları kısa süre içinde bilinen bir borsa cüzdanına aktaran adresler de kullanıcı yatırma adresi olarak etiketlenir (Victor, 2020). Bu adresler analiz evreninden çıkarılır, hedef değişken tanımında kullanılır.</w:t>
      </w:r>
    </w:p>
    <w:p>
      <w:pPr>
        <w:pStyle w:val="ListParagraph"/>
        <w:numPr>
          <w:ilvl w:val="0"/>
          <w:numId w:val="2"/>
        </w:numPr>
        <w:spacing w:after="60"/>
      </w:pPr>
      <w:r>
        <w:rPr>
          <w:b/>
          <w:bCs/>
        </w:rPr>
        <w:t xml:space="preserve">Fiyat verisi:</w:t>
      </w:r>
      <w:r>
        <w:t xml:space="preserve"> Binance veya CoinGecko ücretsiz API'si (günlük).</w:t>
      </w:r>
    </w:p>
    <w:p>
      <w:pPr>
        <w:pStyle w:val="ListParagraph"/>
        <w:numPr>
          <w:ilvl w:val="0"/>
          <w:numId w:val="2"/>
        </w:numPr>
        <w:spacing w:after="60"/>
      </w:pPr>
      <w:r>
        <w:rPr>
          <w:b/>
          <w:bCs/>
        </w:rPr>
        <w:t xml:space="preserve">Maliyet ve veri yönetimi:</w:t>
      </w:r>
      <w:r>
        <w:t xml:space="preserve"> 31.12.2022 itibarıyla açılış bakiyeleri tek bir özet sorguyla hesaplanır; ayrıntılı transferler yalnızca Ekim 2022 – Aralık 2024 aralığı ve ilgili tokenlar için çekilir. USDT/USDC transferleri cüzdan listesine göre filtrelenir. BigQuery sandbox tabloları 60 gün sonra silindiğinden, çekilen veri hemen yerel Parquet dosyalarına aktarılır ve sonraki tüm işlemler DuckDB üzerinden yapılır.</w:t>
      </w:r>
    </w:p>
    <w:p>
      <w:pPr>
        <w:pStyle w:val="Heading1"/>
      </w:pPr>
      <w:r>
        <w:t xml:space="preserve">3. Hedef Değişken</w:t>
      </w:r>
    </w:p>
    <w:p>
      <w:pPr>
        <w:spacing w:after="120"/>
      </w:pPr>
      <w:r>
        <w:rPr>
          <w:b/>
          <w:bCs/>
        </w:rPr>
        <w:t xml:space="preserve">Gözlem birimi:</w:t>
      </w:r>
      <w:r>
        <w:t xml:space="preserve"> cüzdan × hafta.</w:t>
      </w:r>
    </w:p>
    <w:p>
      <w:pPr>
        <w:pStyle w:val="ListParagraph"/>
        <w:numPr>
          <w:ilvl w:val="0"/>
          <w:numId w:val="2"/>
        </w:numPr>
        <w:spacing w:after="60"/>
      </w:pPr>
      <w:r>
        <w:rPr>
          <w:b/>
          <w:bCs/>
        </w:rPr>
        <w:t xml:space="preserve">label = 1</w:t>
      </w:r>
      <w:r>
        <w:t xml:space="preserve"> → cüzdan, sonraki 7 gün içinde mevcut bakiyesinin %20 veya fazlasını </w:t>
      </w:r>
      <w:r>
        <w:rPr>
          <w:b/>
          <w:bCs/>
        </w:rPr>
        <w:t xml:space="preserve">ve en az X USD</w:t>
      </w:r>
      <w:r>
        <w:t xml:space="preserve"> değerinde token'ı CEX adreslerine (kullanıcı yatırma adresleri dahil) göndermiştir; aksi halde 0.</w:t>
      </w:r>
    </w:p>
    <w:p>
      <w:pPr>
        <w:pStyle w:val="ListParagraph"/>
        <w:numPr>
          <w:ilvl w:val="0"/>
          <w:numId w:val="2"/>
        </w:numPr>
        <w:spacing w:after="60"/>
      </w:pPr>
      <w:r>
        <w:t xml:space="preserve">LINK staking kontratına yapılan transferler bakiye değişimi olarak sayılmaz.</w:t>
      </w:r>
    </w:p>
    <w:p>
      <w:pPr>
        <w:spacing w:after="120"/>
      </w:pPr>
      <w:r>
        <w:t xml:space="preserve">Oransal eşik (%20) ve asgari USD tutarı (X), keşifsel analiz sonucunda pozitif sınıf oranı da dikkate alınarak gerekçelendirilip sabitlenecektir.</w:t>
      </w:r>
    </w:p>
    <w:p>
      <w:pPr>
        <w:pStyle w:val="Heading1"/>
      </w:pPr>
      <w:r>
        <w:t xml:space="preserve">4. Özellik Mühendisliği</w:t>
      </w:r>
    </w:p>
    <w:p>
      <w:pPr>
        <w:spacing w:after="120"/>
      </w:pPr>
      <w:r>
        <w:t xml:space="preserve">Tüm özellikler yalnızca gözlem anına kadarki veriden üretilir (geleceğe ait bilgi sızmaz). Farklı piyasa dönemlerinde tutarlı çalışması için mutlak değerler yerine göreli değerler kullanılır.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Özellik</w:t>
            </w:r>
          </w:p>
        </w:tc>
        <w:tc>
          <w:tcPr>
            <w:tcW w:type="dxa" w:w="6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Tanım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Hareketsizlik (Dormancy)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Son giden transferden bu yana geçen gün sayısı; hiç giden transferi olmayan cüzdanlar için üst sınır (999 gün) ve ayrı bir "hiç transfer yok" bayrağı</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Bakiye değişimi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Son 7 ve 30 gündeki yüzde değişim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CEX akış oranı</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Son 30 günde CEX'e gönderilen miktar / bakiye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İşlem hızı anomalisi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Haftalık işlem sayısının cüzdanın kendi 90 günlük ortalamasına göre z-skoru; standart sapma 0 ise paydaya küçük bir sabit eklenir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Stablecoin aktivitesi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Son 30 günde cüzdana gelen USDT/USDC miktarının, token bakiyesinin USD değerine oranı (yaklaşık satış göstergesi)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Piyasa rejimi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Tokenın 30 günlük getirisi ve volatilitesi</w:t>
            </w:r>
          </w:p>
        </w:tc>
      </w:tr>
    </w:tbl>
    <w:p>
      <w:pPr>
        <w:spacing w:after="60"/>
      </w:pPr>
    </w:p>
    <w:p>
      <w:pPr>
        <w:pStyle w:val="Heading1"/>
      </w:pPr>
      <w:r>
        <w:t xml:space="preserve">5. Modelleme</w:t>
      </w:r>
    </w:p>
    <w:p>
      <w:pPr>
        <w:pStyle w:val="ListParagraph"/>
        <w:numPr>
          <w:ilvl w:val="0"/>
          <w:numId w:val="2"/>
        </w:numPr>
        <w:spacing w:after="60"/>
      </w:pPr>
      <w:r>
        <w:rPr>
          <w:b/>
          <w:bCs/>
        </w:rPr>
        <w:t xml:space="preserve">Kural tabanlı baseline:</w:t>
      </w:r>
      <w:r>
        <w:t xml:space="preserve"> Son 30 günde CEX'e transfer yapmış cüzdanlar pozitif tahmin edilir.</w:t>
      </w:r>
    </w:p>
    <w:p>
      <w:pPr>
        <w:pStyle w:val="ListParagraph"/>
        <w:numPr>
          <w:ilvl w:val="0"/>
          <w:numId w:val="2"/>
        </w:numPr>
        <w:spacing w:after="60"/>
      </w:pPr>
      <w:r>
        <w:rPr>
          <w:b/>
          <w:bCs/>
        </w:rPr>
        <w:t xml:space="preserve">İstatistiksel baseline:</w:t>
      </w:r>
      <w:r>
        <w:t xml:space="preserve"> Logistic Regression.</w:t>
      </w:r>
    </w:p>
    <w:p>
      <w:pPr>
        <w:pStyle w:val="ListParagraph"/>
        <w:numPr>
          <w:ilvl w:val="0"/>
          <w:numId w:val="2"/>
        </w:numPr>
        <w:spacing w:after="60"/>
      </w:pPr>
      <w:r>
        <w:rPr>
          <w:b/>
          <w:bCs/>
        </w:rPr>
        <w:t xml:space="preserve">Ana model:</w:t>
      </w:r>
      <w:r>
        <w:t xml:space="preserve"> Random Forest (class_weight='balanced'); olasılıklar isotonic kalibrasyonla düzeltilir.</w:t>
      </w:r>
    </w:p>
    <w:p>
      <w:pPr>
        <w:pStyle w:val="ListParagraph"/>
        <w:numPr>
          <w:ilvl w:val="0"/>
          <w:numId w:val="2"/>
        </w:numPr>
        <w:spacing w:after="60"/>
      </w:pPr>
      <w:r>
        <w:rPr>
          <w:b/>
          <w:bCs/>
        </w:rPr>
        <w:t xml:space="preserve">Validasyon:</w:t>
      </w:r>
      <w:r>
        <w:t xml:space="preserve"> Walk-forward; aylık kayan pencereyle eğitim, bir sonraki ayda test. Etiket 7 gün ileriye baktığından, eğitim ve test arasında 1 haftalık boşluk (purge) bırakılır. Rastgele bölme yapılmaz.</w:t>
      </w:r>
    </w:p>
    <w:p>
      <w:pPr>
        <w:pStyle w:val="ListParagraph"/>
        <w:numPr>
          <w:ilvl w:val="0"/>
          <w:numId w:val="2"/>
        </w:numPr>
        <w:spacing w:after="60"/>
      </w:pPr>
      <w:r>
        <w:rPr>
          <w:b/>
          <w:bCs/>
        </w:rPr>
        <w:t xml:space="preserve">Metrikler:</w:t>
      </w:r>
      <w:r>
        <w:t xml:space="preserve"> PR-AUC, Precision@50 (her hafta en riskli 50 cüzdanın kaçı gerçekten transfer yaptı?) ve kalibrasyon eğrisi. Tüm modeller kural tabanlı baseline ile karşılaştırılır.</w:t>
      </w:r>
    </w:p>
    <w:p>
      <w:pPr>
        <w:pStyle w:val="ListParagraph"/>
        <w:numPr>
          <w:ilvl w:val="0"/>
          <w:numId w:val="2"/>
        </w:numPr>
        <w:spacing w:after="60"/>
      </w:pPr>
      <w:r>
        <w:rPr>
          <w:b/>
          <w:bCs/>
        </w:rPr>
        <w:t xml:space="preserve">Yorumlanabilirlik:</w:t>
      </w:r>
      <w:r>
        <w:t xml:space="preserve"> SHAP ile genel ve cüzdan bazında açıklama.</w:t>
      </w:r>
    </w:p>
    <w:p>
      <w:pPr>
        <w:pStyle w:val="ListParagraph"/>
        <w:numPr>
          <w:ilvl w:val="0"/>
          <w:numId w:val="2"/>
        </w:numPr>
        <w:spacing w:after="60"/>
      </w:pPr>
      <w:r>
        <w:rPr>
          <w:b/>
          <w:bCs/>
        </w:rPr>
        <w:t xml:space="preserve">Rejim analizi:</w:t>
      </w:r>
      <w:r>
        <w:t xml:space="preserve"> Rejimler 30 günlük getiriye göre nesnel olarak tanımlanır (&gt; +%15 yükseliş, &lt; –%15 düşüş, arası yatay); performans bu dönemlere ayrılarak raporlanır. Dönem başına örneklem sınırlı olduğundan bulgular eğilim olarak sunulur.</w:t>
      </w:r>
    </w:p>
    <w:p>
      <w:pPr>
        <w:pStyle w:val="ListParagraph"/>
        <w:numPr>
          <w:ilvl w:val="0"/>
          <w:numId w:val="2"/>
        </w:numPr>
        <w:spacing w:after="60"/>
      </w:pPr>
      <w:r>
        <w:rPr>
          <w:b/>
          <w:bCs/>
        </w:rPr>
        <w:t xml:space="preserve">Öncü gösterge analizi:</w:t>
      </w:r>
      <w:r>
        <w:t xml:space="preserve"> Haftalık ortalama risk skorunun sonraki haftanın fiyat hareketiyle ilişkisi incelenir; sonuç ne olursa olsun raporlanır (yatırım tavsiyesi niteliği taşımaz).</w:t>
      </w:r>
    </w:p>
    <w:p>
      <w:pPr>
        <w:pStyle w:val="ListParagraph"/>
        <w:numPr>
          <w:ilvl w:val="0"/>
          <w:numId w:val="2"/>
        </w:numPr>
        <w:spacing w:after="60"/>
      </w:pPr>
      <w:r>
        <w:rPr>
          <w:b/>
          <w:bCs/>
        </w:rPr>
        <w:t xml:space="preserve">Deney kaydı:</w:t>
      </w:r>
      <w:r>
        <w:t xml:space="preserve"> Her model çalıştırmasının parametreleri ve metrikleri kayıt altına alınır (MLflow veya sonuç tablosu).</w:t>
      </w:r>
    </w:p>
    <w:p>
      <w:pPr>
        <w:pStyle w:val="Heading1"/>
      </w:pPr>
      <w:r>
        <w:t xml:space="preserve">6. Çıktılar</w:t>
      </w:r>
    </w:p>
    <w:p>
      <w:pPr>
        <w:pStyle w:val="Heading2"/>
      </w:pPr>
      <w:r>
        <w:t xml:space="preserve">a) Etkileşimli panel (Streamlit) — ana ürün</w:t>
      </w:r>
    </w:p>
    <w:p>
      <w:pPr>
        <w:pStyle w:val="ListParagraph"/>
        <w:numPr>
          <w:ilvl w:val="0"/>
          <w:numId w:val="2"/>
        </w:numPr>
        <w:spacing w:after="60"/>
      </w:pPr>
      <w:r>
        <w:rPr>
          <w:b/>
          <w:bCs/>
        </w:rPr>
        <w:t xml:space="preserve">Risk sıralaması:</w:t>
      </w:r>
      <w:r>
        <w:t xml:space="preserve"> Güncel haftada borsaya transfer olasılığı en yüksek cüzdanlar.</w:t>
      </w:r>
    </w:p>
    <w:p>
      <w:pPr>
        <w:pStyle w:val="ListParagraph"/>
        <w:numPr>
          <w:ilvl w:val="0"/>
          <w:numId w:val="2"/>
        </w:numPr>
        <w:spacing w:after="60"/>
      </w:pPr>
      <w:r>
        <w:rPr>
          <w:b/>
          <w:bCs/>
        </w:rPr>
        <w:t xml:space="preserve">Cüzdan detayı:</w:t>
      </w:r>
      <w:r>
        <w:t xml:space="preserve"> Seçilen cüzdanın risk skoru geçmişi ve skoru yükselten özellikler (SHAP).</w:t>
      </w:r>
    </w:p>
    <w:p>
      <w:pPr>
        <w:pStyle w:val="ListParagraph"/>
        <w:numPr>
          <w:ilvl w:val="0"/>
          <w:numId w:val="2"/>
        </w:numPr>
        <w:spacing w:after="60"/>
      </w:pPr>
      <w:r>
        <w:rPr>
          <w:b/>
          <w:bCs/>
        </w:rPr>
        <w:t xml:space="preserve">Piyasa görünümü:</w:t>
      </w:r>
      <w:r>
        <w:t xml:space="preserve"> Haftalık ortalama risk skoru ile token fiyatının karşılaştırması.</w:t>
      </w:r>
    </w:p>
    <w:p>
      <w:pPr>
        <w:pStyle w:val="Heading2"/>
      </w:pPr>
      <w:r>
        <w:t xml:space="preserve">b) Public Dune dashboard'u — bulguların vitrini</w:t>
      </w:r>
    </w:p>
    <w:p>
      <w:pPr>
        <w:pStyle w:val="ListParagraph"/>
        <w:numPr>
          <w:ilvl w:val="0"/>
          <w:numId w:val="2"/>
        </w:numPr>
        <w:spacing w:after="60"/>
      </w:pPr>
      <w:r>
        <w:t xml:space="preserve">Haftalık balina → CEX net akışı (LINK, UNI)</w:t>
      </w:r>
    </w:p>
    <w:p>
      <w:pPr>
        <w:pStyle w:val="ListParagraph"/>
        <w:numPr>
          <w:ilvl w:val="0"/>
          <w:numId w:val="2"/>
        </w:numPr>
        <w:spacing w:after="60"/>
      </w:pPr>
      <w:r>
        <w:t xml:space="preserve">Balina CEX akışı ile fiyatın aynı grafikte gösterimi</w:t>
      </w:r>
    </w:p>
    <w:p>
      <w:pPr>
        <w:pStyle w:val="ListParagraph"/>
        <w:numPr>
          <w:ilvl w:val="0"/>
          <w:numId w:val="2"/>
        </w:numPr>
        <w:spacing w:after="60"/>
      </w:pPr>
      <w:r>
        <w:t xml:space="preserve">Hareketsiz (dormant) cüzdanların uyanma sayısı</w:t>
      </w:r>
    </w:p>
    <w:p>
      <w:pPr>
        <w:pStyle w:val="ListParagraph"/>
        <w:numPr>
          <w:ilvl w:val="0"/>
          <w:numId w:val="2"/>
        </w:numPr>
        <w:spacing w:after="60"/>
      </w:pPr>
      <w:r>
        <w:t xml:space="preserve">En büyük cüzdanların borsaya transfer sıklığı</w:t>
      </w:r>
    </w:p>
    <w:p>
      <w:pPr>
        <w:spacing w:after="120"/>
      </w:pPr>
      <w:r>
        <w:t xml:space="preserve">Sorgular önce BigQuery'de test edilip dar kapsamlı ve agregat halde Dune'a taşınır. Yeni hesap deneme kredileri kullanılır, gerekirse tek aylık Analyst planı alınır; sorgu başına kredi limiti tanımlanır. İlk 1–2 grafik 6. haftada yayınlanarak son haftadaki risk azaltılır.</w:t>
      </w:r>
    </w:p>
    <w:p>
      <w:pPr>
        <w:pStyle w:val="Heading2"/>
      </w:pPr>
      <w:r>
        <w:t xml:space="preserve">c) Tekrar çalıştırılabilir veri akışı</w:t>
      </w:r>
    </w:p>
    <w:p>
      <w:pPr>
        <w:pStyle w:val="ListParagraph"/>
        <w:numPr>
          <w:ilvl w:val="0"/>
          <w:numId w:val="2"/>
        </w:numPr>
        <w:spacing w:after="60"/>
      </w:pPr>
      <w:r>
        <w:t xml:space="preserve">SQL ve Python adımları sırayla çalışan modüler scriptlere ayrılır (veri çekimi → bakiye → özellik → model → skor).</w:t>
      </w:r>
    </w:p>
    <w:p>
      <w:pPr>
        <w:pStyle w:val="ListParagraph"/>
        <w:numPr>
          <w:ilvl w:val="0"/>
          <w:numId w:val="2"/>
        </w:numPr>
        <w:spacing w:after="60"/>
      </w:pPr>
      <w:r>
        <w:t xml:space="preserve">Temel veri kalitesi testleri: negatif bakiye olmaması, etiket oranının beklenen aralıkta olması, haftalık cüzdan sayısının tutarlılığı.</w:t>
      </w:r>
    </w:p>
    <w:p>
      <w:pPr>
        <w:pStyle w:val="ListParagraph"/>
        <w:numPr>
          <w:ilvl w:val="0"/>
          <w:numId w:val="2"/>
        </w:numPr>
        <w:spacing w:after="60"/>
      </w:pPr>
      <w:r>
        <w:t xml:space="preserve">GitHub Actions ile haftalık otomatik veri güncellemesi ve skor üretimi.</w:t>
      </w:r>
    </w:p>
    <w:p>
      <w:pPr>
        <w:pStyle w:val="Heading1"/>
      </w:pPr>
      <w:r>
        <w:t xml:space="preserve">7. Teknolojiler</w:t>
      </w:r>
    </w:p>
    <w:p>
      <w:pPr>
        <w:spacing w:after="120"/>
      </w:pPr>
      <w:r>
        <w:t xml:space="preserve">BigQuery SQL · Dune SQL · DuckDB · Parquet · Python (Pandas, Scikit-Learn, SHAP) · MLflow · Streamlit · GitHub Actions · GitHub</w:t>
      </w:r>
    </w:p>
    <w:p>
      <w:pPr>
        <w:pStyle w:val="Heading1"/>
      </w:pPr>
      <w:r>
        <w:t xml:space="preserve">8. Kısıtlar</w:t>
      </w:r>
    </w:p>
    <w:p>
      <w:pPr>
        <w:pStyle w:val="ListParagraph"/>
        <w:numPr>
          <w:ilvl w:val="0"/>
          <w:numId w:val="2"/>
        </w:numPr>
        <w:spacing w:after="60"/>
      </w:pPr>
      <w:r>
        <w:t xml:space="preserve">CEX etiket listeleri eksik olabilir; bazı transferler gözden kaçabilir.</w:t>
      </w:r>
    </w:p>
    <w:p>
      <w:pPr>
        <w:pStyle w:val="ListParagraph"/>
        <w:numPr>
          <w:ilvl w:val="0"/>
          <w:numId w:val="2"/>
        </w:numPr>
        <w:spacing w:after="60"/>
      </w:pPr>
      <w:r>
        <w:t xml:space="preserve">Yatırma adresi tespiti sezgisel bir yöntemdir; bazı adresler yanlış sınıflandırılabilir.</w:t>
      </w:r>
    </w:p>
    <w:p>
      <w:pPr>
        <w:pStyle w:val="ListParagraph"/>
        <w:numPr>
          <w:ilvl w:val="0"/>
          <w:numId w:val="2"/>
        </w:numPr>
        <w:spacing w:after="60"/>
      </w:pPr>
      <w:r>
        <w:t xml:space="preserve">DEX üzerinden satışlar doğrudan ölçülmez; stablecoin aktivitesi yaklaşık gösterge olarak kullanılır.</w:t>
      </w:r>
    </w:p>
    <w:p>
      <w:pPr>
        <w:pStyle w:val="ListParagraph"/>
        <w:numPr>
          <w:ilvl w:val="0"/>
          <w:numId w:val="2"/>
        </w:numPr>
        <w:spacing w:after="60"/>
      </w:pPr>
      <w:r>
        <w:t xml:space="preserve">Staking ve köprü (L2) transferleri bakiye değişimini bozabilir; bilinen kontratlar filtrelenir.</w:t>
      </w:r>
    </w:p>
    <w:p>
      <w:pPr>
        <w:pStyle w:val="ListParagraph"/>
        <w:numPr>
          <w:ilvl w:val="0"/>
          <w:numId w:val="2"/>
        </w:numPr>
        <w:spacing w:after="60"/>
      </w:pPr>
      <w:r>
        <w:t xml:space="preserve">Borsaya transfer her zaman satış anlamına gelmez; hedef değişken bir vekil (proxy) değişkendir.</w:t>
      </w:r>
    </w:p>
    <w:p>
      <w:pPr>
        <w:pStyle w:val="Heading1"/>
      </w:pPr>
      <w:r>
        <w:t xml:space="preserve">9. Zaman Planı (12 hafta)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Hafta</w:t>
            </w:r>
          </w:p>
        </w:tc>
        <w:tc>
          <w:tcPr>
            <w:tcW w:type="dxa" w:w="7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rPr>
              <w:t xml:space="preserve">İş</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BigQuery kurulumu, açılış bakiyeleri ve transfer verisinin çekimi, Parquet'e aktarma, CEX etiket listesi ve yatırma adresi tespiti</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Bakiye hesaplama, keşifsel analiz, label eşiklerinin belirlenmesi</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5–6</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Özellik mühendisliği; Dune'da ilk 1–2 grafiğin yayınlanması</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7–8</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Modelleme, walk-forward validasyon, kalibrasyon, deney kaydı</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SHAP analizi, rejim bazlı değerlendirme, öncü gösterge analizi</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Streamlit paneli; veri akışının modüler scriptlere ayrılması</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 kalitesi testleri, GitHub Actions ile haftalık güncelleme, Dune dashboard'unun tamamlanması</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7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README, rapor, Medium yazısı ve sunum</w:t>
            </w:r>
          </w:p>
        </w:tc>
      </w:tr>
    </w:tbl>
    <w:p>
      <w:pPr>
        <w:spacing w:after="60"/>
      </w:pPr>
    </w:p>
    <w:p>
      <w:pPr>
        <w:pStyle w:val="Heading1"/>
      </w:pPr>
      <w:r>
        <w:t xml:space="preserve">10. Portföy Çıktıları</w:t>
      </w:r>
    </w:p>
    <w:p>
      <w:pPr>
        <w:pStyle w:val="ListParagraph"/>
        <w:numPr>
          <w:ilvl w:val="0"/>
          <w:numId w:val="2"/>
        </w:numPr>
        <w:spacing w:after="60"/>
      </w:pPr>
      <w:r>
        <w:rPr>
          <w:b/>
          <w:bCs/>
        </w:rPr>
        <w:t xml:space="preserve">GitHub README:</w:t>
      </w:r>
      <w:r>
        <w:t xml:space="preserve"> İş diliyle yazılmış problem tanımı ("davranışsal olay verisinden haftalık risk skoru üreten, sızıntıya karşı korumalı tahmin sistemi"), üç ana bulgu, ana grafikler ve "nasıl çalıştırılır" bölümü.</w:t>
      </w:r>
    </w:p>
    <w:p>
      <w:pPr>
        <w:pStyle w:val="ListParagraph"/>
        <w:numPr>
          <w:ilvl w:val="0"/>
          <w:numId w:val="2"/>
        </w:numPr>
        <w:spacing w:after="60"/>
      </w:pPr>
      <w:r>
        <w:rPr>
          <w:b/>
          <w:bCs/>
        </w:rPr>
        <w:t xml:space="preserve">Ölçülebilir sonuç:</w:t>
      </w:r>
      <w:r>
        <w:t xml:space="preserve"> "En riskli 50 cüzdan için uyarı verildiğinde, uyarıların %X'i 7 gün içinde gerçekten borsaya transferle sonuçlanıyor (kural tabanlı yöntemde %Y)" biçiminde tek cümlelik özet.</w:t>
      </w:r>
    </w:p>
    <w:p>
      <w:pPr>
        <w:pStyle w:val="ListParagraph"/>
        <w:numPr>
          <w:ilvl w:val="0"/>
          <w:numId w:val="2"/>
        </w:numPr>
        <w:spacing w:after="60"/>
      </w:pPr>
      <w:r>
        <w:rPr>
          <w:b/>
          <w:bCs/>
        </w:rPr>
        <w:t xml:space="preserve">Canlı demo:</w:t>
      </w:r>
      <w:r>
        <w:t xml:space="preserve"> Streamlit Community Cloud üzerinde yayınlanan ve haftalık güncellenen panel.</w:t>
      </w:r>
    </w:p>
    <w:p>
      <w:pPr>
        <w:pStyle w:val="ListParagraph"/>
        <w:numPr>
          <w:ilvl w:val="0"/>
          <w:numId w:val="2"/>
        </w:numPr>
        <w:spacing w:after="60"/>
      </w:pPr>
      <w:r>
        <w:rPr>
          <w:b/>
          <w:bCs/>
        </w:rPr>
        <w:t xml:space="preserve">Dune:</w:t>
      </w:r>
      <w:r>
        <w:t xml:space="preserve"> Public dashboard linki.</w:t>
      </w:r>
    </w:p>
    <w:p>
      <w:pPr>
        <w:pStyle w:val="ListParagraph"/>
        <w:numPr>
          <w:ilvl w:val="0"/>
          <w:numId w:val="2"/>
        </w:numPr>
        <w:spacing w:after="60"/>
      </w:pPr>
      <w:r>
        <w:rPr>
          <w:b/>
          <w:bCs/>
        </w:rPr>
        <w:t xml:space="preserve">Yazı:</w:t>
      </w:r>
      <w:r>
        <w:t xml:space="preserve"> Bulgu odaklı kısa bir Medium yazısı.</w:t>
      </w:r>
    </w:p>
    <w:p>
      <w:pPr>
        <w:spacing w:after="120"/>
      </w:pPr>
      <w:r>
        <w:rPr>
          <w:b/>
          <w:bCs/>
        </w:rPr>
        <w:t xml:space="preserve">Kazanılan beceriler:</w:t>
      </w:r>
      <w:r>
        <w:t xml:space="preserve"> SQL (BigQuery, Dune, DuckDB), veri akışı tasarımı ve otomasyonu, feature engineering, dengesiz sınıflandırma, zaman serisi validasyonu ve sızıntı önleme, olasılık kalibrasyonu, model açıklanabilirliği (SHAP), dashboard geliştirme.</w:t>
      </w:r>
    </w:p>
    <w:p>
      <w:pPr>
        <w:pStyle w:val="Heading1"/>
      </w:pPr>
      <w:r>
        <w:t xml:space="preserve">Kaynakça</w:t>
      </w:r>
    </w:p>
    <w:p>
      <w:pPr>
        <w:spacing w:after="120"/>
      </w:pPr>
      <w:r>
        <w:t xml:space="preserve">Victor, F. (2020). Address Clustering Heuristics for Ethereum. In Financial Cryptography and Data Security (FC 2020), LNCS 12059, pp. 617–633. Springer.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 Önerisi (Revize)</dc:title>
  <dc:creator>Proje Önerisi</dc:creator>
  <cp:lastModifiedBy>Un-named</cp:lastModifiedBy>
  <cp:revision>1</cp:revision>
  <dcterms:created xsi:type="dcterms:W3CDTF">2026-10-13T11:07:24.994Z</dcterms:created>
  <dcterms:modified xsi:type="dcterms:W3CDTF">2026-10-13T11:07:24.996Z</dcterms:modified>
</cp:coreProperties>
</file>

<file path=docProps/custom.xml><?xml version="1.0" encoding="utf-8"?>
<Properties xmlns="http://schemas.openxmlformats.org/officeDocument/2006/custom-properties" xmlns:vt="http://schemas.openxmlformats.org/officeDocument/2006/docPropsVTypes"/>
</file>