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E5CB" w14:textId="77777777" w:rsidR="009639BD" w:rsidRPr="009639BD" w:rsidRDefault="009639BD" w:rsidP="009639BD">
      <w:pPr>
        <w:spacing w:after="100" w:afterAutospacing="1" w:line="240" w:lineRule="auto"/>
        <w:outlineLvl w:val="0"/>
        <w:rPr>
          <w:rFonts w:ascii="Arial" w:eastAsia="Times New Roman" w:hAnsi="Arial" w:cs="Arial"/>
          <w:b/>
          <w:bCs/>
          <w:kern w:val="36"/>
          <w:sz w:val="48"/>
          <w:szCs w:val="48"/>
          <w14:ligatures w14:val="none"/>
        </w:rPr>
      </w:pPr>
      <w:r w:rsidRPr="009639BD">
        <w:rPr>
          <w:rFonts w:ascii="Arial" w:eastAsia="Times New Roman" w:hAnsi="Arial" w:cs="Arial"/>
          <w:b/>
          <w:bCs/>
          <w:kern w:val="36"/>
          <w:sz w:val="48"/>
          <w:szCs w:val="48"/>
          <w14:ligatures w14:val="none"/>
        </w:rPr>
        <w:t>Comprehensive Research Report: Traditional Wind Infrastructure vs. High-Altitude Wind Capture (HAWC)</w:t>
      </w:r>
    </w:p>
    <w:p w14:paraId="73A66859"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t>1. Executive Summary</w:t>
      </w:r>
    </w:p>
    <w:p w14:paraId="51FE02BC"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The global transition to renewable energy has been heavily reliant on Horizontal-Axis Wind Turbines (HAWTs). While traditional wind energy has matured into a cost-effective power source, it is fundamentally constrained by the physics of the Earth's boundary layer and the extreme material costs associated with structural scaling. High-Altitude Wind Energy (HAWE) systems, specifically Lighter-Than-Air (LTA) tethered turbines like the HAWC concept, represent a paradigm shift. By eliminating the massive structural requirements of steel towers and accessing stronger, more consistent winds at higher altitudes, the HAWC system offers a highly efficient, mobile, and material-light alternative to conventional wind energy generation.</w:t>
      </w:r>
    </w:p>
    <w:p w14:paraId="18BBCF6D"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t>2. The Incumbent Technology: Traditional Wind Turbines (HAWTs)</w:t>
      </w:r>
    </w:p>
    <w:p w14:paraId="78113600"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2.1 Current Market and Operational Status</w:t>
      </w:r>
    </w:p>
    <w:p w14:paraId="4751A10D"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Traditional wind turbines operate by capturing kinetic energy from the wind using massive rotor blades attached to a nacelle and a fixed tower.</w:t>
      </w:r>
    </w:p>
    <w:p w14:paraId="219C3DBA" w14:textId="77777777" w:rsidR="009639BD" w:rsidRPr="009639BD" w:rsidRDefault="009639BD" w:rsidP="009639BD">
      <w:pPr>
        <w:numPr>
          <w:ilvl w:val="0"/>
          <w:numId w:val="1"/>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Global Capacity:</w:t>
      </w:r>
      <w:r w:rsidRPr="009639BD">
        <w:rPr>
          <w:rFonts w:ascii="Arial" w:eastAsia="Times New Roman" w:hAnsi="Arial" w:cs="Arial"/>
          <w:kern w:val="0"/>
          <w14:ligatures w14:val="none"/>
        </w:rPr>
        <w:t xml:space="preserve"> According to the Global Wind Energy Council (GWEC), cumulative global wind power capacity has surpassed 1 Terawatt (TW).</w:t>
      </w:r>
    </w:p>
    <w:p w14:paraId="01F8BF6C" w14:textId="77777777" w:rsidR="009639BD" w:rsidRPr="009639BD" w:rsidRDefault="009639BD" w:rsidP="009639BD">
      <w:pPr>
        <w:numPr>
          <w:ilvl w:val="0"/>
          <w:numId w:val="1"/>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Capacity Factor:</w:t>
      </w:r>
      <w:r w:rsidRPr="009639BD">
        <w:rPr>
          <w:rFonts w:ascii="Arial" w:eastAsia="Times New Roman" w:hAnsi="Arial" w:cs="Arial"/>
          <w:kern w:val="0"/>
          <w14:ligatures w14:val="none"/>
        </w:rPr>
        <w:t xml:space="preserve"> The capacity factor measures the actual energy output relative to the maximum possible output over a year. Onshore HAWTs typically achieve capacity factors of </w:t>
      </w:r>
      <w:r w:rsidRPr="009639BD">
        <w:rPr>
          <w:rFonts w:ascii="Arial" w:eastAsia="Times New Roman" w:hAnsi="Arial" w:cs="Arial"/>
          <w:b/>
          <w:bCs/>
          <w:kern w:val="0"/>
          <w14:ligatures w14:val="none"/>
        </w:rPr>
        <w:t>30% to 45%</w:t>
      </w:r>
      <w:r w:rsidRPr="009639BD">
        <w:rPr>
          <w:rFonts w:ascii="Arial" w:eastAsia="Times New Roman" w:hAnsi="Arial" w:cs="Arial"/>
          <w:kern w:val="0"/>
          <w14:ligatures w14:val="none"/>
        </w:rPr>
        <w:t xml:space="preserve">, while offshore variants can reach </w:t>
      </w:r>
      <w:r w:rsidRPr="009639BD">
        <w:rPr>
          <w:rFonts w:ascii="Arial" w:eastAsia="Times New Roman" w:hAnsi="Arial" w:cs="Arial"/>
          <w:b/>
          <w:bCs/>
          <w:kern w:val="0"/>
          <w14:ligatures w14:val="none"/>
        </w:rPr>
        <w:t>50%</w:t>
      </w:r>
      <w:r w:rsidRPr="009639BD">
        <w:rPr>
          <w:rFonts w:ascii="Arial" w:eastAsia="Times New Roman" w:hAnsi="Arial" w:cs="Arial"/>
          <w:kern w:val="0"/>
          <w14:ligatures w14:val="none"/>
        </w:rPr>
        <w:t>. This limitation is largely due to the intermittent nature of near-ground winds.</w:t>
      </w:r>
    </w:p>
    <w:p w14:paraId="3ED44436"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2.2 The Physical and Logistical Limits of HAWTs</w:t>
      </w:r>
    </w:p>
    <w:p w14:paraId="7049AB60"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Traditional wind energy is approaching a plateau governed by the law of diminishing returns. To capture more energy, turbines must be built taller with larger sweep areas, leading to severe logistical bottlenecks.</w:t>
      </w:r>
    </w:p>
    <w:p w14:paraId="554077F6" w14:textId="77777777" w:rsidR="009639BD" w:rsidRPr="009639BD" w:rsidRDefault="009639BD" w:rsidP="009639BD">
      <w:pPr>
        <w:numPr>
          <w:ilvl w:val="0"/>
          <w:numId w:val="2"/>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The Atmospheric Boundary Layer:</w:t>
      </w:r>
      <w:r w:rsidRPr="009639BD">
        <w:rPr>
          <w:rFonts w:ascii="Arial" w:eastAsia="Times New Roman" w:hAnsi="Arial" w:cs="Arial"/>
          <w:kern w:val="0"/>
          <w14:ligatures w14:val="none"/>
        </w:rPr>
        <w:t xml:space="preserve"> HAWTs operate within the lowest 100 to 200 meters of the atmosphere. In this zone, wind experiences "wind shear"—a reduction in speed and an increase in turbulence caused by friction from the Earth's surface (trees, topography, buildings).</w:t>
      </w:r>
    </w:p>
    <w:p w14:paraId="2546FC66" w14:textId="77777777" w:rsidR="009639BD" w:rsidRPr="009639BD" w:rsidRDefault="009639BD" w:rsidP="009639BD">
      <w:pPr>
        <w:numPr>
          <w:ilvl w:val="0"/>
          <w:numId w:val="2"/>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lastRenderedPageBreak/>
        <w:t>Material Intensity:</w:t>
      </w:r>
      <w:r w:rsidRPr="009639BD">
        <w:rPr>
          <w:rFonts w:ascii="Arial" w:eastAsia="Times New Roman" w:hAnsi="Arial" w:cs="Arial"/>
          <w:kern w:val="0"/>
          <w14:ligatures w14:val="none"/>
        </w:rPr>
        <w:t xml:space="preserve"> A standard modern 3 Megawatt (MW) onshore turbine requires massive structural support to withstand bending moments and aerodynamic loads. A single installation typically demands:</w:t>
      </w:r>
    </w:p>
    <w:p w14:paraId="2F4D9B57" w14:textId="77777777" w:rsidR="009639BD" w:rsidRPr="009639BD" w:rsidRDefault="009639BD" w:rsidP="009639BD">
      <w:pPr>
        <w:numPr>
          <w:ilvl w:val="1"/>
          <w:numId w:val="2"/>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300 to 500 tons of concrete</w:t>
      </w:r>
      <w:r w:rsidRPr="009639BD">
        <w:rPr>
          <w:rFonts w:ascii="Arial" w:eastAsia="Times New Roman" w:hAnsi="Arial" w:cs="Arial"/>
          <w:kern w:val="0"/>
          <w14:ligatures w14:val="none"/>
        </w:rPr>
        <w:t xml:space="preserve"> for the foundation.</w:t>
      </w:r>
    </w:p>
    <w:p w14:paraId="4F4D1A9E" w14:textId="77777777" w:rsidR="009639BD" w:rsidRPr="009639BD" w:rsidRDefault="009639BD" w:rsidP="009639BD">
      <w:pPr>
        <w:numPr>
          <w:ilvl w:val="1"/>
          <w:numId w:val="2"/>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150 to 250 tons of steel</w:t>
      </w:r>
      <w:r w:rsidRPr="009639BD">
        <w:rPr>
          <w:rFonts w:ascii="Arial" w:eastAsia="Times New Roman" w:hAnsi="Arial" w:cs="Arial"/>
          <w:kern w:val="0"/>
          <w14:ligatures w14:val="none"/>
        </w:rPr>
        <w:t xml:space="preserve"> for the tower.</w:t>
      </w:r>
    </w:p>
    <w:p w14:paraId="5C02FA36" w14:textId="77777777" w:rsidR="009639BD" w:rsidRPr="009639BD" w:rsidRDefault="009639BD" w:rsidP="009639BD">
      <w:pPr>
        <w:numPr>
          <w:ilvl w:val="0"/>
          <w:numId w:val="2"/>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Logistical Impossibility in Remote Areas:</w:t>
      </w:r>
      <w:r w:rsidRPr="009639BD">
        <w:rPr>
          <w:rFonts w:ascii="Arial" w:eastAsia="Times New Roman" w:hAnsi="Arial" w:cs="Arial"/>
          <w:kern w:val="0"/>
          <w14:ligatures w14:val="none"/>
        </w:rPr>
        <w:t xml:space="preserve"> Transporting rigid fiberglass blades that exceed 80 meters in length requires specialized convoys, widened roads, and cleared infrastructure. This makes traditional wind energy entirely unfeasible for mountainous terrains, remote islands, or disaster-stricken off-grid areas.</w:t>
      </w:r>
    </w:p>
    <w:p w14:paraId="7945C926"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t>3. The High-Altitude Paradigm: The Physics of HAWC</w:t>
      </w:r>
    </w:p>
    <w:p w14:paraId="0542A75A"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The fundamental premise of the HAWC system (a zeppelin-housed turbine) is to bypass the Earth's friction layer and tap into the tropospheric winds, which are significantly faster and more consistent.</w:t>
      </w:r>
    </w:p>
    <w:p w14:paraId="691AD46D"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3.1 The Aerodynamics and Power Equation</w:t>
      </w:r>
    </w:p>
    <w:p w14:paraId="4554444C"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The justification for flying a turbine at 300 to 600 meters (or higher) is rooted in fluid dynamics. The power available in the wind is proportional to the cube of the wind velocity. The fundamental equation for wind power is:</w:t>
      </w:r>
    </w:p>
    <w:p w14:paraId="4CCCE443"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$$P = \frac{1}{2} \rho A v^3$$</w:t>
      </w:r>
    </w:p>
    <w:p w14:paraId="6B5DB135"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Where:</w:t>
      </w:r>
    </w:p>
    <w:p w14:paraId="04643A6A" w14:textId="77777777" w:rsidR="009639BD" w:rsidRPr="009639BD" w:rsidRDefault="009639BD" w:rsidP="009639BD">
      <w:pPr>
        <w:numPr>
          <w:ilvl w:val="0"/>
          <w:numId w:val="3"/>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$P$ = Power available in the wind (Watts)</w:t>
      </w:r>
    </w:p>
    <w:p w14:paraId="1421A73D" w14:textId="77777777" w:rsidR="009639BD" w:rsidRPr="009639BD" w:rsidRDefault="009639BD" w:rsidP="009639BD">
      <w:pPr>
        <w:numPr>
          <w:ilvl w:val="0"/>
          <w:numId w:val="3"/>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$\rho$ = Air density (kg/m³)</w:t>
      </w:r>
    </w:p>
    <w:p w14:paraId="6A198182" w14:textId="77777777" w:rsidR="009639BD" w:rsidRPr="009639BD" w:rsidRDefault="009639BD" w:rsidP="009639BD">
      <w:pPr>
        <w:numPr>
          <w:ilvl w:val="0"/>
          <w:numId w:val="3"/>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$A$ = Swept area of the turbine rotor (m²)</w:t>
      </w:r>
    </w:p>
    <w:p w14:paraId="6F8A5AD3" w14:textId="77777777" w:rsidR="009639BD" w:rsidRPr="009639BD" w:rsidRDefault="009639BD" w:rsidP="009639BD">
      <w:pPr>
        <w:numPr>
          <w:ilvl w:val="0"/>
          <w:numId w:val="3"/>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$v$ = Wind velocity (m/s)</w:t>
      </w:r>
    </w:p>
    <w:p w14:paraId="29CB417F"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The Cubic Advantage:</w:t>
      </w:r>
      <w:r w:rsidRPr="009639BD">
        <w:rPr>
          <w:rFonts w:ascii="Arial" w:eastAsia="Times New Roman" w:hAnsi="Arial" w:cs="Arial"/>
          <w:kern w:val="0"/>
          <w14:ligatures w14:val="none"/>
        </w:rPr>
        <w:t xml:space="preserve"> Because velocity ($v$) is cubed, a relatively small increase in wind speed yields a massive increase in power potential. For example, if the wind speed at 500 meters is twice the wind speed at 50 meters, the available energy is </w:t>
      </w:r>
      <w:r w:rsidRPr="009639BD">
        <w:rPr>
          <w:rFonts w:ascii="Arial" w:eastAsia="Times New Roman" w:hAnsi="Arial" w:cs="Arial"/>
          <w:b/>
          <w:bCs/>
          <w:kern w:val="0"/>
          <w14:ligatures w14:val="none"/>
        </w:rPr>
        <w:t>$2^3$ (8 times) greater</w:t>
      </w:r>
      <w:r w:rsidRPr="009639BD">
        <w:rPr>
          <w:rFonts w:ascii="Arial" w:eastAsia="Times New Roman" w:hAnsi="Arial" w:cs="Arial"/>
          <w:kern w:val="0"/>
          <w14:ligatures w14:val="none"/>
        </w:rPr>
        <w:t>. Even when accounting for the slight drop in air density ($\rho$) at higher altitudes, the exponential gain from increased wind velocity vastly outweighs the density loss.</w:t>
      </w:r>
    </w:p>
    <w:p w14:paraId="759C6DBD"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3.2 Wind Power Density (WPD) Statistics</w:t>
      </w:r>
    </w:p>
    <w:p w14:paraId="0D2AEC3E"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Studies on global wind profiles demonstrate a stark contrast in energy potential based on altitude:</w:t>
      </w:r>
    </w:p>
    <w:p w14:paraId="42B5AE4F" w14:textId="77777777" w:rsidR="009639BD" w:rsidRPr="009639BD" w:rsidRDefault="009639BD" w:rsidP="009639BD">
      <w:pPr>
        <w:numPr>
          <w:ilvl w:val="0"/>
          <w:numId w:val="4"/>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 xml:space="preserve">At an altitude of 80 meters (typical HAWT hub height), average Wind Power Density is often between </w:t>
      </w:r>
      <w:r w:rsidRPr="009639BD">
        <w:rPr>
          <w:rFonts w:ascii="Arial" w:eastAsia="Times New Roman" w:hAnsi="Arial" w:cs="Arial"/>
          <w:b/>
          <w:bCs/>
          <w:kern w:val="0"/>
          <w14:ligatures w14:val="none"/>
        </w:rPr>
        <w:t>300 to 500 W/m²</w:t>
      </w:r>
      <w:r w:rsidRPr="009639BD">
        <w:rPr>
          <w:rFonts w:ascii="Arial" w:eastAsia="Times New Roman" w:hAnsi="Arial" w:cs="Arial"/>
          <w:kern w:val="0"/>
          <w14:ligatures w14:val="none"/>
        </w:rPr>
        <w:t>.</w:t>
      </w:r>
    </w:p>
    <w:p w14:paraId="4EECF7D9" w14:textId="77777777" w:rsidR="009639BD" w:rsidRPr="009639BD" w:rsidRDefault="009639BD" w:rsidP="009639BD">
      <w:pPr>
        <w:numPr>
          <w:ilvl w:val="0"/>
          <w:numId w:val="4"/>
        </w:num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 xml:space="preserve">At altitudes of 500 to 1000 meters, where geostrophic winds begin to dominate, WPD routinely exceeds </w:t>
      </w:r>
      <w:r w:rsidRPr="009639BD">
        <w:rPr>
          <w:rFonts w:ascii="Arial" w:eastAsia="Times New Roman" w:hAnsi="Arial" w:cs="Arial"/>
          <w:b/>
          <w:bCs/>
          <w:kern w:val="0"/>
          <w14:ligatures w14:val="none"/>
        </w:rPr>
        <w:t>1,500 to 2,000 W/m²</w:t>
      </w:r>
      <w:r w:rsidRPr="009639BD">
        <w:rPr>
          <w:rFonts w:ascii="Arial" w:eastAsia="Times New Roman" w:hAnsi="Arial" w:cs="Arial"/>
          <w:kern w:val="0"/>
          <w14:ligatures w14:val="none"/>
        </w:rPr>
        <w:t>.</w:t>
      </w:r>
    </w:p>
    <w:p w14:paraId="73ED0FED"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lastRenderedPageBreak/>
        <w:t>4. The HAWC Solution: Lighter-Than-Air (LTA) Turbines</w:t>
      </w:r>
    </w:p>
    <w:p w14:paraId="6888FDF7"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The HAWC system utilizes an aerostat (a helium-filled, aerodynamic envelope resembling a zeppelin) to provide buoyant lift, suspending a lightweight, horizontal-axis turbine inside or beneath it. The system is connected to a ground station via a high-strength, conductive tether.</w:t>
      </w:r>
    </w:p>
    <w:p w14:paraId="6A83EB22"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4.1 Why HAWC is a Logical Evolution</w:t>
      </w:r>
    </w:p>
    <w:p w14:paraId="61E06199"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By replacing rigid steel towers with buoyancy and a tether, HAWC solves several systemic issues of traditional wind energy:</w:t>
      </w:r>
    </w:p>
    <w:p w14:paraId="780D1A26" w14:textId="77777777" w:rsidR="009639BD" w:rsidRPr="009639BD" w:rsidRDefault="009639BD" w:rsidP="009639BD">
      <w:pPr>
        <w:numPr>
          <w:ilvl w:val="0"/>
          <w:numId w:val="5"/>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Massive Material Reduction:</w:t>
      </w:r>
      <w:r w:rsidRPr="009639BD">
        <w:rPr>
          <w:rFonts w:ascii="Arial" w:eastAsia="Times New Roman" w:hAnsi="Arial" w:cs="Arial"/>
          <w:kern w:val="0"/>
          <w14:ligatures w14:val="none"/>
        </w:rPr>
        <w:t xml:space="preserve"> The HAWC system replaces hundreds of tons of steel and concrete with advanced polymers (e.g., Dyneema or Kevlar tethers) and synthetic fabrics. Research indicates that Airborne Wind Energy Systems can reduce the material mass per Megawatt by up to </w:t>
      </w:r>
      <w:r w:rsidRPr="009639BD">
        <w:rPr>
          <w:rFonts w:ascii="Arial" w:eastAsia="Times New Roman" w:hAnsi="Arial" w:cs="Arial"/>
          <w:b/>
          <w:bCs/>
          <w:kern w:val="0"/>
          <w14:ligatures w14:val="none"/>
        </w:rPr>
        <w:t>80% to 90%</w:t>
      </w:r>
      <w:r w:rsidRPr="009639BD">
        <w:rPr>
          <w:rFonts w:ascii="Arial" w:eastAsia="Times New Roman" w:hAnsi="Arial" w:cs="Arial"/>
          <w:kern w:val="0"/>
          <w14:ligatures w14:val="none"/>
        </w:rPr>
        <w:t xml:space="preserve"> compared to HAWTs.</w:t>
      </w:r>
    </w:p>
    <w:p w14:paraId="29B10F67" w14:textId="77777777" w:rsidR="009639BD" w:rsidRPr="009639BD" w:rsidRDefault="009639BD" w:rsidP="009639BD">
      <w:pPr>
        <w:numPr>
          <w:ilvl w:val="0"/>
          <w:numId w:val="5"/>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Higher and Baseload-like Capacity Factors:</w:t>
      </w:r>
      <w:r w:rsidRPr="009639BD">
        <w:rPr>
          <w:rFonts w:ascii="Arial" w:eastAsia="Times New Roman" w:hAnsi="Arial" w:cs="Arial"/>
          <w:kern w:val="0"/>
          <w14:ligatures w14:val="none"/>
        </w:rPr>
        <w:t xml:space="preserve"> Because high-altitude winds are less intermittent, a HAWC system can theoretically achieve capacity factors of </w:t>
      </w:r>
      <w:r w:rsidRPr="009639BD">
        <w:rPr>
          <w:rFonts w:ascii="Arial" w:eastAsia="Times New Roman" w:hAnsi="Arial" w:cs="Arial"/>
          <w:b/>
          <w:bCs/>
          <w:kern w:val="0"/>
          <w14:ligatures w14:val="none"/>
        </w:rPr>
        <w:t>60% to 70%</w:t>
      </w:r>
      <w:r w:rsidRPr="009639BD">
        <w:rPr>
          <w:rFonts w:ascii="Arial" w:eastAsia="Times New Roman" w:hAnsi="Arial" w:cs="Arial"/>
          <w:kern w:val="0"/>
          <w14:ligatures w14:val="none"/>
        </w:rPr>
        <w:t>. This moves wind energy away from being a highly variable energy source and closer to providing reliable "baseload" power, competing directly with fossil fuels.</w:t>
      </w:r>
    </w:p>
    <w:p w14:paraId="08A8B5F7" w14:textId="77777777" w:rsidR="009639BD" w:rsidRPr="009639BD" w:rsidRDefault="009639BD" w:rsidP="009639BD">
      <w:pPr>
        <w:numPr>
          <w:ilvl w:val="0"/>
          <w:numId w:val="5"/>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Dynamic Altitude Adjustment:</w:t>
      </w:r>
      <w:r w:rsidRPr="009639BD">
        <w:rPr>
          <w:rFonts w:ascii="Arial" w:eastAsia="Times New Roman" w:hAnsi="Arial" w:cs="Arial"/>
          <w:kern w:val="0"/>
          <w14:ligatures w14:val="none"/>
        </w:rPr>
        <w:t xml:space="preserve"> Traditional turbines are fixed at one height. If the wind dies at 100 meters, the HAWT stops producing power. A HAWC system is equipped with a winching ground station. If wind speeds drop at 300 meters, the tether can be let out to allow the aerostat to climb to 500 meters, actively seeking optimal wind layers.</w:t>
      </w:r>
    </w:p>
    <w:p w14:paraId="4B598C83" w14:textId="77777777" w:rsidR="009639BD" w:rsidRPr="009639BD" w:rsidRDefault="009639BD" w:rsidP="009639BD">
      <w:pPr>
        <w:numPr>
          <w:ilvl w:val="0"/>
          <w:numId w:val="5"/>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Microgrid and Off-Grid Deployment:</w:t>
      </w:r>
      <w:r w:rsidRPr="009639BD">
        <w:rPr>
          <w:rFonts w:ascii="Arial" w:eastAsia="Times New Roman" w:hAnsi="Arial" w:cs="Arial"/>
          <w:kern w:val="0"/>
          <w14:ligatures w14:val="none"/>
        </w:rPr>
        <w:t xml:space="preserve"> The entire HAWC system can be deflated and packed into standard shipping containers. It requires minimal ground preparation and no heavy concrete pouring, allowing for rapid deployment in isolated communities, mining operations, or forward operating bases.</w:t>
      </w:r>
    </w:p>
    <w:p w14:paraId="457057E1"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t>5. Comparative Statistical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3486"/>
        <w:gridCol w:w="3311"/>
      </w:tblGrid>
      <w:tr w:rsidR="009639BD" w:rsidRPr="009639BD" w14:paraId="20BE14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827DC"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DE396"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Traditional Wind (HAWT)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0C1F8"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HAWC (Zeppelin / Tethered AWE)</w:t>
            </w:r>
          </w:p>
        </w:tc>
      </w:tr>
      <w:tr w:rsidR="009639BD" w:rsidRPr="009639BD" w14:paraId="1FC43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DB794"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Operating Altitude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86F58"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80m - 150m (Fixed)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48738"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300m - 600m+ (Adjustable)</w:t>
            </w:r>
          </w:p>
        </w:tc>
      </w:tr>
      <w:tr w:rsidR="009639BD" w:rsidRPr="009639BD" w14:paraId="58F8A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83C63"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Average Capacity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1804C"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30% - 45%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3D7C0"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60% - 70% (Estimated)</w:t>
            </w:r>
          </w:p>
        </w:tc>
      </w:tr>
      <w:tr w:rsidR="009639BD" w:rsidRPr="009639BD" w14:paraId="0DD28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A62CA"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Material Mass per MW</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CBE05"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~300 - 400 Tons (Steel/Concrete)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2891A"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&lt; 50 Tons (Fabric, Polymer, Generator)</w:t>
            </w:r>
          </w:p>
        </w:tc>
      </w:tr>
      <w:tr w:rsidR="009639BD" w:rsidRPr="009639BD" w14:paraId="227C7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D06EB0"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lastRenderedPageBreak/>
              <w:t>Foundation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34CD9"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Deep concrete piling (Hundreds of tons)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804C9"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Mobile winch station / Ground anchors</w:t>
            </w:r>
          </w:p>
        </w:tc>
      </w:tr>
      <w:tr w:rsidR="009639BD" w:rsidRPr="009639BD" w14:paraId="187A9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F312A"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Deployment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DCC55"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Months (Extensive civil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4BBEF"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Days (Modular setup)</w:t>
            </w:r>
          </w:p>
        </w:tc>
      </w:tr>
      <w:tr w:rsidR="009639BD" w:rsidRPr="009639BD" w14:paraId="1FF6A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397E5"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Environmental Footprint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70222"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High (Habitat disruption, concrete CO2)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9B94E" w14:textId="77777777" w:rsidR="009639BD" w:rsidRPr="009639BD" w:rsidRDefault="009639BD" w:rsidP="009639BD">
            <w:pPr>
              <w:spacing w:after="0" w:line="240" w:lineRule="auto"/>
              <w:rPr>
                <w:rFonts w:ascii="Arial" w:eastAsia="Times New Roman" w:hAnsi="Arial" w:cs="Arial"/>
                <w:kern w:val="0"/>
                <w14:ligatures w14:val="none"/>
              </w:rPr>
            </w:pPr>
            <w:r w:rsidRPr="009639BD">
              <w:rPr>
                <w:rFonts w:ascii="Arial" w:eastAsia="Times New Roman" w:hAnsi="Arial" w:cs="Arial"/>
                <w:kern w:val="0"/>
                <w14:ligatures w14:val="none"/>
              </w:rPr>
              <w:t>Minimal (No permanent earthworks)</w:t>
            </w:r>
          </w:p>
        </w:tc>
      </w:tr>
    </w:tbl>
    <w:p w14:paraId="559E4F36" w14:textId="77777777" w:rsidR="009639BD" w:rsidRPr="009639BD" w:rsidRDefault="009639BD" w:rsidP="009639BD">
      <w:pPr>
        <w:spacing w:after="100" w:afterAutospacing="1" w:line="240" w:lineRule="auto"/>
        <w:outlineLvl w:val="1"/>
        <w:rPr>
          <w:rFonts w:ascii="Arial" w:eastAsia="Times New Roman" w:hAnsi="Arial" w:cs="Arial"/>
          <w:b/>
          <w:bCs/>
          <w:kern w:val="0"/>
          <w:sz w:val="36"/>
          <w:szCs w:val="36"/>
          <w14:ligatures w14:val="none"/>
        </w:rPr>
      </w:pPr>
      <w:r w:rsidRPr="009639BD">
        <w:rPr>
          <w:rFonts w:ascii="Arial" w:eastAsia="Times New Roman" w:hAnsi="Arial" w:cs="Arial"/>
          <w:b/>
          <w:bCs/>
          <w:kern w:val="0"/>
          <w:sz w:val="36"/>
          <w:szCs w:val="36"/>
          <w14:ligatures w14:val="none"/>
        </w:rPr>
        <w:t>6. Conclusion</w:t>
      </w:r>
    </w:p>
    <w:p w14:paraId="3551B40B" w14:textId="77777777" w:rsidR="009639BD" w:rsidRPr="009639BD" w:rsidRDefault="009639BD" w:rsidP="009639BD">
      <w:pPr>
        <w:spacing w:after="100" w:afterAutospacing="1" w:line="240" w:lineRule="auto"/>
        <w:rPr>
          <w:rFonts w:ascii="Arial" w:eastAsia="Times New Roman" w:hAnsi="Arial" w:cs="Arial"/>
          <w:kern w:val="0"/>
          <w14:ligatures w14:val="none"/>
        </w:rPr>
      </w:pPr>
      <w:r w:rsidRPr="009639BD">
        <w:rPr>
          <w:rFonts w:ascii="Arial" w:eastAsia="Times New Roman" w:hAnsi="Arial" w:cs="Arial"/>
          <w:kern w:val="0"/>
          <w14:ligatures w14:val="none"/>
        </w:rPr>
        <w:t>Traditional Horizontal-Axis Wind Turbines have successfully proven the viability of wind energy but are fundamentally restricted by their reliance on rigid, ground-based architecture. The High-Altitude Wind Capture (HAWC) model offers a scientifically sound, mathematically superior alternative. By leveraging buoyant LTA technology and the exponential power curve of high-altitude winds, HAWC drastically reduces material costs and logistical barriers, presenting a highly scalable solution for the future of clean energy generation.</w:t>
      </w:r>
    </w:p>
    <w:p w14:paraId="1A74D347" w14:textId="77777777" w:rsidR="009639BD" w:rsidRPr="009639BD" w:rsidRDefault="00080DB8" w:rsidP="009639BD">
      <w:pPr>
        <w:spacing w:after="0" w:line="240" w:lineRule="auto"/>
        <w:rPr>
          <w:rFonts w:ascii="Arial" w:eastAsia="Times New Roman" w:hAnsi="Arial" w:cs="Arial"/>
          <w:kern w:val="0"/>
          <w14:ligatures w14:val="none"/>
        </w:rPr>
      </w:pPr>
      <w:r w:rsidRPr="00080DB8">
        <w:rPr>
          <w:rFonts w:ascii="Times New Roman" w:eastAsia="Times New Roman" w:hAnsi="Times New Roman" w:cs="Times New Roman"/>
          <w:noProof/>
          <w:kern w:val="0"/>
        </w:rPr>
        <w:pict w14:anchorId="77BFE7F7">
          <v:rect id="_x0000_i1025" alt="" style="width:468pt;height:.05pt;mso-width-percent:0;mso-height-percent:0;mso-width-percent:0;mso-height-percent:0" o:hralign="center" o:hrstd="t" o:hr="t" fillcolor="#a0a0a0" stroked="f"/>
        </w:pict>
      </w:r>
    </w:p>
    <w:p w14:paraId="0EDA1700" w14:textId="77777777" w:rsidR="009639BD" w:rsidRPr="009639BD" w:rsidRDefault="009639BD" w:rsidP="009639BD">
      <w:pPr>
        <w:spacing w:after="100" w:afterAutospacing="1" w:line="240" w:lineRule="auto"/>
        <w:outlineLvl w:val="2"/>
        <w:rPr>
          <w:rFonts w:ascii="Arial" w:eastAsia="Times New Roman" w:hAnsi="Arial" w:cs="Arial"/>
          <w:b/>
          <w:bCs/>
          <w:kern w:val="0"/>
          <w:sz w:val="27"/>
          <w:szCs w:val="27"/>
          <w14:ligatures w14:val="none"/>
        </w:rPr>
      </w:pPr>
      <w:r w:rsidRPr="009639BD">
        <w:rPr>
          <w:rFonts w:ascii="Arial" w:eastAsia="Times New Roman" w:hAnsi="Arial" w:cs="Arial"/>
          <w:b/>
          <w:bCs/>
          <w:kern w:val="0"/>
          <w:sz w:val="27"/>
          <w:szCs w:val="27"/>
          <w14:ligatures w14:val="none"/>
        </w:rPr>
        <w:t>Academic &amp; Industry References for the Report</w:t>
      </w:r>
    </w:p>
    <w:p w14:paraId="5FB1040F" w14:textId="77777777" w:rsidR="009639BD" w:rsidRPr="009639BD" w:rsidRDefault="009639BD" w:rsidP="009639BD">
      <w:pPr>
        <w:numPr>
          <w:ilvl w:val="0"/>
          <w:numId w:val="6"/>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Archer, C. L., &amp; Caldeira, K. (2009).</w:t>
      </w:r>
      <w:r w:rsidRPr="009639BD">
        <w:rPr>
          <w:rFonts w:ascii="Arial" w:eastAsia="Times New Roman" w:hAnsi="Arial" w:cs="Arial"/>
          <w:kern w:val="0"/>
          <w14:ligatures w14:val="none"/>
        </w:rPr>
        <w:t xml:space="preserve"> </w:t>
      </w:r>
      <w:r w:rsidRPr="009639BD">
        <w:rPr>
          <w:rFonts w:ascii="Arial" w:eastAsia="Times New Roman" w:hAnsi="Arial" w:cs="Arial"/>
          <w:i/>
          <w:iCs/>
          <w:kern w:val="0"/>
          <w14:ligatures w14:val="none"/>
        </w:rPr>
        <w:t>Global assessment of high-altitude wind power.</w:t>
      </w:r>
      <w:r w:rsidRPr="009639BD">
        <w:rPr>
          <w:rFonts w:ascii="Arial" w:eastAsia="Times New Roman" w:hAnsi="Arial" w:cs="Arial"/>
          <w:kern w:val="0"/>
          <w14:ligatures w14:val="none"/>
        </w:rPr>
        <w:t xml:space="preserve"> Energies, 2(2), 307-319. (Foundational paper proving the massive energy potential at higher altitudes).</w:t>
      </w:r>
    </w:p>
    <w:p w14:paraId="24F5A1F8" w14:textId="77777777" w:rsidR="009639BD" w:rsidRPr="009639BD" w:rsidRDefault="009639BD" w:rsidP="009639BD">
      <w:pPr>
        <w:numPr>
          <w:ilvl w:val="0"/>
          <w:numId w:val="6"/>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Fagiano, L., &amp; Milanese, M. (2012).</w:t>
      </w:r>
      <w:r w:rsidRPr="009639BD">
        <w:rPr>
          <w:rFonts w:ascii="Arial" w:eastAsia="Times New Roman" w:hAnsi="Arial" w:cs="Arial"/>
          <w:kern w:val="0"/>
          <w14:ligatures w14:val="none"/>
        </w:rPr>
        <w:t xml:space="preserve"> </w:t>
      </w:r>
      <w:r w:rsidRPr="009639BD">
        <w:rPr>
          <w:rFonts w:ascii="Arial" w:eastAsia="Times New Roman" w:hAnsi="Arial" w:cs="Arial"/>
          <w:i/>
          <w:iCs/>
          <w:kern w:val="0"/>
          <w14:ligatures w14:val="none"/>
        </w:rPr>
        <w:t>Airborne wind energy: an overview.</w:t>
      </w:r>
      <w:r w:rsidRPr="009639BD">
        <w:rPr>
          <w:rFonts w:ascii="Arial" w:eastAsia="Times New Roman" w:hAnsi="Arial" w:cs="Arial"/>
          <w:kern w:val="0"/>
          <w14:ligatures w14:val="none"/>
        </w:rPr>
        <w:t xml:space="preserve"> American Control Conference (ACC). (Discusses the material reduction and tether dynamics).</w:t>
      </w:r>
    </w:p>
    <w:p w14:paraId="7E537DDB" w14:textId="77777777" w:rsidR="009639BD" w:rsidRPr="009639BD" w:rsidRDefault="009639BD" w:rsidP="009639BD">
      <w:pPr>
        <w:numPr>
          <w:ilvl w:val="0"/>
          <w:numId w:val="6"/>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Global Wind Energy Council (GWEC). (2024).</w:t>
      </w:r>
      <w:r w:rsidRPr="009639BD">
        <w:rPr>
          <w:rFonts w:ascii="Arial" w:eastAsia="Times New Roman" w:hAnsi="Arial" w:cs="Arial"/>
          <w:kern w:val="0"/>
          <w14:ligatures w14:val="none"/>
        </w:rPr>
        <w:t xml:space="preserve"> </w:t>
      </w:r>
      <w:r w:rsidRPr="009639BD">
        <w:rPr>
          <w:rFonts w:ascii="Arial" w:eastAsia="Times New Roman" w:hAnsi="Arial" w:cs="Arial"/>
          <w:i/>
          <w:iCs/>
          <w:kern w:val="0"/>
          <w14:ligatures w14:val="none"/>
        </w:rPr>
        <w:t>Global Wind Report.</w:t>
      </w:r>
      <w:r w:rsidRPr="009639BD">
        <w:rPr>
          <w:rFonts w:ascii="Arial" w:eastAsia="Times New Roman" w:hAnsi="Arial" w:cs="Arial"/>
          <w:kern w:val="0"/>
          <w14:ligatures w14:val="none"/>
        </w:rPr>
        <w:t xml:space="preserve"> (Data on current traditional wind capacity and limitations).</w:t>
      </w:r>
    </w:p>
    <w:p w14:paraId="641047CC" w14:textId="77777777" w:rsidR="009639BD" w:rsidRPr="009639BD" w:rsidRDefault="009639BD" w:rsidP="009639BD">
      <w:pPr>
        <w:numPr>
          <w:ilvl w:val="0"/>
          <w:numId w:val="6"/>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International Renewable Energy Agency (IRENA). (2023).</w:t>
      </w:r>
      <w:r w:rsidRPr="009639BD">
        <w:rPr>
          <w:rFonts w:ascii="Arial" w:eastAsia="Times New Roman" w:hAnsi="Arial" w:cs="Arial"/>
          <w:kern w:val="0"/>
          <w14:ligatures w14:val="none"/>
        </w:rPr>
        <w:t xml:space="preserve"> </w:t>
      </w:r>
      <w:r w:rsidRPr="009639BD">
        <w:rPr>
          <w:rFonts w:ascii="Arial" w:eastAsia="Times New Roman" w:hAnsi="Arial" w:cs="Arial"/>
          <w:i/>
          <w:iCs/>
          <w:kern w:val="0"/>
          <w14:ligatures w14:val="none"/>
        </w:rPr>
        <w:t>Renewable Power Generation Costs.</w:t>
      </w:r>
      <w:r w:rsidRPr="009639BD">
        <w:rPr>
          <w:rFonts w:ascii="Arial" w:eastAsia="Times New Roman" w:hAnsi="Arial" w:cs="Arial"/>
          <w:kern w:val="0"/>
          <w14:ligatures w14:val="none"/>
        </w:rPr>
        <w:t xml:space="preserve"> (Data regarding LCOE and material costs for onshore wind).</w:t>
      </w:r>
    </w:p>
    <w:p w14:paraId="5F9F4615" w14:textId="77777777" w:rsidR="009639BD" w:rsidRPr="009639BD" w:rsidRDefault="009639BD" w:rsidP="009639BD">
      <w:pPr>
        <w:numPr>
          <w:ilvl w:val="0"/>
          <w:numId w:val="6"/>
        </w:numPr>
        <w:spacing w:after="100" w:afterAutospacing="1" w:line="240" w:lineRule="auto"/>
        <w:rPr>
          <w:rFonts w:ascii="Arial" w:eastAsia="Times New Roman" w:hAnsi="Arial" w:cs="Arial"/>
          <w:kern w:val="0"/>
          <w14:ligatures w14:val="none"/>
        </w:rPr>
      </w:pPr>
      <w:r w:rsidRPr="009639BD">
        <w:rPr>
          <w:rFonts w:ascii="Arial" w:eastAsia="Times New Roman" w:hAnsi="Arial" w:cs="Arial"/>
          <w:b/>
          <w:bCs/>
          <w:kern w:val="0"/>
          <w14:ligatures w14:val="none"/>
        </w:rPr>
        <w:t>Vermillion, C., et al. (2021).</w:t>
      </w:r>
      <w:r w:rsidRPr="009639BD">
        <w:rPr>
          <w:rFonts w:ascii="Arial" w:eastAsia="Times New Roman" w:hAnsi="Arial" w:cs="Arial"/>
          <w:kern w:val="0"/>
          <w14:ligatures w14:val="none"/>
        </w:rPr>
        <w:t xml:space="preserve"> </w:t>
      </w:r>
      <w:r w:rsidRPr="009639BD">
        <w:rPr>
          <w:rFonts w:ascii="Arial" w:eastAsia="Times New Roman" w:hAnsi="Arial" w:cs="Arial"/>
          <w:i/>
          <w:iCs/>
          <w:kern w:val="0"/>
          <w14:ligatures w14:val="none"/>
        </w:rPr>
        <w:t>Electricity in the air: Insights from two decades of advanced control research and experimental flight testing of airborne wind energy systems.</w:t>
      </w:r>
      <w:r w:rsidRPr="009639BD">
        <w:rPr>
          <w:rFonts w:ascii="Arial" w:eastAsia="Times New Roman" w:hAnsi="Arial" w:cs="Arial"/>
          <w:kern w:val="0"/>
          <w14:ligatures w14:val="none"/>
        </w:rPr>
        <w:t xml:space="preserve"> Annual Reviews in Control. (Covers LTA and tethered systems' operational models).</w:t>
      </w:r>
    </w:p>
    <w:p w14:paraId="519EB01E" w14:textId="77777777" w:rsidR="00A95828" w:rsidRDefault="00A95828"/>
    <w:sectPr w:rsidR="00A958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5E9A"/>
    <w:multiLevelType w:val="multilevel"/>
    <w:tmpl w:val="F602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7658B"/>
    <w:multiLevelType w:val="multilevel"/>
    <w:tmpl w:val="B9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F568B"/>
    <w:multiLevelType w:val="multilevel"/>
    <w:tmpl w:val="A246F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409BE"/>
    <w:multiLevelType w:val="multilevel"/>
    <w:tmpl w:val="E24A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037D7D"/>
    <w:multiLevelType w:val="multilevel"/>
    <w:tmpl w:val="E90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F4D71"/>
    <w:multiLevelType w:val="multilevel"/>
    <w:tmpl w:val="527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476806">
    <w:abstractNumId w:val="1"/>
  </w:num>
  <w:num w:numId="2" w16cid:durableId="275915640">
    <w:abstractNumId w:val="2"/>
  </w:num>
  <w:num w:numId="3" w16cid:durableId="1264220321">
    <w:abstractNumId w:val="4"/>
  </w:num>
  <w:num w:numId="4" w16cid:durableId="1097678575">
    <w:abstractNumId w:val="5"/>
  </w:num>
  <w:num w:numId="5" w16cid:durableId="1840610982">
    <w:abstractNumId w:val="0"/>
  </w:num>
  <w:num w:numId="6" w16cid:durableId="940143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BD"/>
    <w:rsid w:val="00080DB8"/>
    <w:rsid w:val="0044005D"/>
    <w:rsid w:val="004939C8"/>
    <w:rsid w:val="009639BD"/>
    <w:rsid w:val="00A95828"/>
    <w:rsid w:val="00D2239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1EB3"/>
  <w15:chartTrackingRefBased/>
  <w15:docId w15:val="{2A2103EF-5AA6-924B-A800-8AB8DE51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3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BD"/>
    <w:rPr>
      <w:rFonts w:eastAsiaTheme="majorEastAsia" w:cstheme="majorBidi"/>
      <w:color w:val="272727" w:themeColor="text1" w:themeTint="D8"/>
    </w:rPr>
  </w:style>
  <w:style w:type="paragraph" w:styleId="Title">
    <w:name w:val="Title"/>
    <w:basedOn w:val="Normal"/>
    <w:next w:val="Normal"/>
    <w:link w:val="TitleChar"/>
    <w:uiPriority w:val="10"/>
    <w:qFormat/>
    <w:rsid w:val="00963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BD"/>
    <w:pPr>
      <w:spacing w:before="160"/>
      <w:jc w:val="center"/>
    </w:pPr>
    <w:rPr>
      <w:i/>
      <w:iCs/>
      <w:color w:val="404040" w:themeColor="text1" w:themeTint="BF"/>
    </w:rPr>
  </w:style>
  <w:style w:type="character" w:customStyle="1" w:styleId="QuoteChar">
    <w:name w:val="Quote Char"/>
    <w:basedOn w:val="DefaultParagraphFont"/>
    <w:link w:val="Quote"/>
    <w:uiPriority w:val="29"/>
    <w:rsid w:val="009639BD"/>
    <w:rPr>
      <w:i/>
      <w:iCs/>
      <w:color w:val="404040" w:themeColor="text1" w:themeTint="BF"/>
    </w:rPr>
  </w:style>
  <w:style w:type="paragraph" w:styleId="ListParagraph">
    <w:name w:val="List Paragraph"/>
    <w:basedOn w:val="Normal"/>
    <w:uiPriority w:val="34"/>
    <w:qFormat/>
    <w:rsid w:val="009639BD"/>
    <w:pPr>
      <w:ind w:left="720"/>
      <w:contextualSpacing/>
    </w:pPr>
  </w:style>
  <w:style w:type="character" w:styleId="IntenseEmphasis">
    <w:name w:val="Intense Emphasis"/>
    <w:basedOn w:val="DefaultParagraphFont"/>
    <w:uiPriority w:val="21"/>
    <w:qFormat/>
    <w:rsid w:val="009639BD"/>
    <w:rPr>
      <w:i/>
      <w:iCs/>
      <w:color w:val="0F4761" w:themeColor="accent1" w:themeShade="BF"/>
    </w:rPr>
  </w:style>
  <w:style w:type="paragraph" w:styleId="IntenseQuote">
    <w:name w:val="Intense Quote"/>
    <w:basedOn w:val="Normal"/>
    <w:next w:val="Normal"/>
    <w:link w:val="IntenseQuoteChar"/>
    <w:uiPriority w:val="30"/>
    <w:qFormat/>
    <w:rsid w:val="00963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BD"/>
    <w:rPr>
      <w:i/>
      <w:iCs/>
      <w:color w:val="0F4761" w:themeColor="accent1" w:themeShade="BF"/>
    </w:rPr>
  </w:style>
  <w:style w:type="character" w:styleId="IntenseReference">
    <w:name w:val="Intense Reference"/>
    <w:basedOn w:val="DefaultParagraphFont"/>
    <w:uiPriority w:val="32"/>
    <w:qFormat/>
    <w:rsid w:val="009639BD"/>
    <w:rPr>
      <w:b/>
      <w:bCs/>
      <w:smallCaps/>
      <w:color w:val="0F4761" w:themeColor="accent1" w:themeShade="BF"/>
      <w:spacing w:val="5"/>
    </w:rPr>
  </w:style>
  <w:style w:type="paragraph" w:styleId="NormalWeb">
    <w:name w:val="Normal (Web)"/>
    <w:basedOn w:val="Normal"/>
    <w:uiPriority w:val="99"/>
    <w:semiHidden/>
    <w:unhideWhenUsed/>
    <w:rsid w:val="00963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9639BD"/>
  </w:style>
  <w:style w:type="character" w:styleId="Strong">
    <w:name w:val="Strong"/>
    <w:basedOn w:val="DefaultParagraphFont"/>
    <w:uiPriority w:val="22"/>
    <w:qFormat/>
    <w:rsid w:val="009639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Tuna Yavuz</dc:creator>
  <cp:keywords/>
  <dc:description/>
  <cp:lastModifiedBy>Özgür Tuna Yavuz</cp:lastModifiedBy>
  <cp:revision>1</cp:revision>
  <dcterms:created xsi:type="dcterms:W3CDTF">2026-02-25T18:19:00Z</dcterms:created>
  <dcterms:modified xsi:type="dcterms:W3CDTF">2026-02-25T18:23:00Z</dcterms:modified>
</cp:coreProperties>
</file>