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100"/>
        <w:jc w:val="center"/>
      </w:pPr>
      <w:r>
        <w:rPr>
          <w:b/>
          <w:bCs/>
          <w:color w:val="2A8C80"/>
          <w:spacing w:val="80"/>
          <w:sz w:val="22"/>
          <w:szCs w:val="22"/>
        </w:rPr>
        <w:t xml:space="preserve">SYSTEM BLUEPRINT</w:t>
      </w:r>
    </w:p>
    <w:p>
      <w:pPr>
        <w:pBdr>
          <w:bottom w:val="single" w:color="8FD3CB" w:sz="12" w:space="14"/>
        </w:pBdr>
        <w:spacing w:after="0" w:before="220"/>
        <w:jc w:val="center"/>
      </w:pPr>
      <w:r>
        <w:rPr>
          <w:b/>
          <w:bCs/>
          <w:color w:val="1E2A36"/>
          <w:sz w:val="96"/>
          <w:szCs w:val="96"/>
        </w:rPr>
        <w:t xml:space="preserve">MEMBRANE.AI</w:t>
      </w:r>
    </w:p>
    <w:p>
      <w:pPr>
        <w:spacing w:after="0" w:before="280"/>
        <w:jc w:val="center"/>
      </w:pPr>
      <w:r>
        <w:rPr>
          <w:color w:val="2A3744"/>
          <w:sz w:val="34"/>
          <w:szCs w:val="34"/>
        </w:rPr>
        <w:t xml:space="preserve">End-to-End Flow · Software Architecture &amp; Design</w:t>
      </w:r>
    </w:p>
    <w:p>
      <w:pPr>
        <w:spacing w:after="0" w:before="140"/>
        <w:jc w:val="center"/>
      </w:pPr>
      <w:r>
        <w:rPr>
          <w:i/>
          <w:iCs/>
          <w:color w:val="70808F"/>
          <w:sz w:val="24"/>
          <w:szCs w:val="24"/>
        </w:rPr>
        <w:t xml:space="preserve">the whole system at a glance</w:t>
      </w:r>
    </w:p>
    <w:p>
      <w:pPr>
        <w:spacing w:before="900"/>
        <w:jc w:val="center"/>
      </w:pPr>
      <w:r>
        <w:rPr>
          <w:color w:val="70808F"/>
          <w:sz w:val="20"/>
          <w:szCs w:val="20"/>
        </w:rPr>
        <w:t xml:space="preserve">Real-time security and architectural guardrails for AI coding agents</w:t>
      </w:r>
    </w:p>
    <w:p>
      <w:pPr>
        <w:sectPr>
          <w:pgSz w:w="15840" w:h="12240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/>
      </w:pPr>
      <w:r>
        <w:t xml:space="preserve">The Story — Life of an AI-Assisted Code Change</w:t>
      </w:r>
    </w:p>
    <w:p>
      <w:pPr>
        <w:spacing w:after="90" w:line="262"/>
        <w:jc w:val="both"/>
      </w:pPr>
      <w:r>
        <w:t xml:space="preserve">Follow a single change as it travels through MEMBRANE.AI — from the moment a developer prompts an AI agent, through proactive interception and layered analysis, to the enforced merge gate and a tamper-proof audit trail. Governance happens </w:t>
      </w:r>
      <w:r>
        <w:rPr>
          <w:b/>
          <w:bCs/>
        </w:rPr>
        <w:t xml:space="preserve">at the point of generation</w:t>
      </w:r>
      <w:r>
        <w:t xml:space="preserve"> and </w:t>
      </w:r>
      <w:r>
        <w:rPr>
          <w:b/>
          <w:bCs/>
        </w:rPr>
        <w:t xml:space="preserve">again before merge</w:t>
      </w:r>
      <w:r>
        <w:t xml:space="preserve">, so insecure or off-pattern code is prevented early and verified again at the gate.</w:t>
      </w:r>
    </w:p>
    <w:p>
      <w:pPr>
        <w:spacing w:after="50" w:before="90"/>
        <w:jc w:val="center"/>
      </w:pPr>
      <w:r>
        <w:drawing>
          <wp:inline distT="0" distB="0" distL="0" distR="0">
            <wp:extent cx="7677150" cy="4333875"/>
            <wp:effectExtent t="0" r="0" b="0" l="0"/>
            <wp:docPr id="1" name="The Story — life of an AI-assisted code change." descr="The Story — life of an AI-assisted code change." title="The Story — life of an AI-assisted code chan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0808F"/>
          <w:sz w:val="18"/>
          <w:szCs w:val="18"/>
        </w:rPr>
        <w:t xml:space="preserve">The Story — life of an AI-assisted code change.</w:t>
      </w:r>
    </w:p>
    <w:p>
      <w:pPr>
        <w:pStyle w:val="Heading1"/>
        <w:pageBreakBefore/>
        <w:spacing w:after="120"/>
      </w:pPr>
      <w:r>
        <w:t xml:space="preserve">Software Architecture — Layered Component View</w:t>
      </w:r>
    </w:p>
    <w:p>
      <w:pPr>
        <w:spacing w:after="90" w:line="262"/>
        <w:jc w:val="both"/>
      </w:pPr>
      <w:r>
        <w:t xml:space="preserve">A decoupled, event-driven design: a proactive gateway and post-commit hooks feed a durable event backbone; a Go analysis pipeline coordinates deterministic and semantic checks; Redis and Aurora hold hot and durable state; and a remediation daemon returns verdicts to the developer and the pipeline.</w:t>
      </w:r>
    </w:p>
    <w:p>
      <w:pPr>
        <w:spacing w:after="50" w:before="90"/>
        <w:jc w:val="center"/>
      </w:pPr>
      <w:r>
        <w:drawing>
          <wp:inline distT="0" distB="0" distL="0" distR="0">
            <wp:extent cx="6305550" cy="4305300"/>
            <wp:effectExtent t="0" r="0" b="0" l="0"/>
            <wp:docPr id="1" name="Software architecture — layered component view." descr="Software architecture — layered component view." title="Software architecture — layered component vie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0808F"/>
          <w:sz w:val="18"/>
          <w:szCs w:val="18"/>
        </w:rPr>
        <w:t xml:space="preserve">Software architecture — layered component view.</w:t>
      </w:r>
    </w:p>
    <w:p>
      <w:pPr>
        <w:pStyle w:val="Heading1"/>
        <w:pageBreakBefore/>
        <w:spacing w:after="120"/>
      </w:pPr>
      <w:r>
        <w:t xml:space="preserve">Component Responsibilities</w:t>
      </w:r>
    </w:p>
    <w:tbl>
      <w:tblPr>
        <w:tblW w:type="dxa" w:w="12960"/>
        <w:tblBorders>
          <w:top w:val="single" w:color="D3DEE6" w:sz="2"/>
          <w:left w:val="single" w:color="D3DEE6" w:sz="2"/>
          <w:bottom w:val="single" w:color="D3DEE6" w:sz="2"/>
          <w:right w:val="single" w:color="D3DEE6" w:sz="2"/>
          <w:insideH w:val="single" w:color="D3DEE6" w:sz="2"/>
          <w:insideV w:val="single" w:color="D3DEE6" w:sz="2"/>
        </w:tblBorders>
      </w:tblPr>
      <w:tblGrid>
        <w:gridCol w:w="4320"/>
        <w:gridCol w:w="4320"/>
        <w:gridCol w:w="4320"/>
      </w:tblGrid>
      <w:tr>
        <w:trPr>
          <w:tblHeader/>
        </w:trPr>
        <w:tc>
          <w:tcPr>
            <w:tcW w:type="dxa" w:w="4320"/>
            <w:shd w:fill="E2F6F1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1E2A36"/>
                <w:sz w:val="21"/>
                <w:szCs w:val="21"/>
              </w:rPr>
              <w:t xml:space="preserve">Layer</w:t>
            </w:r>
          </w:p>
        </w:tc>
        <w:tc>
          <w:tcPr>
            <w:tcW w:type="dxa" w:w="4320"/>
            <w:shd w:fill="E2F6F1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1E2A36"/>
                <w:sz w:val="21"/>
                <w:szCs w:val="21"/>
              </w:rPr>
              <w:t xml:space="preserve">Components</w:t>
            </w:r>
          </w:p>
        </w:tc>
        <w:tc>
          <w:tcPr>
            <w:tcW w:type="dxa" w:w="4320"/>
            <w:shd w:fill="E2F6F1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1E2A36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Client &amp; Edge</w:t>
            </w:r>
          </w:p>
        </w:tc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Prompt / MCP Gateway · Source-control webhooks · Envoy</w:t>
            </w:r>
          </w:p>
        </w:tc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Intercept AI requests at the point of generation and inject gold-codebase context; stream every diff; terminate TLS with rate-limiting and JWT auth</w:t>
            </w:r>
          </w:p>
        </w:tc>
      </w:tr>
      <w:tr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Event backbone</w:t>
            </w:r>
          </w:p>
        </w:tc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Redpanda / Kafka</w:t>
            </w:r>
          </w:p>
        </w:tc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Durable, per-organization-partitioned event stream with long-term S3 audit</w:t>
            </w:r>
          </w:p>
        </w:tc>
      </w:tr>
      <w:tr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Analysis</w:t>
            </w:r>
          </w:p>
        </w:tc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Orchestrator (Go, Saga) · Static analyzer (Go/WASM) · Context resolver</w:t>
            </w:r>
          </w:p>
        </w:tc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Drive the cache → AST → vector → semantic → consensus flow within a 1200 ms deadline; deterministic parse + secret masking; gold-codebase vector queries</w:t>
            </w:r>
          </w:p>
        </w:tc>
      </w:tr>
      <w:tr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Semantic AI</w:t>
            </w:r>
          </w:p>
        </w:tc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Local model pool (vLLM) · Cloud consensus</w:t>
            </w:r>
          </w:p>
        </w:tc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Cheap first-pass triage inside the trust boundary; premium dual-model review only on flagged risk</w:t>
            </w:r>
          </w:p>
        </w:tc>
      </w:tr>
      <w:tr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Data &amp; State</w:t>
            </w:r>
          </w:p>
        </w:tc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Redis · Aurora + pgvector</w:t>
            </w:r>
          </w:p>
        </w:tc>
        <w:tc>
          <w:tcPr>
            <w:tcW w:type="dxa" w:w="432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Blake3 verdict cache for sub-millisecond skips; rulesets, gold-code vectors and tamper-proof audit</w:t>
            </w:r>
          </w:p>
        </w:tc>
      </w:tr>
      <w:tr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Output</w:t>
            </w:r>
          </w:p>
        </w:tc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Report &amp; remediation daemon</w:t>
            </w:r>
          </w:p>
        </w:tc>
        <w:tc>
          <w:tcPr>
            <w:tcW w:type="dxa" w:w="432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Inline IDE fixes, PR status / comments, and Slack / Jira / SIEM dispatch</w:t>
            </w:r>
          </w:p>
        </w:tc>
      </w:tr>
    </w:tbl>
    <w:p>
      <w:pPr>
        <w:pStyle w:val="Heading1"/>
        <w:pageBreakBefore/>
        <w:spacing w:after="120"/>
      </w:pPr>
      <w:r>
        <w:t xml:space="preserve">Software Design — Request Lifecycle</w:t>
      </w:r>
    </w:p>
    <w:p>
      <w:pPr>
        <w:spacing w:after="90" w:line="262"/>
        <w:jc w:val="both"/>
      </w:pPr>
      <w:r>
        <w:t xml:space="preserve">The runtime is </w:t>
      </w:r>
      <w:r>
        <w:rPr>
          <w:b/>
          <w:bCs/>
        </w:rPr>
        <w:t xml:space="preserve">cache-first</w:t>
      </w:r>
      <w:r>
        <w:t xml:space="preserve">: a Blake3 hash can return a stored verdict in under a millisecond. On a miss, deterministic analysis and gold-codebase retrieval run first, and the premium semantic consensus is invoked only when cheaper stages flag genuine risk.</w:t>
      </w:r>
    </w:p>
    <w:p>
      <w:pPr>
        <w:spacing w:after="50" w:before="90"/>
        <w:jc w:val="center"/>
      </w:pPr>
      <w:r>
        <w:drawing>
          <wp:inline distT="0" distB="0" distL="0" distR="0">
            <wp:extent cx="7219950" cy="4229100"/>
            <wp:effectExtent t="0" r="0" b="0" l="0"/>
            <wp:docPr id="1" name="Software design — request lifecycle sequence." descr="Software design — request lifecycle sequence." title="Software design — request lifecycle sequ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0808F"/>
          <w:sz w:val="18"/>
          <w:szCs w:val="18"/>
        </w:rPr>
        <w:t xml:space="preserve">Software design — request lifecycle sequence.</w:t>
      </w:r>
    </w:p>
    <w:p>
      <w:pPr>
        <w:pStyle w:val="Heading1"/>
        <w:pageBreakBefore/>
        <w:spacing w:after="120"/>
      </w:pPr>
      <w:r>
        <w:t xml:space="preserve">Data &amp; State Design</w:t>
      </w:r>
    </w:p>
    <w:p>
      <w:pPr>
        <w:spacing w:after="90" w:line="262"/>
        <w:jc w:val="both"/>
      </w:pPr>
      <w:r>
        <w:t xml:space="preserve">Hot state lives in Redis for instant skips; durable state — organizational rulesets, the gold-codebase vector index, and the compliance audit trail — lives in Aurora PostgreSQL with </w:t>
      </w:r>
      <w:r>
        <w:rPr>
          <w:rFonts w:ascii="Consolas" w:cs="Consolas" w:eastAsia="Consolas" w:hAnsi="Consolas"/>
          <w:color w:val="B5179E"/>
          <w:sz w:val="19"/>
          <w:szCs w:val="19"/>
          <w:shd w:fill="F2F6F8" w:val="clear"/>
        </w:rPr>
        <w:t xml:space="preserve">pgvector</w:t>
      </w:r>
      <w:r>
        <w:t xml:space="preserve">. Retrieval-augmented analysis grounds every model judgment in the organization's own best implementations.</w:t>
      </w:r>
    </w:p>
    <w:p>
      <w:pPr>
        <w:spacing w:after="50" w:before="90"/>
        <w:jc w:val="center"/>
      </w:pPr>
      <w:r>
        <w:drawing>
          <wp:inline distT="0" distB="0" distL="0" distR="0">
            <wp:extent cx="7867650" cy="4391025"/>
            <wp:effectExtent t="0" r="0" b="0" l="0"/>
            <wp:docPr id="1" name="Data and state design." descr="Data and state design." title="Data and state desig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0808F"/>
          <w:sz w:val="18"/>
          <w:szCs w:val="18"/>
        </w:rPr>
        <w:t xml:space="preserve">Data and state design.</w:t>
      </w:r>
    </w:p>
    <w:p>
      <w:pPr>
        <w:pStyle w:val="Heading1"/>
        <w:pageBreakBefore/>
        <w:spacing w:after="120"/>
      </w:pPr>
      <w:r>
        <w:t xml:space="preserve">Deployment &amp; Portability</w:t>
      </w:r>
    </w:p>
    <w:p>
      <w:pPr>
        <w:spacing w:after="90" w:line="262"/>
        <w:jc w:val="both"/>
      </w:pPr>
      <w:r>
        <w:t xml:space="preserve">One product, three isolation postures — masked SaaS, private VPC, and fully air-gapped — running on </w:t>
      </w:r>
      <w:r>
        <w:rPr>
          <w:b/>
          <w:bCs/>
        </w:rPr>
        <w:t xml:space="preserve">any operating system, any Linux distribution, and any architecture</w:t>
      </w:r>
      <w:r>
        <w:t xml:space="preserve">. Static Go binaries cover the clients; multi-architecture distroless containers cover the services.</w:t>
      </w:r>
    </w:p>
    <w:p>
      <w:pPr>
        <w:spacing w:after="50" w:before="90"/>
        <w:jc w:val="center"/>
      </w:pPr>
      <w:r>
        <w:drawing>
          <wp:inline distT="0" distB="0" distL="0" distR="0">
            <wp:extent cx="7867650" cy="4391025"/>
            <wp:effectExtent t="0" r="0" b="0" l="0"/>
            <wp:docPr id="1" name="Deployment and portability." descr="Deployment and portability." title="Deployment and portabilit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70808F"/>
          <w:sz w:val="18"/>
          <w:szCs w:val="18"/>
        </w:rPr>
        <w:t xml:space="preserve">Deployment and portability.</w:t>
      </w:r>
    </w:p>
    <w:p>
      <w:pPr>
        <w:pStyle w:val="Heading1"/>
        <w:pageBreakBefore/>
        <w:spacing w:after="120"/>
      </w:pPr>
      <w:r>
        <w:t xml:space="preserve">Tech Stack at a Glance</w:t>
      </w:r>
    </w:p>
    <w:tbl>
      <w:tblPr>
        <w:tblW w:type="dxa" w:w="12960"/>
        <w:tblBorders>
          <w:top w:val="single" w:color="D3DEE6" w:sz="2"/>
          <w:left w:val="single" w:color="D3DEE6" w:sz="2"/>
          <w:bottom w:val="single" w:color="D3DEE6" w:sz="2"/>
          <w:right w:val="single" w:color="D3DEE6" w:sz="2"/>
          <w:insideH w:val="single" w:color="D3DEE6" w:sz="2"/>
          <w:insideV w:val="single" w:color="D3DEE6" w:sz="2"/>
        </w:tblBorders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shd w:fill="E2F6F1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1E2A36"/>
                <w:sz w:val="21"/>
                <w:szCs w:val="21"/>
              </w:rPr>
              <w:t xml:space="preserve">Concern</w:t>
            </w:r>
          </w:p>
        </w:tc>
        <w:tc>
          <w:tcPr>
            <w:tcW w:type="dxa" w:w="6480"/>
            <w:shd w:fill="E2F6F1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b/>
                <w:bCs/>
                <w:color w:val="1E2A36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Core services</w:t>
            </w:r>
          </w:p>
        </w:tc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Go — single static binaries (</w:t>
            </w:r>
            <w:r>
              <w:rPr>
                <w:rFonts w:ascii="Consolas" w:cs="Consolas" w:eastAsia="Consolas" w:hAnsi="Consolas"/>
                <w:color w:val="2A3744"/>
                <w:sz w:val="20"/>
                <w:szCs w:val="20"/>
                <w:shd w:fill="F2F6F8" w:val="clear"/>
              </w:rPr>
              <w:t xml:space="preserve">CGO_ENABLED=0</w:t>
            </w:r>
            <w:r>
              <w:rPr>
                <w:color w:val="2A3744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Semantic interface</w:t>
            </w:r>
          </w:p>
        </w:tc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Python 3.12+ / FastAPI</w:t>
            </w:r>
          </w:p>
        </w:tc>
      </w:tr>
      <w:tr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Edge gateway</w:t>
            </w:r>
          </w:p>
        </w:tc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Envoy Proxy</w:t>
            </w:r>
          </w:p>
        </w:tc>
      </w:tr>
      <w:tr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Event bus</w:t>
            </w:r>
          </w:p>
        </w:tc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Redpanda / Apache Kafka</w:t>
            </w:r>
          </w:p>
        </w:tc>
      </w:tr>
      <w:tr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Cache</w:t>
            </w:r>
          </w:p>
        </w:tc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Redis Enterprise (Blake3 keys)</w:t>
            </w:r>
          </w:p>
        </w:tc>
      </w:tr>
      <w:tr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Database + vectors</w:t>
            </w:r>
          </w:p>
        </w:tc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Amazon Aurora PostgreSQL + pgvector (HNSW)</w:t>
            </w:r>
          </w:p>
        </w:tc>
      </w:tr>
      <w:tr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Local inference</w:t>
            </w:r>
          </w:p>
        </w:tc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vLLM — DeepSeek-Coder / CodeLlama</w:t>
            </w:r>
          </w:p>
        </w:tc>
      </w:tr>
      <w:tr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Cloud models</w:t>
            </w:r>
          </w:p>
        </w:tc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Claude Sonnet 4.6 · Gemini</w:t>
            </w:r>
          </w:p>
        </w:tc>
      </w:tr>
      <w:tr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Kubernetes — EKS and any distribution</w:t>
            </w:r>
          </w:p>
        </w:tc>
      </w:tr>
      <w:tr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6480"/>
            <w:shd w:fill="F5FAF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Terraform + Helm</w:t>
            </w:r>
          </w:p>
        </w:tc>
      </w:tr>
      <w:tr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Platforms</w:t>
            </w:r>
          </w:p>
        </w:tc>
        <w:tc>
          <w:tcPr>
            <w:tcW w:type="dxa" w:w="6480"/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color w:val="2A3744"/>
                <w:sz w:val="20"/>
                <w:szCs w:val="20"/>
              </w:rPr>
              <w:t xml:space="preserve">Windows · macOS · all Linux (glibc / musl) · x86-64 / ARM64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EE6" w:sz="4" w:space="4"/>
      </w:pBdr>
      <w:jc w:val="center"/>
    </w:pPr>
    <w:r>
      <w:rPr>
        <w:color w:val="70808F"/>
        <w:sz w:val="16"/>
        <w:szCs w:val="16"/>
      </w:rPr>
      <w:t xml:space="preserve">Page </w:t>
    </w:r>
    <w:r>
      <w:rPr>
        <w:color w:val="70808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0808F"/>
        <w:sz w:val="16"/>
        <w:szCs w:val="16"/>
      </w:rPr>
      <w:t xml:space="preserve"> of </w:t>
    </w:r>
    <w:r>
      <w:rPr>
        <w:color w:val="70808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EE6" w:sz="4" w:space="4"/>
      </w:pBdr>
      <w:jc w:val="right"/>
    </w:pPr>
    <w:r>
      <w:rPr>
        <w:color w:val="70808F"/>
        <w:sz w:val="15"/>
        <w:szCs w:val="15"/>
      </w:rPr>
      <w:t xml:space="preserve">MEMBRANE.AI — System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37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40"/>
      <w:outlineLvl w:val="0"/>
    </w:pPr>
    <w:rPr>
      <w:rFonts w:ascii="Arial" w:cs="Arial" w:eastAsia="Arial" w:hAnsi="Arial"/>
      <w:b/>
      <w:bCs/>
      <w:color w:val="1E2A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A8C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9e11a7fab7350b315a22e7e777b72564819422.png"/><Relationship Id="rId10" Type="http://schemas.openxmlformats.org/officeDocument/2006/relationships/image" Target="media/34b9abf8b81b0cdec03c94c0044468a9f578bcd5.png"/><Relationship Id="rId11" Type="http://schemas.openxmlformats.org/officeDocument/2006/relationships/image" Target="media/87f5c040f1d2abb36442be8a8004d16de1376542.png"/><Relationship Id="rId12" Type="http://schemas.openxmlformats.org/officeDocument/2006/relationships/image" Target="media/b1ff83365e47b53b333c9d811ec7eff30a539008.png"/><Relationship Id="rId13" Type="http://schemas.openxmlformats.org/officeDocument/2006/relationships/image" Target="media/0f8644e5e70a9e3d6b1144db5faa383eccf3725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MEMBRANE.AI — System Blueprint</dc:title>
  <dc:creator>MEMBRANE.AI</dc:creator>
  <cp:lastModifiedBy>Un-named</cp:lastModifiedBy>
  <cp:revision>1</cp:revision>
  <dcterms:created xsi:type="dcterms:W3CDTF">2026-06-09T14:19:50.716Z</dcterms:created>
  <dcterms:modified xsi:type="dcterms:W3CDTF">2026-06-09T14:19:50.717Z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