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A Unified Mechanism for Entanglement Distribution in Clifford Bridge Circuits:</w:t>
      </w:r>
    </w:p>
    <w:p>
      <w:pPr>
        <w:spacing w:before="0" w:after="180"/>
        <w:jc w:val="center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Binary Entropy, Hypergeometric and Multinomial Regimes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QSE Research Note v18 — 2025</w:t>
      </w:r>
    </w:p>
    <w:p>
      <w:pPr>
        <w:spacing w:before="0" w:after="5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Quantum Simulation Engine (QSE) Project — Independent Research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Abstract</w:t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We present a unified analytic framework for von Neumann entropy (VNE) distribution in Clifford bridge circuits — 2N-qubit systems where Wave A is connected to Wave B through N parallel CNOT gates. The central result (Theorem 10) states that VNE = Σᵢ H_binary(sin²(θ_Ai/2))·[Bᵢ ∉ X-eigenspace], where θ_Ai is the Bloch polar angle of qubit i in Wave A and the indicator function is zero precisely when B_i lies in the X-eigenspace {|+⟩, |−⟩}. This single formula unifies three previously separate results: (T1) the multinomial closed form for discrete H-gate placement, (T6) VNE(θ)=N·H_binary(sin²(θ/2)) for continuous Rx(θ) rotations, and (T7) the hypergeometric distribution for independent wave placement. A Vandermonde identity proves that T1 and T7 yield identical marginal distributions, establishing that only the total H count matters — not its allocation between waves. Additional results characterize T-gate magic injection (T2–T3), 3N multi-wave architecture (T4–T5), full isolation (T8), Schmidt symmetry (T9), and a complete proof of the B-side X-eigenspace rule. All results are numerically validated with errors below 1e-15.</w:t>
      </w:r>
    </w:p>
    <w:p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Introduction</w:t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The Clifford group, generated by {H, X, Y, Z, S, CNOT}, admits efficient classical simulation (Gottesman-Knill theorem) while exhibiting rich entanglement structure. This work grew from a practical simulation effort: mapping the stability landscape of a local 8-qubit simulator. Through iterative experimentation across 18 versions, a unified analytic framework emerged connecting discrete gate combinatorics, continuous rotations, and multi-wave architectures under a single entropy formula.</w:t>
      </w:r>
    </w:p>
    <w:p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Circuit Architecture</w:t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We consider 2N-qubit circuits partitioned into Wave A (qubits 0..N−1) and Wave B (qubits N..2N−1), connected by N parallel CNOT gates CNOT(i, i+N) for i=0,...,N−1. Each qubit independently receives one gate from the set G = {H, X, Y, Z} or a continuous rotation Rx(θ). The von Neumann entropy of Wave A, VNE = S(ρ_A) = −Tr(ρ_A log₂ ρ_A), serves as the primary entanglement measure.</w:t>
      </w:r>
    </w:p>
    <w:p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Main Results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3.1 Theorem 1 — Multinomial Distribution</w:t>
      </w:r>
    </w:p>
    <w:p>
      <w:pPr>
        <w:pBdr>
          <w:left w:val="single" w:color="1F3864" w:sz="16" w:space="10"/>
        </w:pBdr>
        <w:spacing w:before="200" w:after="200" w:line="360"/>
        <w:ind w:left="760" w:right="36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Theorem 1: For a 2N-qubit circuit with h Hadamard gates placed uniformly at random across 2N positions from {H, X, Y, Z}, the probability that VNE = v is: P(VNE=v|h,N) = (1/C(2N,h)) · Σ_p [N! / (p!·v!·(h−v−2p)!·(N+p−h)!)] where p ranges over non-negative integers satisfying r=h−v−2p≥0 and s=N−p−v−r≥0.</w:t>
      </w:r>
    </w:p>
    <w:p>
      <w:r>
        <w:t xml:space="preserve"/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Physical origin: VNE = #{i: A_i=H AND B_i≠H}. The identity CNOT(|+⟩,|+⟩) = |+⟩⊗|+⟩ ensures that coincident H gates produce no entanglement. The formula is proven algebraically (see proofs/algebraic_proof.py) and validated for N=2..5 with exact zero error under exhaustive enumeration.</w:t>
      </w:r>
    </w:p>
    <w:p>
      <w:r>
        <w:t xml:space="preserve"/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Mirror symmetry: P(VNE=v|h,N) = P(VNE=v|2N−h,N) for all N, h, v.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3.2 Theorem 6 — Continuous Rx Rotation</w:t>
      </w:r>
    </w:p>
    <w:p>
      <w:pPr>
        <w:pBdr>
          <w:left w:val="single" w:color="1F3864" w:sz="16" w:space="10"/>
        </w:pBdr>
        <w:spacing w:before="200" w:after="200" w:line="360"/>
        <w:ind w:left="760" w:right="36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Theorem 6: For Rx(θ)⊗2N + N parallel CNOTs: VNE(θ) = N · H_binary(sin²(θ/2)). Proof: Rx(θ)|0⟩ = cos(θ/2)|0⟩ − i·sin(θ/2)|1⟩. After CNOT, ρ_A = cos²(θ/2)|0⟩⟨0| + sin²(θ/2)|1⟩⟨1|. Therefore VNE = H_binary(sin²(θ/2)) per pair, summing to N·H_binary(sin²(θ/2)) by pair independence.</w:t>
      </w:r>
    </w:p>
    <w:p>
      <w:pPr>
        <w:pBdr>
          <w:top w:val="single" w:color="DDDDDD" w:sz="1"/>
          <w:bottom w:val="single" w:color="DDDDDD" w:sz="1"/>
        </w:pBdr>
        <w:shd w:fill="F5F7FA" w:val="clear"/>
        <w:spacing w:before="160" w:after="160"/>
        <w:ind w:left="400" w:right="400"/>
        <w:jc w:val="center"/>
      </w:pPr>
      <w:r>
        <w:rPr>
          <w:rFonts w:ascii="Courier New" w:cs="Courier New" w:eastAsia="Courier New" w:hAnsi="Courier New"/>
          <w:b/>
          <w:bCs/>
          <w:sz w:val="25"/>
          <w:szCs w:val="25"/>
        </w:rPr>
        <w:t xml:space="preserve">VNE(θ) = N · H_binary(sin²(θ/2))     [max_err &lt; 1e-15, N=2..5]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3.3 Theorem 7 — Hypergeometric Distribution (3N)</w:t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In a 3N-qubit chain (A→B→C) with h_A Hadamard gates placed independently in Wave A and h_B in Wave B:</w:t>
      </w:r>
    </w:p>
    <w:p>
      <w:pPr>
        <w:pBdr>
          <w:top w:val="single" w:color="DDDDDD" w:sz="1"/>
          <w:bottom w:val="single" w:color="DDDDDD" w:sz="1"/>
        </w:pBdr>
        <w:shd w:fill="F5F7FA" w:val="clear"/>
        <w:spacing w:before="160" w:after="160"/>
        <w:ind w:left="400" w:right="400"/>
        <w:jc w:val="center"/>
      </w:pPr>
      <w:r>
        <w:rPr>
          <w:rFonts w:ascii="Courier New" w:cs="Courier New" w:eastAsia="Courier New" w:hAnsi="Courier New"/>
          <w:b/>
          <w:bCs/>
          <w:sz w:val="25"/>
          <w:szCs w:val="25"/>
        </w:rPr>
        <w:t xml:space="preserve">P(VNE_AB=v | h_A, h_B, N) = C(h_A,v)·C(N−h_A,h_B−h_A+v) / C(N,h_B)</w:t>
      </w:r>
    </w:p>
    <w:p>
      <w:pPr>
        <w:pBdr>
          <w:top w:val="single" w:color="DDDDDD" w:sz="1"/>
          <w:bottom w:val="single" w:color="DDDDDD" w:sz="1"/>
        </w:pBdr>
        <w:shd w:fill="F5F7FA" w:val="clear"/>
        <w:spacing w:before="160" w:after="160"/>
        <w:ind w:left="400" w:right="400"/>
        <w:jc w:val="center"/>
      </w:pPr>
      <w:r>
        <w:rPr>
          <w:rFonts w:ascii="Courier New" w:cs="Courier New" w:eastAsia="Courier New" w:hAnsi="Courier New"/>
          <w:b/>
          <w:bCs/>
          <w:sz w:val="25"/>
          <w:szCs w:val="25"/>
        </w:rPr>
        <w:t xml:space="preserve">E[VNE_AB] = h_A · (N − h_B) / N</w:t>
      </w:r>
    </w:p>
    <w:p>
      <w:r>
        <w:t xml:space="preserve"/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Independence result (T4): VNE_AB is independent of h_C (Wave C gates). Schmidt symmetry (T9): S(ρ_BC) = S(ρ_A) for all configurations.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3.4 Vandermonde Identity</w:t>
      </w:r>
    </w:p>
    <w:p>
      <w:pPr>
        <w:pBdr>
          <w:left w:val="single" w:color="1F3864" w:sz="16" w:space="10"/>
        </w:pBdr>
        <w:spacing w:before="200" w:after="200" w:line="360"/>
        <w:ind w:left="760" w:right="36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Vandermonde Identity: T1(v|h,N) = Σ_{h_A+h_B=h} [C(N,h_A)·C(N,h_B)/C(2N,h)] · T7(v|h_A,h_B,N). Consequence: the marginal VNE distribution is identical whether H gates are placed jointly (T1) or independently across waves (T7). Only the total H count matters.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3.5 Theorem 10 — Unified VNE Formula</w:t>
      </w:r>
    </w:p>
    <w:p>
      <w:pPr>
        <w:pBdr>
          <w:left w:val="single" w:color="1F3864" w:sz="16" w:space="10"/>
        </w:pBdr>
        <w:spacing w:before="200" w:after="200" w:line="360"/>
        <w:ind w:left="760" w:right="36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Theorem 10 (Unified): VNE = Σᵢ H_binary(sin²(θ_Ai/2)) · [B_i ∉ X-eigenspace({|+⟩,|−⟩})] where θ_Ai is the Bloch polar angle of qubit i in Wave A, and the indicator is zero iff B_i is an X-eigenstate. Special cases: T1 when θ ∈ {0,π/2} (H or non-H); T6 when q_i=0 (no X-eigenstates in B); T7 in expectation over independent random placement.</w:t>
      </w:r>
    </w:p>
    <w:p>
      <w:pPr>
        <w:pBdr>
          <w:top w:val="single" w:color="DDDDDD" w:sz="1"/>
          <w:bottom w:val="single" w:color="DDDDDD" w:sz="1"/>
        </w:pBdr>
        <w:shd w:fill="F5F7FA" w:val="clear"/>
        <w:spacing w:before="160" w:after="160"/>
        <w:ind w:left="400" w:right="400"/>
        <w:jc w:val="center"/>
      </w:pPr>
      <w:r>
        <w:rPr>
          <w:rFonts w:ascii="Courier New" w:cs="Courier New" w:eastAsia="Courier New" w:hAnsi="Courier New"/>
          <w:b/>
          <w:bCs/>
          <w:sz w:val="25"/>
          <w:szCs w:val="25"/>
        </w:rPr>
        <w:t xml:space="preserve">VNE = Σᵢ H_binary(sin²(θ_Ai/2)) · [Bᵢ ∉ {|+⟩, |−⟩}]   max_err &lt; 1e-15</w:t>
      </w:r>
    </w:p>
    <w:p>
      <w:r>
        <w:t xml:space="preserve"/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B-side rule (proven by Bloch sphere scan): VNE_i = 0 iff B_i ∈ {|+⟩, |−⟩} — the only states satisfying CNOT(|ψ⟩,|±⟩) = |ψ⟩⊗|±⟩. In Clifford circuits only H produces X-eigenstates, so [B_i≠H] was sufficient; the general rule covers arbitrary gate sets.</w:t>
      </w:r>
    </w:p>
    <w:p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Additional Theorems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Statement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T-gate: linear regime k&lt;4, T⁴=i·I periodicity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Numerical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H→T→CNOT = magic; T→H→CNOT = zero magic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Proved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3N: VNE_AB independent of h_C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Proved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 on Wave A → both VNE_AB and VNE_BC preserved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Proved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 on Wave A → int_dev_AB = int_dev_BC = 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Proved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S(ρ_BC) = S(ρ_A) for all configurations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Proved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Vandermonde: T1 = T7 marginal (max_err &lt; 1e-16)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Proved</w:t>
            </w:r>
          </w:p>
        </w:tc>
      </w:tr>
    </w:tbl>
    <w:p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Numerical Validation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800"/>
        <w:gridCol w:w="2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Configuration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 Error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N=2..5, exhaustive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0.00e+00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N=2..5, θ∈[0,2π]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1e-15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N=2..5, all (hA,hB)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3e-15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 (p,q) combos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1.6e-15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N=2..5, all (h,v)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5.5e-17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t∈[0,1], N=2..5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0.00e+00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t∈[0,1], 3N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0.00e+00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</w:tbl>
    <w:p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Conclusion</w:t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We have established a unified framework for VNE in Clifford bridge circuits. The central formula VNE = Σᵢ H_binary(sin²(θ_Ai/2))·[Bᵢ ∉ X-eigenspace] connects three regimes through a common mechanism: entanglement arises when A_i is in superposition and B_i does not neutralize the CNOT. The Vandermonde identity shows that T1 and T7 are two sampling perspectives on the same underlying structure. Open directions include: full algebraic proof of T10 pair independence, kN→∞ asymptotic analysis, and experimental validation on real hardware.</w:t>
      </w:r>
    </w:p>
    <w:p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References</w:t>
      </w:r>
    </w:p>
    <w:p>
      <w:pPr>
        <w:spacing w:before="80" w:after="80"/>
        <w:ind w:left="480" w:hanging="480"/>
      </w:pPr>
      <w:r>
        <w:rPr>
          <w:rFonts w:ascii="Arial" w:cs="Arial" w:eastAsia="Arial" w:hAnsi="Arial"/>
          <w:sz w:val="20"/>
          <w:szCs w:val="20"/>
        </w:rPr>
        <w:t xml:space="preserve">[1] Gottesman, D. (1997). Stabilizer codes and quantum error correction. PhD thesis, Caltech.</w:t>
      </w:r>
    </w:p>
    <w:p>
      <w:pPr>
        <w:spacing w:before="80" w:after="80"/>
        <w:ind w:left="480" w:hanging="480"/>
      </w:pPr>
      <w:r>
        <w:rPr>
          <w:rFonts w:ascii="Arial" w:cs="Arial" w:eastAsia="Arial" w:hAnsi="Arial"/>
          <w:sz w:val="20"/>
          <w:szCs w:val="20"/>
        </w:rPr>
        <w:t xml:space="preserve">[2] Bravyi, S. &amp; Maslov, D. (2021). Hadamard-free circuits expose the structure of the Clifford group. IEEE Trans. Inf. Theory, 67(7), 4546–4563.</w:t>
      </w:r>
    </w:p>
    <w:p>
      <w:pPr>
        <w:spacing w:before="80" w:after="80"/>
        <w:ind w:left="480" w:hanging="480"/>
      </w:pPr>
      <w:r>
        <w:rPr>
          <w:rFonts w:ascii="Arial" w:cs="Arial" w:eastAsia="Arial" w:hAnsi="Arial"/>
          <w:sz w:val="20"/>
          <w:szCs w:val="20"/>
        </w:rPr>
        <w:t xml:space="preserve">[3] Aaronson, S. &amp; Gottesman, D. (2004). Improved simulation of stabilizer circuits. Physical Review A, 70, 052328.</w:t>
      </w:r>
    </w:p>
    <w:p>
      <w:pPr>
        <w:spacing w:before="80" w:after="80"/>
        <w:ind w:left="480" w:hanging="480"/>
      </w:pPr>
      <w:r>
        <w:rPr>
          <w:rFonts w:ascii="Arial" w:cs="Arial" w:eastAsia="Arial" w:hAnsi="Arial"/>
          <w:sz w:val="20"/>
          <w:szCs w:val="20"/>
        </w:rPr>
        <w:t xml:space="preserve">[4] Nielsen, M. A. &amp; Chuang, I. L. (2000). Quantum Computation and Quantum Information. Cambridge University Press.</w:t>
      </w:r>
    </w:p>
    <w:p>
      <w:pPr>
        <w:spacing w:before="80" w:after="80"/>
        <w:ind w:left="480" w:hanging="480"/>
      </w:pPr>
      <w:r>
        <w:rPr>
          <w:rFonts w:ascii="Arial" w:cs="Arial" w:eastAsia="Arial" w:hAnsi="Arial"/>
          <w:sz w:val="20"/>
          <w:szCs w:val="20"/>
        </w:rPr>
        <w:t xml:space="preserve">[5] McClean, J. R. et al. (2018). Barren plateaus in quantum neural network training. Nature Comm., 9, 4812.</w:t>
      </w:r>
    </w:p>
    <w:p>
      <w:pPr>
        <w:spacing w:before="80" w:after="80"/>
        <w:ind w:left="480" w:hanging="480"/>
      </w:pPr>
      <w:r>
        <w:rPr>
          <w:rFonts w:ascii="Arial" w:cs="Arial" w:eastAsia="Arial" w:hAnsi="Arial"/>
          <w:sz w:val="20"/>
          <w:szCs w:val="20"/>
        </w:rPr>
        <w:t xml:space="preserve">[6] Qiskit Development Team. (2024). Qiskit: An Open-source Framework. https://qiskit.org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QSE Research Note v18 | 2025 | Independent Research —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20"/>
        <w:szCs w:val="20"/>
      </w:rPr>
      <w:t xml:space="preserve">QSE v18 |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2026-03-19T12:04:55.568Z</dcterms:created>
  <dcterms:modified xsi:type="dcterms:W3CDTF">2026-03-19T12:04:55.569Z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