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before="480" w:after="120"/>
        <w:jc w:val="center"/>
      </w:pPr>
      <w:r>
        <w:rPr>
          <w:rFonts w:ascii="Arial" w:cs="Arial" w:eastAsia="Arial" w:hAnsi="Arial"/>
          <w:b/>
          <w:bCs/>
          <w:color w:val="1F3864"/>
          <w:sz w:val="34"/>
          <w:szCs w:val="34"/>
        </w:rPr>
        <w:t xml:space="preserve">Clifford Köprü Devrelerinde Dolanıklık Dağılımı İçin Birleşik Bir Mekanizma:</w:t>
      </w:r>
    </w:p>
    <w:p>
      <w:pPr>
        <w:spacing w:before="0" w:after="180"/>
        <w:jc w:val="center"/>
      </w:pPr>
      <w:r>
        <w:rPr>
          <w:rFonts w:ascii="Arial" w:cs="Arial" w:eastAsia="Arial" w:hAnsi="Arial"/>
          <w:b/>
          <w:bCs/>
          <w:color w:val="2E5F8A"/>
          <w:sz w:val="27"/>
          <w:szCs w:val="27"/>
        </w:rPr>
        <w:t xml:space="preserve">İkili Entropi, Hipergeometrik ve Multinomial Rejimler</w:t>
      </w:r>
    </w:p>
    <w:p>
      <w:pPr>
        <w:spacing w:before="0" w:after="80"/>
        <w:jc w:val="center"/>
      </w:pPr>
      <w:r>
        <w:rPr>
          <w:rFonts w:ascii="Arial" w:cs="Arial" w:eastAsia="Arial" w:hAnsi="Arial"/>
          <w:i/>
          <w:iCs/>
          <w:color w:val="666666"/>
          <w:sz w:val="22"/>
          <w:szCs w:val="22"/>
        </w:rPr>
        <w:t xml:space="preserve">QSE Araştırma Notu v18 — 2025</w:t>
      </w:r>
    </w:p>
    <w:p>
      <w:pPr>
        <w:spacing w:before="0" w:after="560"/>
        <w:jc w:val="center"/>
      </w:pPr>
      <w:r>
        <w:rPr>
          <w:rFonts w:ascii="Arial" w:cs="Arial" w:eastAsia="Arial" w:hAnsi="Arial"/>
          <w:color w:val="666666"/>
          <w:sz w:val="22"/>
          <w:szCs w:val="22"/>
        </w:rPr>
        <w:t xml:space="preserve">Kuantum Simülasyon Motoru (QSE) Projesi — Bağımsız Araştırma</w:t>
      </w:r>
    </w:p>
    <w:p>
      <w:pPr>
        <w:pStyle w:val="Heading1"/>
        <w:spacing w:before="400" w:after="160"/>
      </w:pPr>
      <w:r>
        <w:rPr>
          <w:rFonts w:ascii="Arial" w:cs="Arial" w:eastAsia="Arial" w:hAnsi="Arial"/>
          <w:b/>
          <w:bCs/>
          <w:color w:val="1F3864"/>
          <w:sz w:val="32"/>
          <w:szCs w:val="32"/>
        </w:rPr>
        <w:t xml:space="preserve">Özet</w:t>
      </w:r>
    </w:p>
    <w:p>
      <w:pPr>
        <w:spacing w:before="80" w:after="80" w:line="340"/>
        <w:jc w:val="both"/>
      </w:pPr>
      <w:r>
        <w:rPr>
          <w:rFonts w:ascii="Arial" w:cs="Arial" w:eastAsia="Arial" w:hAnsi="Arial"/>
          <w:sz w:val="24"/>
          <w:szCs w:val="24"/>
        </w:rPr>
        <w:t xml:space="preserve">Bu çalışma, Clifford köprü devrelerinde — Dalga A'nın N paralel CNOT kapısıyla Dalga B'ye bağlandığı 2N kübitlik sistemlerde — von Neumann entropisi (VNE) dağılımı için birleşik bir analitik çerçeve sunmaktadır. Merkezi sonuç (Teorem 10): VNE = Σᵢ H_ikili(sin²(θ_Ai/2))·[Bᵢ ∉ X-özuzayı], burada θ_Ai, Dalga A'daki i. kubitin Bloch kutup açısıdır. Bu formül üç ayrı sonucu birleştirir: (T1) ayrık H-kapısı yerleşimi için multinomial kapalı form, (T6) sürekli Rx(θ) rotasyonları için VNE(θ)=N·H_ikili(sin²(θ/2)) ve (T7) bağımsız dalga yerleşimi için hipergeometrik dağılım. Vandermonde kimliği, T1 ve T7'nin aynı marjinal dağılımları ürettiğini kanıtlar. Tüm sonuçlar 1e-15'in altında hata ile sayısal olarak doğrulanmıştır.</w:t>
      </w:r>
    </w:p>
    <w:p>
      <w:r>
        <w:t xml:space="preserve"/>
      </w:r>
    </w:p>
    <w:p>
      <w:pPr>
        <w:pStyle w:val="Heading1"/>
        <w:spacing w:before="400" w:after="160"/>
      </w:pPr>
      <w:r>
        <w:rPr>
          <w:rFonts w:ascii="Arial" w:cs="Arial" w:eastAsia="Arial" w:hAnsi="Arial"/>
          <w:b/>
          <w:bCs/>
          <w:color w:val="1F3864"/>
          <w:sz w:val="32"/>
          <w:szCs w:val="32"/>
        </w:rPr>
        <w:t xml:space="preserve">1. Giriş</w:t>
      </w:r>
    </w:p>
    <w:p>
      <w:pPr>
        <w:spacing w:before="80" w:after="80" w:line="340"/>
        <w:jc w:val="both"/>
      </w:pPr>
      <w:r>
        <w:rPr>
          <w:rFonts w:ascii="Arial" w:cs="Arial" w:eastAsia="Arial" w:hAnsi="Arial"/>
          <w:sz w:val="24"/>
          <w:szCs w:val="24"/>
        </w:rPr>
        <w:t xml:space="preserve">Clifford grubu, Gottesman-Knill teoremi gereğince verimli klasik simülasyona izin verirken zengin bir dolanıklık yapısı sergilemektedir. Bu çalışma, yerel bir 8-kübitlik simülatörün kararlılık haritasını çıkarma amacıyla başlamıştır. 18 versiyon boyunca yinelemeli deneysellik yoluyla, ayrık kapı kombinatoriği, sürekli rotasyonlar ve çok dalgalı mimarileri tek bir entropi formülü altında birleştiren birleşik bir analitik çerçeve ortaya çıkmıştır.</w:t>
      </w:r>
    </w:p>
    <w:p>
      <w:r>
        <w:t xml:space="preserve"/>
      </w:r>
    </w:p>
    <w:p>
      <w:pPr>
        <w:pStyle w:val="Heading1"/>
        <w:spacing w:before="400" w:after="160"/>
      </w:pPr>
      <w:r>
        <w:rPr>
          <w:rFonts w:ascii="Arial" w:cs="Arial" w:eastAsia="Arial" w:hAnsi="Arial"/>
          <w:b/>
          <w:bCs/>
          <w:color w:val="1F3864"/>
          <w:sz w:val="32"/>
          <w:szCs w:val="32"/>
        </w:rPr>
        <w:t xml:space="preserve">2. Devre Mimarisi</w:t>
      </w:r>
    </w:p>
    <w:p>
      <w:pPr>
        <w:spacing w:before="80" w:after="80" w:line="340"/>
        <w:jc w:val="both"/>
      </w:pPr>
      <w:r>
        <w:rPr>
          <w:rFonts w:ascii="Arial" w:cs="Arial" w:eastAsia="Arial" w:hAnsi="Arial"/>
          <w:sz w:val="24"/>
          <w:szCs w:val="24"/>
        </w:rPr>
        <w:t xml:space="preserve">2N-kübitlik devreler, Dalga A (kübit 0..N−1) ve Dalga B (kübit N..2N−1) olarak ikiye ayrılmakta ve N paralel CNOT kapısıyla bağlanmaktadır. Her kübit, G = {H, X, Y, Z} kapı setinden veya sürekli Rx(θ) rotasyonundan bağımsız olarak bir kapı almaktadır. Dalga A'nın von Neumann entropisi VNE = S(ρ_A), birincil dolanıklık ölçüsü olarak kullanılmaktadır.</w:t>
      </w:r>
    </w:p>
    <w:p>
      <w:r>
        <w:t xml:space="preserve"/>
      </w:r>
    </w:p>
    <w:p>
      <w:pPr>
        <w:pStyle w:val="Heading1"/>
        <w:spacing w:before="400" w:after="160"/>
      </w:pPr>
      <w:r>
        <w:rPr>
          <w:rFonts w:ascii="Arial" w:cs="Arial" w:eastAsia="Arial" w:hAnsi="Arial"/>
          <w:b/>
          <w:bCs/>
          <w:color w:val="1F3864"/>
          <w:sz w:val="32"/>
          <w:szCs w:val="32"/>
        </w:rPr>
        <w:t xml:space="preserve">3. Ana Sonuçlar</w:t>
      </w:r>
    </w:p>
    <w:p>
      <w:pPr>
        <w:pStyle w:val="Heading2"/>
        <w:spacing w:before="260" w:after="100"/>
      </w:pPr>
      <w:r>
        <w:rPr>
          <w:rFonts w:ascii="Arial" w:cs="Arial" w:eastAsia="Arial" w:hAnsi="Arial"/>
          <w:b/>
          <w:bCs/>
          <w:color w:val="2E5F8A"/>
          <w:sz w:val="26"/>
          <w:szCs w:val="26"/>
        </w:rPr>
        <w:t xml:space="preserve">3.1 Teorem 1 — Multinomial Dağılım</w:t>
      </w:r>
    </w:p>
    <w:p>
      <w:pPr>
        <w:pBdr>
          <w:left w:val="single" w:color="1F3864" w:sz="16" w:space="10"/>
        </w:pBdr>
        <w:spacing w:before="200" w:after="200" w:line="360"/>
        <w:ind w:left="760" w:right="360"/>
        <w:jc w:val="both"/>
      </w:pPr>
      <w:r>
        <w:rPr>
          <w:rFonts w:ascii="Arial" w:cs="Arial" w:eastAsia="Arial" w:hAnsi="Arial"/>
          <w:i/>
          <w:iCs/>
          <w:sz w:val="24"/>
          <w:szCs w:val="24"/>
        </w:rPr>
        <w:t xml:space="preserve">Teorem 1: 2N kübitlik bir devrede h adet Hadamard kapısı 2N pozisyona {H, X, Y, Z}'den eşit olasılıkla yerleştirildiğinde, VNE = v olma olasılığı: P(VNE=v|h,N) = (1/C(2N,h)) · Σ_p [N! / (p!·v!·(h−v−2p)!·(N+p−h)!)]</w:t>
      </w:r>
    </w:p>
    <w:p>
      <w:r>
        <w:t xml:space="preserve"/>
      </w:r>
    </w:p>
    <w:p>
      <w:pPr>
        <w:spacing w:before="80" w:after="80" w:line="340"/>
        <w:jc w:val="both"/>
      </w:pPr>
      <w:r>
        <w:rPr>
          <w:rFonts w:ascii="Arial" w:cs="Arial" w:eastAsia="Arial" w:hAnsi="Arial"/>
          <w:sz w:val="24"/>
          <w:szCs w:val="24"/>
        </w:rPr>
        <w:t xml:space="preserve">Fiziksel kaynak: VNE = #{i: A_i=H VE B_i≠H}. CNOT(|+⟩,|+⟩) = |+⟩⊗|+⟩ özdeşliği, çakışan H kapılarının dolanıklık üretmediğini garanti eder.</w:t>
      </w:r>
    </w:p>
    <w:p>
      <w:r>
        <w:t xml:space="preserve"/>
      </w:r>
    </w:p>
    <w:p>
      <w:pPr>
        <w:spacing w:before="80" w:after="80" w:line="340"/>
        <w:jc w:val="both"/>
      </w:pPr>
      <w:r>
        <w:rPr>
          <w:rFonts w:ascii="Arial" w:cs="Arial" w:eastAsia="Arial" w:hAnsi="Arial"/>
          <w:sz w:val="24"/>
          <w:szCs w:val="24"/>
        </w:rPr>
        <w:t xml:space="preserve">Ayna simetrisi: P(VNE=v|h,N) = P(VNE=v|2N−h,N) tüm N, h, v için.</w:t>
      </w:r>
    </w:p>
    <w:p>
      <w:r>
        <w:t xml:space="preserve"/>
      </w:r>
    </w:p>
    <w:p>
      <w:pPr>
        <w:pStyle w:val="Heading2"/>
        <w:spacing w:before="260" w:after="100"/>
      </w:pPr>
      <w:r>
        <w:rPr>
          <w:rFonts w:ascii="Arial" w:cs="Arial" w:eastAsia="Arial" w:hAnsi="Arial"/>
          <w:b/>
          <w:bCs/>
          <w:color w:val="2E5F8A"/>
          <w:sz w:val="26"/>
          <w:szCs w:val="26"/>
        </w:rPr>
        <w:t xml:space="preserve">3.2 Teorem 6 — Sürekli Rx Rotasyonu</w:t>
      </w:r>
    </w:p>
    <w:p>
      <w:pPr>
        <w:pBdr>
          <w:left w:val="single" w:color="1F3864" w:sz="16" w:space="10"/>
        </w:pBdr>
        <w:spacing w:before="200" w:after="200" w:line="360"/>
        <w:ind w:left="760" w:right="360"/>
        <w:jc w:val="both"/>
      </w:pPr>
      <w:r>
        <w:rPr>
          <w:rFonts w:ascii="Arial" w:cs="Arial" w:eastAsia="Arial" w:hAnsi="Arial"/>
          <w:i/>
          <w:iCs/>
          <w:sz w:val="24"/>
          <w:szCs w:val="24"/>
        </w:rPr>
        <w:t xml:space="preserve">Teorem 6: Rx(θ)⊗2N + N paralel CNOT için: VNE(θ) = N · H_ikili(sin²(θ/2)).</w:t>
      </w:r>
    </w:p>
    <w:p>
      <w:pPr>
        <w:pBdr>
          <w:top w:val="single" w:color="DDDDDD" w:sz="1"/>
          <w:bottom w:val="single" w:color="DDDDDD" w:sz="1"/>
        </w:pBdr>
        <w:shd w:fill="F5F7FA" w:val="clear"/>
        <w:spacing w:before="160" w:after="160"/>
        <w:ind w:left="400" w:right="400"/>
        <w:jc w:val="center"/>
      </w:pPr>
      <w:r>
        <w:rPr>
          <w:rFonts w:ascii="Courier New" w:cs="Courier New" w:eastAsia="Courier New" w:hAnsi="Courier New"/>
          <w:b/>
          <w:bCs/>
          <w:sz w:val="25"/>
          <w:szCs w:val="25"/>
        </w:rPr>
        <w:t xml:space="preserve">VNE(θ) = N · H_binary(sin²(θ/2))     [max_err &lt; 1e-15, N=2..5]</w:t>
      </w:r>
    </w:p>
    <w:p>
      <w:r>
        <w:t xml:space="preserve"/>
      </w:r>
    </w:p>
    <w:p>
      <w:pPr>
        <w:pStyle w:val="Heading2"/>
        <w:spacing w:before="260" w:after="100"/>
      </w:pPr>
      <w:r>
        <w:rPr>
          <w:rFonts w:ascii="Arial" w:cs="Arial" w:eastAsia="Arial" w:hAnsi="Arial"/>
          <w:b/>
          <w:bCs/>
          <w:color w:val="2E5F8A"/>
          <w:sz w:val="26"/>
          <w:szCs w:val="26"/>
        </w:rPr>
        <w:t xml:space="preserve">3.3 Teorem 7 — Hipergeometrik Dağılım (3N)</w:t>
      </w:r>
    </w:p>
    <w:p>
      <w:pPr>
        <w:spacing w:before="80" w:after="80" w:line="340"/>
        <w:jc w:val="both"/>
      </w:pPr>
      <w:r>
        <w:rPr>
          <w:rFonts w:ascii="Arial" w:cs="Arial" w:eastAsia="Arial" w:hAnsi="Arial"/>
          <w:sz w:val="24"/>
          <w:szCs w:val="24"/>
        </w:rPr>
        <w:t xml:space="preserve">3N-kübitlik zincirde (A→B→C) Dalga A'ya bağımsız olarak h_A, Dalga B'ye h_B Hadamard kapısı yerleştirildiğinde:</w:t>
      </w:r>
    </w:p>
    <w:p>
      <w:pPr>
        <w:pBdr>
          <w:top w:val="single" w:color="DDDDDD" w:sz="1"/>
          <w:bottom w:val="single" w:color="DDDDDD" w:sz="1"/>
        </w:pBdr>
        <w:shd w:fill="F5F7FA" w:val="clear"/>
        <w:spacing w:before="160" w:after="160"/>
        <w:ind w:left="400" w:right="400"/>
        <w:jc w:val="center"/>
      </w:pPr>
      <w:r>
        <w:rPr>
          <w:rFonts w:ascii="Courier New" w:cs="Courier New" w:eastAsia="Courier New" w:hAnsi="Courier New"/>
          <w:b/>
          <w:bCs/>
          <w:sz w:val="25"/>
          <w:szCs w:val="25"/>
        </w:rPr>
        <w:t xml:space="preserve">P(VNE_AB=v | h_A, h_B, N) = C(h_A,v)·C(N−h_A,h_B−h_A+v) / C(N,h_B)</w:t>
      </w:r>
    </w:p>
    <w:p>
      <w:pPr>
        <w:pBdr>
          <w:top w:val="single" w:color="DDDDDD" w:sz="1"/>
          <w:bottom w:val="single" w:color="DDDDDD" w:sz="1"/>
        </w:pBdr>
        <w:shd w:fill="F5F7FA" w:val="clear"/>
        <w:spacing w:before="160" w:after="160"/>
        <w:ind w:left="400" w:right="400"/>
        <w:jc w:val="center"/>
      </w:pPr>
      <w:r>
        <w:rPr>
          <w:rFonts w:ascii="Courier New" w:cs="Courier New" w:eastAsia="Courier New" w:hAnsi="Courier New"/>
          <w:b/>
          <w:bCs/>
          <w:sz w:val="25"/>
          <w:szCs w:val="25"/>
        </w:rPr>
        <w:t xml:space="preserve">E[VNE_AB] = h_A · (N − h_B) / N</w:t>
      </w:r>
    </w:p>
    <w:p>
      <w:r>
        <w:t xml:space="preserve"/>
      </w:r>
    </w:p>
    <w:p>
      <w:pPr>
        <w:spacing w:before="80" w:after="80" w:line="340"/>
        <w:jc w:val="both"/>
      </w:pPr>
      <w:r>
        <w:rPr>
          <w:rFonts w:ascii="Arial" w:cs="Arial" w:eastAsia="Arial" w:hAnsi="Arial"/>
          <w:sz w:val="24"/>
          <w:szCs w:val="24"/>
        </w:rPr>
        <w:t xml:space="preserve">Bağımsızlık (T4): VNE_AB, h_C'den bağımsızdır. Schmidt simetrisi (T9): S(ρ_BC) = S(ρ_A).</w:t>
      </w:r>
    </w:p>
    <w:p>
      <w:r>
        <w:t xml:space="preserve"/>
      </w:r>
    </w:p>
    <w:p>
      <w:pPr>
        <w:pStyle w:val="Heading2"/>
        <w:spacing w:before="260" w:after="100"/>
      </w:pPr>
      <w:r>
        <w:rPr>
          <w:rFonts w:ascii="Arial" w:cs="Arial" w:eastAsia="Arial" w:hAnsi="Arial"/>
          <w:b/>
          <w:bCs/>
          <w:color w:val="2E5F8A"/>
          <w:sz w:val="26"/>
          <w:szCs w:val="26"/>
        </w:rPr>
        <w:t xml:space="preserve">3.4 Vandermonde Kimliği</w:t>
      </w:r>
    </w:p>
    <w:p>
      <w:pPr>
        <w:pBdr>
          <w:left w:val="single" w:color="1F3864" w:sz="16" w:space="10"/>
        </w:pBdr>
        <w:spacing w:before="200" w:after="200" w:line="360"/>
        <w:ind w:left="760" w:right="360"/>
        <w:jc w:val="both"/>
      </w:pPr>
      <w:r>
        <w:rPr>
          <w:rFonts w:ascii="Arial" w:cs="Arial" w:eastAsia="Arial" w:hAnsi="Arial"/>
          <w:i/>
          <w:iCs/>
          <w:sz w:val="24"/>
          <w:szCs w:val="24"/>
        </w:rPr>
        <w:t xml:space="preserve">Vandermonde Kimliği: T1(v|h,N) = Σ_{h_A+h_B=h} [C(N,h_A)·C(N,h_B)/C(2N,h)] · T7(v|h_A,hB,N). Sonuç: H kapılarının birlikte mi (T1) yoksa bağımsız mı (T7) yerleştirildiğinden bağımsız olarak marjinal VNE dağılımı aynıdır.</w:t>
      </w:r>
    </w:p>
    <w:p>
      <w:r>
        <w:t xml:space="preserve"/>
      </w:r>
    </w:p>
    <w:p>
      <w:pPr>
        <w:pStyle w:val="Heading2"/>
        <w:spacing w:before="260" w:after="100"/>
      </w:pPr>
      <w:r>
        <w:rPr>
          <w:rFonts w:ascii="Arial" w:cs="Arial" w:eastAsia="Arial" w:hAnsi="Arial"/>
          <w:b/>
          <w:bCs/>
          <w:color w:val="2E5F8A"/>
          <w:sz w:val="26"/>
          <w:szCs w:val="26"/>
        </w:rPr>
        <w:t xml:space="preserve">3.5 Teorem 10 — Birleşik VNE Formülü</w:t>
      </w:r>
    </w:p>
    <w:p>
      <w:pPr>
        <w:pBdr>
          <w:left w:val="single" w:color="1F3864" w:sz="16" w:space="10"/>
        </w:pBdr>
        <w:spacing w:before="200" w:after="200" w:line="360"/>
        <w:ind w:left="760" w:right="360"/>
        <w:jc w:val="both"/>
      </w:pPr>
      <w:r>
        <w:rPr>
          <w:rFonts w:ascii="Arial" w:cs="Arial" w:eastAsia="Arial" w:hAnsi="Arial"/>
          <w:i/>
          <w:iCs/>
          <w:sz w:val="24"/>
          <w:szCs w:val="24"/>
        </w:rPr>
        <w:t xml:space="preserve">Teorem 10 (Birleşik): VNE = Σᵢ H_ikili(sin²(θ_Ai/2)) · [Bᵢ ∉ X-özuzayı] — burada gösterge fonksiyonu, B_i bir X-özdurumuysa sıfırdır. Özel durumlar: T1 (θ ∈ {0,π/2}), T6 (B'de X-özdurum yok), T7 (beklenti).</w:t>
      </w:r>
    </w:p>
    <w:p>
      <w:pPr>
        <w:pBdr>
          <w:top w:val="single" w:color="DDDDDD" w:sz="1"/>
          <w:bottom w:val="single" w:color="DDDDDD" w:sz="1"/>
        </w:pBdr>
        <w:shd w:fill="F5F7FA" w:val="clear"/>
        <w:spacing w:before="160" w:after="160"/>
        <w:ind w:left="400" w:right="400"/>
        <w:jc w:val="center"/>
      </w:pPr>
      <w:r>
        <w:rPr>
          <w:rFonts w:ascii="Courier New" w:cs="Courier New" w:eastAsia="Courier New" w:hAnsi="Courier New"/>
          <w:b/>
          <w:bCs/>
          <w:sz w:val="25"/>
          <w:szCs w:val="25"/>
        </w:rPr>
        <w:t xml:space="preserve">VNE = Σᵢ H_binary(sin²(θ_Ai/2)) · [Bᵢ ∉ {|+⟩, |−⟩}]   max_err &lt; 1e-15</w:t>
      </w:r>
    </w:p>
    <w:p>
      <w:r>
        <w:t xml:space="preserve"/>
      </w:r>
    </w:p>
    <w:p>
      <w:pPr>
        <w:spacing w:before="80" w:after="80" w:line="340"/>
        <w:jc w:val="both"/>
      </w:pPr>
      <w:r>
        <w:rPr>
          <w:rFonts w:ascii="Arial" w:cs="Arial" w:eastAsia="Arial" w:hAnsi="Arial"/>
          <w:sz w:val="24"/>
          <w:szCs w:val="24"/>
        </w:rPr>
        <w:t xml:space="preserve">B-tarafı kuralı: VNE_i = 0 ancak ve ancak B_i ∈ {|+⟩, |−⟩}. Clifford devrelerinde yalnızca H X-özdurum üretir; genel kural tüm kapı setlerini kapsar.</w:t>
      </w:r>
    </w:p>
    <w:p>
      <w:r>
        <w:t xml:space="preserve"/>
      </w:r>
    </w:p>
    <w:p>
      <w:pPr>
        <w:pStyle w:val="Heading1"/>
        <w:spacing w:before="400" w:after="160"/>
      </w:pPr>
      <w:r>
        <w:rPr>
          <w:rFonts w:ascii="Arial" w:cs="Arial" w:eastAsia="Arial" w:hAnsi="Arial"/>
          <w:b/>
          <w:bCs/>
          <w:color w:val="1F3864"/>
          <w:sz w:val="32"/>
          <w:szCs w:val="32"/>
        </w:rPr>
        <w:t xml:space="preserve">4. Ek Teoremler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000"/>
        <w:gridCol w:w="2426"/>
      </w:tblGrid>
      <w:tr>
        <w:tc>
          <w:tcPr>
            <w:tcW w:type="dxa" w:w="600"/>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rFonts w:ascii="Arial" w:cs="Arial" w:eastAsia="Arial" w:hAnsi="Arial"/>
                <w:b/>
                <w:bCs/>
                <w:sz w:val="22"/>
                <w:szCs w:val="22"/>
              </w:rPr>
              <w:t xml:space="preserve">#</w:t>
            </w:r>
          </w:p>
        </w:tc>
        <w:tc>
          <w:tcPr>
            <w:tcW w:type="dxa" w:w="6000"/>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rFonts w:ascii="Arial" w:cs="Arial" w:eastAsia="Arial" w:hAnsi="Arial"/>
                <w:b/>
                <w:bCs/>
                <w:sz w:val="22"/>
                <w:szCs w:val="22"/>
              </w:rPr>
              <w:t xml:space="preserve">İfade</w:t>
            </w:r>
          </w:p>
        </w:tc>
        <w:tc>
          <w:tcPr>
            <w:tcW w:type="dxa" w:w="2426"/>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rFonts w:ascii="Arial" w:cs="Arial" w:eastAsia="Arial" w:hAnsi="Arial"/>
                <w:b/>
                <w:bCs/>
                <w:sz w:val="22"/>
                <w:szCs w:val="22"/>
              </w:rPr>
              <w:t xml:space="preserve">Durum</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T2</w:t>
            </w:r>
          </w:p>
        </w:tc>
        <w:tc>
          <w:tcPr>
            <w:tcW w:type="dxa" w:w="6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T-gate: linear regime k&lt;4, T⁴=i·I periodicity</w:t>
            </w:r>
          </w:p>
        </w:tc>
        <w:tc>
          <w:tcPr>
            <w:tcW w:type="dxa" w:w="24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 Numerical</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T3</w:t>
            </w:r>
          </w:p>
        </w:tc>
        <w:tc>
          <w:tcPr>
            <w:tcW w:type="dxa" w:w="6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H→T→CNOT = magic; T→H→CNOT = zero magic</w:t>
            </w:r>
          </w:p>
        </w:tc>
        <w:tc>
          <w:tcPr>
            <w:tcW w:type="dxa" w:w="24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 Proved</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T4</w:t>
            </w:r>
          </w:p>
        </w:tc>
        <w:tc>
          <w:tcPr>
            <w:tcW w:type="dxa" w:w="6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3N: VNE_AB independent of h_C</w:t>
            </w:r>
          </w:p>
        </w:tc>
        <w:tc>
          <w:tcPr>
            <w:tcW w:type="dxa" w:w="24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 Proved</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T5</w:t>
            </w:r>
          </w:p>
        </w:tc>
        <w:tc>
          <w:tcPr>
            <w:tcW w:type="dxa" w:w="6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T on Wave A → both VNE_AB and VNE_BC preserved</w:t>
            </w:r>
          </w:p>
        </w:tc>
        <w:tc>
          <w:tcPr>
            <w:tcW w:type="dxa" w:w="24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 Proved</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T8</w:t>
            </w:r>
          </w:p>
        </w:tc>
        <w:tc>
          <w:tcPr>
            <w:tcW w:type="dxa" w:w="6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T on Wave A → int_dev_AB = int_dev_BC = 0</w:t>
            </w:r>
          </w:p>
        </w:tc>
        <w:tc>
          <w:tcPr>
            <w:tcW w:type="dxa" w:w="24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 Proved</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T9</w:t>
            </w:r>
          </w:p>
        </w:tc>
        <w:tc>
          <w:tcPr>
            <w:tcW w:type="dxa" w:w="6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S(ρ_BC) = S(ρ_A) for all configurations</w:t>
            </w:r>
          </w:p>
        </w:tc>
        <w:tc>
          <w:tcPr>
            <w:tcW w:type="dxa" w:w="24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 Proved</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VK</w:t>
            </w:r>
          </w:p>
        </w:tc>
        <w:tc>
          <w:tcPr>
            <w:tcW w:type="dxa" w:w="6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Vandermonde: T1 = T7 marginal (max_err &lt; 1e-16)</w:t>
            </w:r>
          </w:p>
        </w:tc>
        <w:tc>
          <w:tcPr>
            <w:tcW w:type="dxa" w:w="24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 Proved</w:t>
            </w:r>
          </w:p>
        </w:tc>
      </w:tr>
    </w:tbl>
    <w:p>
      <w:r>
        <w:t xml:space="preserve"/>
      </w:r>
    </w:p>
    <w:p>
      <w:pPr>
        <w:pStyle w:val="Heading1"/>
        <w:spacing w:before="400" w:after="160"/>
      </w:pPr>
      <w:r>
        <w:rPr>
          <w:rFonts w:ascii="Arial" w:cs="Arial" w:eastAsia="Arial" w:hAnsi="Arial"/>
          <w:b/>
          <w:bCs/>
          <w:color w:val="1F3864"/>
          <w:sz w:val="32"/>
          <w:szCs w:val="32"/>
        </w:rPr>
        <w:t xml:space="preserve">5. Sayısal Doğrulama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800"/>
        <w:gridCol w:w="2426"/>
      </w:tblGrid>
      <w:tr>
        <w:tc>
          <w:tcPr>
            <w:tcW w:type="dxa" w:w="1200"/>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rFonts w:ascii="Arial" w:cs="Arial" w:eastAsia="Arial" w:hAnsi="Arial"/>
                <w:b/>
                <w:bCs/>
                <w:sz w:val="22"/>
                <w:szCs w:val="22"/>
              </w:rPr>
              <w:t xml:space="preserve">Test</w:t>
            </w:r>
          </w:p>
        </w:tc>
        <w:tc>
          <w:tcPr>
            <w:tcW w:type="dxa" w:w="3600"/>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rFonts w:ascii="Arial" w:cs="Arial" w:eastAsia="Arial" w:hAnsi="Arial"/>
                <w:b/>
                <w:bCs/>
                <w:sz w:val="22"/>
                <w:szCs w:val="22"/>
              </w:rPr>
              <w:t xml:space="preserve">Konfigürasyon</w:t>
            </w:r>
          </w:p>
        </w:tc>
        <w:tc>
          <w:tcPr>
            <w:tcW w:type="dxa" w:w="1800"/>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rFonts w:ascii="Arial" w:cs="Arial" w:eastAsia="Arial" w:hAnsi="Arial"/>
                <w:b/>
                <w:bCs/>
                <w:sz w:val="22"/>
                <w:szCs w:val="22"/>
              </w:rPr>
              <w:t xml:space="preserve">Max Hata</w:t>
            </w:r>
          </w:p>
        </w:tc>
        <w:tc>
          <w:tcPr>
            <w:tcW w:type="dxa" w:w="2426"/>
            <w:tcBorders>
              <w:top w:val="single" w:color="CCCCCC" w:sz="1"/>
              <w:left w:val="single" w:color="CCCCCC" w:sz="1"/>
              <w:bottom w:val="single" w:color="CCCCCC" w:sz="1"/>
              <w:right w:val="single" w:color="CCCCCC" w:sz="1"/>
            </w:tcBorders>
            <w:shd w:fill="D9E2F3" w:val="clear"/>
            <w:tcMar>
              <w:top w:type="dxa" w:w="80"/>
              <w:left w:type="dxa" w:w="100"/>
              <w:bottom w:type="dxa" w:w="80"/>
              <w:right w:type="dxa" w:w="100"/>
            </w:tcMar>
          </w:tcPr>
          <w:p>
            <w:r>
              <w:rPr>
                <w:rFonts w:ascii="Arial" w:cs="Arial" w:eastAsia="Arial" w:hAnsi="Arial"/>
                <w:b/>
                <w:bCs/>
                <w:sz w:val="22"/>
                <w:szCs w:val="22"/>
              </w:rPr>
              <w:t xml:space="preserve">Durum</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T1</w:t>
            </w:r>
          </w:p>
        </w:tc>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N=2..5, exhaustive</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0.00e+00</w:t>
            </w:r>
          </w:p>
        </w:tc>
        <w:tc>
          <w:tcPr>
            <w:tcW w:type="dxa" w:w="24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T6</w:t>
            </w:r>
          </w:p>
        </w:tc>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N=2..5, θ∈[0,2π]</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&lt; 1e-15</w:t>
            </w:r>
          </w:p>
        </w:tc>
        <w:tc>
          <w:tcPr>
            <w:tcW w:type="dxa" w:w="24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T7</w:t>
            </w:r>
          </w:p>
        </w:tc>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N=2..5, all (hA,hB)</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&lt; 3e-15</w:t>
            </w:r>
          </w:p>
        </w:tc>
        <w:tc>
          <w:tcPr>
            <w:tcW w:type="dxa" w:w="24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T10</w:t>
            </w:r>
          </w:p>
        </w:tc>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81 (p,q) combos</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&lt; 1.6e-15</w:t>
            </w:r>
          </w:p>
        </w:tc>
        <w:tc>
          <w:tcPr>
            <w:tcW w:type="dxa" w:w="24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VK</w:t>
            </w:r>
          </w:p>
        </w:tc>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N=2..5, all (h,v)</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&lt; 5.5e-17</w:t>
            </w:r>
          </w:p>
        </w:tc>
        <w:tc>
          <w:tcPr>
            <w:tcW w:type="dxa" w:w="24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T3</w:t>
            </w:r>
          </w:p>
        </w:tc>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t∈[0,1], N=2..5</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0.00e+00</w:t>
            </w:r>
          </w:p>
        </w:tc>
        <w:tc>
          <w:tcPr>
            <w:tcW w:type="dxa" w:w="24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T5</w:t>
            </w:r>
          </w:p>
        </w:tc>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t∈[0,1], 3N</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0.00e+00</w:t>
            </w:r>
          </w:p>
        </w:tc>
        <w:tc>
          <w:tcPr>
            <w:tcW w:type="dxa" w:w="24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2"/>
                <w:szCs w:val="22"/>
              </w:rPr>
              <w:t xml:space="preserve">✓</w:t>
            </w:r>
          </w:p>
        </w:tc>
      </w:tr>
    </w:tbl>
    <w:p>
      <w:r>
        <w:t xml:space="preserve"/>
      </w:r>
    </w:p>
    <w:p>
      <w:pPr>
        <w:pStyle w:val="Heading1"/>
        <w:spacing w:before="400" w:after="160"/>
      </w:pPr>
      <w:r>
        <w:rPr>
          <w:rFonts w:ascii="Arial" w:cs="Arial" w:eastAsia="Arial" w:hAnsi="Arial"/>
          <w:b/>
          <w:bCs/>
          <w:color w:val="1F3864"/>
          <w:sz w:val="32"/>
          <w:szCs w:val="32"/>
        </w:rPr>
        <w:t xml:space="preserve">6. Sonuç</w:t>
      </w:r>
    </w:p>
    <w:p>
      <w:pPr>
        <w:spacing w:before="80" w:after="80" w:line="340"/>
        <w:jc w:val="both"/>
      </w:pPr>
      <w:r>
        <w:rPr>
          <w:rFonts w:ascii="Arial" w:cs="Arial" w:eastAsia="Arial" w:hAnsi="Arial"/>
          <w:sz w:val="24"/>
          <w:szCs w:val="24"/>
        </w:rPr>
        <w:t xml:space="preserve">Clifford köprü devrelerinde VNE için birleşik bir çerçeve kurulmuştur. Merkezi formül, üç rejimi ortak bir mekanizmayla birleştirir: A_i süperpozisyondayken ve B_i CNOT'u nötrleştirmediğinde dolanıklık oluşur. Açık yönler: T10 çift bağımsızlığının tam cebirsel ispatı, kN→∞ asimptotik analiz ve gerçek donanımda doğrulama.</w:t>
      </w:r>
    </w:p>
    <w:p>
      <w:r>
        <w:t xml:space="preserve"/>
      </w:r>
    </w:p>
    <w:p>
      <w:pPr>
        <w:pStyle w:val="Heading1"/>
        <w:spacing w:before="400" w:after="160"/>
      </w:pPr>
      <w:r>
        <w:rPr>
          <w:rFonts w:ascii="Arial" w:cs="Arial" w:eastAsia="Arial" w:hAnsi="Arial"/>
          <w:b/>
          <w:bCs/>
          <w:color w:val="1F3864"/>
          <w:sz w:val="32"/>
          <w:szCs w:val="32"/>
        </w:rPr>
        <w:t xml:space="preserve">Kaynaklar</w:t>
      </w:r>
    </w:p>
    <w:p>
      <w:pPr>
        <w:spacing w:before="80" w:after="80"/>
        <w:ind w:left="480" w:hanging="480"/>
      </w:pPr>
      <w:r>
        <w:rPr>
          <w:rFonts w:ascii="Arial" w:cs="Arial" w:eastAsia="Arial" w:hAnsi="Arial"/>
          <w:sz w:val="20"/>
          <w:szCs w:val="20"/>
        </w:rPr>
        <w:t xml:space="preserve">[1] Gottesman, D. (1997). Stabilizer codes and quantum error correction. PhD thesis, Caltech.</w:t>
      </w:r>
    </w:p>
    <w:p>
      <w:pPr>
        <w:spacing w:before="80" w:after="80"/>
        <w:ind w:left="480" w:hanging="480"/>
      </w:pPr>
      <w:r>
        <w:rPr>
          <w:rFonts w:ascii="Arial" w:cs="Arial" w:eastAsia="Arial" w:hAnsi="Arial"/>
          <w:sz w:val="20"/>
          <w:szCs w:val="20"/>
        </w:rPr>
        <w:t xml:space="preserve">[2] Bravyi, S. &amp; Maslov, D. (2021). Hadamard-free circuits expose the structure of the Clifford group. IEEE Trans. Inf. Theory, 67(7), 4546–4563.</w:t>
      </w:r>
    </w:p>
    <w:p>
      <w:pPr>
        <w:spacing w:before="80" w:after="80"/>
        <w:ind w:left="480" w:hanging="480"/>
      </w:pPr>
      <w:r>
        <w:rPr>
          <w:rFonts w:ascii="Arial" w:cs="Arial" w:eastAsia="Arial" w:hAnsi="Arial"/>
          <w:sz w:val="20"/>
          <w:szCs w:val="20"/>
        </w:rPr>
        <w:t xml:space="preserve">[3] Aaronson, S. &amp; Gottesman, D. (2004). Improved simulation of stabilizer circuits. Physical Review A, 70, 052328.</w:t>
      </w:r>
    </w:p>
    <w:p>
      <w:pPr>
        <w:spacing w:before="80" w:after="80"/>
        <w:ind w:left="480" w:hanging="480"/>
      </w:pPr>
      <w:r>
        <w:rPr>
          <w:rFonts w:ascii="Arial" w:cs="Arial" w:eastAsia="Arial" w:hAnsi="Arial"/>
          <w:sz w:val="20"/>
          <w:szCs w:val="20"/>
        </w:rPr>
        <w:t xml:space="preserve">[4] Nielsen, M. A. &amp; Chuang, I. L. (2000). Quantum Computation and Quantum Information. Cambridge University Press.</w:t>
      </w:r>
    </w:p>
    <w:p>
      <w:pPr>
        <w:spacing w:before="80" w:after="80"/>
        <w:ind w:left="480" w:hanging="480"/>
      </w:pPr>
      <w:r>
        <w:rPr>
          <w:rFonts w:ascii="Arial" w:cs="Arial" w:eastAsia="Arial" w:hAnsi="Arial"/>
          <w:sz w:val="20"/>
          <w:szCs w:val="20"/>
        </w:rPr>
        <w:t xml:space="preserve">[5] McClean, J. R. et al. (2018). Barren plateaus in quantum neural network training. Nature Comm., 9, 4812.</w:t>
      </w:r>
    </w:p>
    <w:p>
      <w:pPr>
        <w:spacing w:before="80" w:after="80"/>
        <w:ind w:left="480" w:hanging="480"/>
      </w:pPr>
      <w:r>
        <w:rPr>
          <w:rFonts w:ascii="Arial" w:cs="Arial" w:eastAsia="Arial" w:hAnsi="Arial"/>
          <w:sz w:val="20"/>
          <w:szCs w:val="20"/>
        </w:rPr>
        <w:t xml:space="preserve">[6] Qiskit Development Team. (2024). Qiskit: An Open-source Framework. https://qiskit.org</w:t>
      </w:r>
    </w:p>
    <w:p>
      <w:r>
        <w:t xml:space="preserve"/>
      </w:r>
    </w:p>
    <w:p>
      <w:r>
        <w:t xml:space="preserve"/>
      </w:r>
    </w:p>
    <w:p>
      <w:pPr>
        <w:jc w:val="center"/>
      </w:pPr>
      <w:r>
        <w:rPr>
          <w:rFonts w:ascii="Arial" w:cs="Arial" w:eastAsia="Arial" w:hAnsi="Arial"/>
          <w:i/>
          <w:iCs/>
          <w:color w:val="888888"/>
          <w:sz w:val="20"/>
          <w:szCs w:val="20"/>
        </w:rPr>
        <w:t xml:space="preserve">— QSE Research Note v18 | 2025 | Independent Research —</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20"/>
        <w:szCs w:val="20"/>
      </w:rPr>
      <w:t xml:space="preserve">QSE v18 | Sayfa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60" w:after="10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2026-03-19T12:04:55.619Z</dcterms:created>
  <dcterms:modified xsi:type="dcterms:W3CDTF">2026-03-19T12:04:55.619Z</dcterms:modified>
</cp:coreProperties>
</file>

<file path=docProps/custom.xml><?xml version="1.0" encoding="utf-8"?>
<Properties xmlns="http://schemas.openxmlformats.org/officeDocument/2006/custom-properties" xmlns:vt="http://schemas.openxmlformats.org/officeDocument/2006/docPropsVTypes"/>
</file>