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jc w:val="both"/>
      </w:pPr>
      <w:r>
        <w:rPr>
          <w:rFonts w:ascii="Aptos" w:hAnsi="Aptos"/>
          <w:b w:val="0"/>
          <w:sz w:val="24"/>
        </w:rPr>
      </w:r>
    </w:p>
    <w:p>
      <w:pPr>
        <w:spacing w:line="276" w:lineRule="auto" w:after="120"/>
        <w:jc w:val="both"/>
      </w:pPr>
      <w:r>
        <w:rPr>
          <w:rFonts w:ascii="Aptos" w:hAnsi="Aptos"/>
          <w:b w:val="0"/>
          <w:sz w:val="24"/>
        </w:rPr>
      </w:r>
    </w:p>
    <w:p>
      <w:pPr>
        <w:spacing w:line="276" w:lineRule="auto" w:after="120"/>
        <w:jc w:val="both"/>
      </w:pPr>
      <w:r>
        <w:rPr>
          <w:rFonts w:ascii="Aptos" w:hAnsi="Aptos"/>
          <w:b w:val="0"/>
          <w:sz w:val="24"/>
        </w:rPr>
      </w:r>
    </w:p>
    <w:p>
      <w:pPr>
        <w:spacing w:line="276" w:lineRule="auto" w:after="120"/>
        <w:jc w:val="both"/>
      </w:pPr>
      <w:r>
        <w:rPr>
          <w:rFonts w:ascii="Aptos" w:hAnsi="Aptos"/>
          <w:b w:val="0"/>
          <w:sz w:val="24"/>
        </w:rPr>
      </w:r>
    </w:p>
    <w:p>
      <w:pPr>
        <w:spacing w:line="276" w:lineRule="auto" w:after="120"/>
        <w:jc w:val="both"/>
      </w:pPr>
      <w:r>
        <w:rPr>
          <w:rFonts w:ascii="Aptos" w:hAnsi="Aptos"/>
          <w:b w:val="0"/>
          <w:sz w:val="24"/>
        </w:rPr>
      </w:r>
    </w:p>
    <w:p>
      <w:pPr>
        <w:spacing w:line="276" w:lineRule="auto" w:after="120"/>
        <w:jc w:val="both"/>
      </w:pPr>
      <w:r>
        <w:rPr>
          <w:rFonts w:ascii="Aptos" w:hAnsi="Aptos"/>
          <w:b w:val="0"/>
          <w:sz w:val="24"/>
        </w:rPr>
      </w:r>
    </w:p>
    <w:p>
      <w:pPr>
        <w:spacing w:line="276" w:lineRule="auto" w:after="120"/>
        <w:jc w:val="center"/>
      </w:pPr>
      <w:r>
        <w:rPr>
          <w:rFonts w:ascii="Aptos" w:hAnsi="Aptos"/>
          <w:b/>
          <w:sz w:val="36"/>
        </w:rPr>
        <w:t>SAĞLIKTA YAPAY ZEKA YARIŞMASI</w:t>
      </w:r>
    </w:p>
    <w:p>
      <w:pPr>
        <w:spacing w:line="276" w:lineRule="auto" w:after="120"/>
        <w:jc w:val="center"/>
      </w:pPr>
      <w:r>
        <w:rPr>
          <w:rFonts w:ascii="Aptos" w:hAnsi="Aptos"/>
          <w:b/>
          <w:sz w:val="32"/>
        </w:rPr>
        <w:t>PROJE SUNUŞ RAPORU</w:t>
      </w:r>
    </w:p>
    <w:p>
      <w:pPr>
        <w:spacing w:line="276" w:lineRule="auto" w:after="120"/>
        <w:jc w:val="both"/>
      </w:pPr>
      <w:r>
        <w:rPr>
          <w:rFonts w:ascii="Aptos" w:hAnsi="Aptos"/>
          <w:b w:val="0"/>
          <w:sz w:val="24"/>
        </w:rPr>
      </w:r>
    </w:p>
    <w:p>
      <w:pPr>
        <w:spacing w:line="276" w:lineRule="auto" w:after="120"/>
        <w:jc w:val="center"/>
      </w:pPr>
      <w:r>
        <w:rPr>
          <w:rFonts w:ascii="Aptos" w:hAnsi="Aptos"/>
          <w:b w:val="0"/>
          <w:sz w:val="26"/>
        </w:rPr>
        <w:t>GÖREV: Missense Genetik Varyantların Patojenik / Benign Olarak Sınıflandırılması</w:t>
      </w:r>
    </w:p>
    <w:p>
      <w:pPr>
        <w:spacing w:line="276" w:lineRule="auto" w:after="120"/>
        <w:jc w:val="center"/>
      </w:pPr>
      <w:r>
        <w:rPr>
          <w:rFonts w:ascii="Aptos" w:hAnsi="Aptos"/>
          <w:b w:val="0"/>
          <w:sz w:val="24"/>
        </w:rPr>
        <w:t>Yarışma Eğitim Seviyesi: Üniversite ve Üzeri</w:t>
      </w:r>
    </w:p>
    <w:p>
      <w:pPr>
        <w:spacing w:line="276" w:lineRule="auto" w:after="120"/>
        <w:jc w:val="both"/>
      </w:pPr>
      <w:r>
        <w:rPr>
          <w:rFonts w:ascii="Aptos" w:hAnsi="Aptos"/>
          <w:b w:val="0"/>
          <w:sz w:val="24"/>
        </w:rPr>
      </w:r>
    </w:p>
    <w:p>
      <w:pPr>
        <w:spacing w:line="276" w:lineRule="auto" w:after="120"/>
        <w:jc w:val="both"/>
      </w:pPr>
      <w:r>
        <w:rPr>
          <w:rFonts w:ascii="Aptos" w:hAnsi="Aptos"/>
          <w:b w:val="0"/>
          <w:sz w:val="24"/>
        </w:rPr>
      </w:r>
    </w:p>
    <w:p>
      <w:pPr>
        <w:spacing w:line="276" w:lineRule="auto" w:after="120"/>
        <w:jc w:val="both"/>
      </w:pPr>
      <w:r>
        <w:rPr>
          <w:rFonts w:ascii="Aptos" w:hAnsi="Aptos"/>
          <w:b w:val="0"/>
          <w:sz w:val="24"/>
        </w:rPr>
      </w:r>
    </w:p>
    <w:p>
      <w:pPr>
        <w:spacing w:line="276" w:lineRule="auto" w:after="120"/>
        <w:jc w:val="left"/>
      </w:pPr>
      <w:r>
        <w:rPr>
          <w:rFonts w:ascii="Aptos" w:hAnsi="Aptos"/>
          <w:b w:val="0"/>
          <w:sz w:val="24"/>
        </w:rPr>
        <w:t>Proje Adı: [Proje adınızı yazınız]</w:t>
      </w:r>
    </w:p>
    <w:p>
      <w:pPr>
        <w:spacing w:line="276" w:lineRule="auto" w:after="120"/>
        <w:jc w:val="left"/>
      </w:pPr>
      <w:r>
        <w:rPr>
          <w:rFonts w:ascii="Aptos" w:hAnsi="Aptos"/>
          <w:b w:val="0"/>
          <w:sz w:val="24"/>
        </w:rPr>
        <w:t>Takım Adı: [Takım adınızı yazınız]</w:t>
      </w:r>
    </w:p>
    <w:p>
      <w:pPr>
        <w:spacing w:line="276" w:lineRule="auto" w:after="120"/>
        <w:jc w:val="left"/>
      </w:pPr>
      <w:r>
        <w:rPr>
          <w:rFonts w:ascii="Aptos" w:hAnsi="Aptos"/>
          <w:b w:val="0"/>
          <w:sz w:val="24"/>
        </w:rPr>
        <w:t>Takım ID: [Takım ID yazınız]</w:t>
      </w:r>
    </w:p>
    <w:p>
      <w:pPr>
        <w:spacing w:line="276" w:lineRule="auto" w:after="120"/>
        <w:jc w:val="left"/>
      </w:pPr>
      <w:r>
        <w:rPr>
          <w:rFonts w:ascii="Aptos" w:hAnsi="Aptos"/>
          <w:b w:val="0"/>
          <w:sz w:val="24"/>
        </w:rPr>
        <w:t>Başvuru ID: [Başvuru ID yazınız]</w:t>
      </w:r>
    </w:p>
    <w:p>
      <w:pPr>
        <w:spacing w:line="276" w:lineRule="auto" w:after="120"/>
        <w:jc w:val="both"/>
      </w:pPr>
      <w:r>
        <w:rPr>
          <w:rFonts w:ascii="Aptos" w:hAnsi="Aptos"/>
          <w:b w:val="0"/>
          <w:sz w:val="24"/>
        </w:rPr>
      </w:r>
    </w:p>
    <w:p>
      <w:pPr>
        <w:spacing w:line="276" w:lineRule="auto" w:after="120"/>
        <w:jc w:val="both"/>
      </w:pPr>
      <w:r>
        <w:rPr>
          <w:rFonts w:ascii="Aptos" w:hAnsi="Aptos"/>
          <w:b w:val="0"/>
          <w:sz w:val="24"/>
        </w:rPr>
      </w:r>
    </w:p>
    <w:p>
      <w:pPr>
        <w:spacing w:line="276" w:lineRule="auto" w:after="120"/>
        <w:jc w:val="both"/>
      </w:pPr>
      <w:r>
        <w:rPr>
          <w:rFonts w:ascii="Aptos" w:hAnsi="Aptos"/>
          <w:b w:val="0"/>
          <w:sz w:val="24"/>
        </w:rPr>
      </w:r>
    </w:p>
    <w:p>
      <w:pPr>
        <w:spacing w:line="276" w:lineRule="auto" w:after="120"/>
        <w:jc w:val="both"/>
      </w:pPr>
      <w:r>
        <w:rPr>
          <w:rFonts w:ascii="Aptos" w:hAnsi="Aptos"/>
          <w:b w:val="0"/>
          <w:sz w:val="24"/>
        </w:rPr>
      </w:r>
    </w:p>
    <w:p>
      <w:pPr>
        <w:spacing w:line="276" w:lineRule="auto" w:after="120"/>
        <w:jc w:val="center"/>
      </w:pPr>
      <w:r>
        <w:rPr>
          <w:rFonts w:ascii="Aptos" w:hAnsi="Aptos"/>
          <w:b/>
          <w:sz w:val="28"/>
        </w:rPr>
        <w:t>2026</w:t>
      </w:r>
    </w:p>
    <w:p>
      <w:r>
        <w:br w:type="page"/>
      </w:r>
    </w:p>
    <w:p>
      <w:pPr>
        <w:spacing w:line="276" w:lineRule="auto" w:before="240" w:after="120"/>
        <w:jc w:val="left"/>
      </w:pPr>
      <w:r>
        <w:rPr>
          <w:rFonts w:ascii="Aptos" w:hAnsi="Aptos"/>
          <w:b/>
          <w:sz w:val="28"/>
        </w:rPr>
        <w:t>İÇİNDEKİLER</w:t>
      </w:r>
    </w:p>
    <w:p>
      <w:pPr>
        <w:spacing w:line="276" w:lineRule="auto" w:after="120"/>
        <w:jc w:val="left"/>
      </w:pPr>
      <w:r>
        <w:rPr>
          <w:rFonts w:ascii="Aptos" w:hAnsi="Aptos"/>
          <w:b w:val="0"/>
          <w:sz w:val="24"/>
        </w:rPr>
        <w:t>1. Takım Şeması</w:t>
      </w:r>
    </w:p>
    <w:p>
      <w:pPr>
        <w:spacing w:line="276" w:lineRule="auto" w:after="120"/>
        <w:jc w:val="left"/>
      </w:pPr>
      <w:r>
        <w:rPr>
          <w:rFonts w:ascii="Aptos" w:hAnsi="Aptos"/>
          <w:b w:val="0"/>
          <w:sz w:val="24"/>
        </w:rPr>
        <w:t>2. Probleme En Yakın Çözüm Sunan Uluslararası Makalelerin Özeti</w:t>
      </w:r>
    </w:p>
    <w:p>
      <w:pPr>
        <w:spacing w:line="276" w:lineRule="auto" w:after="120"/>
        <w:jc w:val="left"/>
      </w:pPr>
      <w:r>
        <w:rPr>
          <w:rFonts w:ascii="Aptos" w:hAnsi="Aptos"/>
          <w:b w:val="0"/>
          <w:sz w:val="24"/>
        </w:rPr>
        <w:t>3. Veri ve Yöntem</w:t>
      </w:r>
    </w:p>
    <w:p>
      <w:pPr>
        <w:spacing w:line="276" w:lineRule="auto" w:after="120"/>
        <w:jc w:val="left"/>
      </w:pPr>
      <w:r>
        <w:rPr>
          <w:rFonts w:ascii="Aptos" w:hAnsi="Aptos"/>
          <w:b w:val="0"/>
          <w:sz w:val="24"/>
        </w:rPr>
        <w:t xml:space="preserve">   3.1 Kullanılan Veri Seti ve Etiketler</w:t>
      </w:r>
    </w:p>
    <w:p>
      <w:pPr>
        <w:spacing w:line="276" w:lineRule="auto" w:after="120"/>
        <w:jc w:val="left"/>
      </w:pPr>
      <w:r>
        <w:rPr>
          <w:rFonts w:ascii="Aptos" w:hAnsi="Aptos"/>
          <w:b w:val="0"/>
          <w:sz w:val="24"/>
        </w:rPr>
        <w:t xml:space="preserve">   3.2 Veri Kısıtları ve Etikete Doğrudan Erişimi Engelleme</w:t>
      </w:r>
    </w:p>
    <w:p>
      <w:pPr>
        <w:spacing w:line="276" w:lineRule="auto" w:after="120"/>
        <w:jc w:val="left"/>
      </w:pPr>
      <w:r>
        <w:rPr>
          <w:rFonts w:ascii="Aptos" w:hAnsi="Aptos"/>
          <w:b w:val="0"/>
          <w:sz w:val="24"/>
        </w:rPr>
        <w:t xml:space="preserve">   3.3 Veri Ön İşleme ve Temsilleme Stratejisi</w:t>
      </w:r>
    </w:p>
    <w:p>
      <w:pPr>
        <w:spacing w:line="276" w:lineRule="auto" w:after="120"/>
        <w:jc w:val="left"/>
      </w:pPr>
      <w:r>
        <w:rPr>
          <w:rFonts w:ascii="Aptos" w:hAnsi="Aptos"/>
          <w:b w:val="0"/>
          <w:sz w:val="24"/>
        </w:rPr>
        <w:t xml:space="preserve">   3.4 Etiket Güvenilirliği ve Veri Kalitesi Kontrolü</w:t>
      </w:r>
    </w:p>
    <w:p>
      <w:pPr>
        <w:spacing w:line="276" w:lineRule="auto" w:after="120"/>
        <w:jc w:val="left"/>
      </w:pPr>
      <w:r>
        <w:rPr>
          <w:rFonts w:ascii="Aptos" w:hAnsi="Aptos"/>
          <w:b w:val="0"/>
          <w:sz w:val="24"/>
        </w:rPr>
        <w:t xml:space="preserve">   3.5 Sınıf Dengesi ve Risk Perspektifi</w:t>
      </w:r>
    </w:p>
    <w:p>
      <w:pPr>
        <w:spacing w:line="276" w:lineRule="auto" w:after="120"/>
        <w:jc w:val="left"/>
      </w:pPr>
      <w:r>
        <w:rPr>
          <w:rFonts w:ascii="Aptos" w:hAnsi="Aptos"/>
          <w:b w:val="0"/>
          <w:sz w:val="24"/>
        </w:rPr>
        <w:t xml:space="preserve">   3.6 Seçilen Algoritmalar ve Gerekçe</w:t>
      </w:r>
    </w:p>
    <w:p>
      <w:pPr>
        <w:spacing w:line="276" w:lineRule="auto" w:after="120"/>
        <w:jc w:val="left"/>
      </w:pPr>
      <w:r>
        <w:rPr>
          <w:rFonts w:ascii="Aptos" w:hAnsi="Aptos"/>
          <w:b w:val="0"/>
          <w:sz w:val="24"/>
        </w:rPr>
        <w:t>4. Deney Tasarımı, Sonuçlar ve İnceleme</w:t>
      </w:r>
    </w:p>
    <w:p>
      <w:pPr>
        <w:spacing w:line="276" w:lineRule="auto" w:after="120"/>
        <w:jc w:val="left"/>
      </w:pPr>
      <w:r>
        <w:rPr>
          <w:rFonts w:ascii="Aptos" w:hAnsi="Aptos"/>
          <w:b w:val="0"/>
          <w:sz w:val="24"/>
        </w:rPr>
        <w:t xml:space="preserve">   4.1 Deney Protokolü ve Veri Bölme</w:t>
      </w:r>
    </w:p>
    <w:p>
      <w:pPr>
        <w:spacing w:line="276" w:lineRule="auto" w:after="120"/>
        <w:jc w:val="left"/>
      </w:pPr>
      <w:r>
        <w:rPr>
          <w:rFonts w:ascii="Aptos" w:hAnsi="Aptos"/>
          <w:b w:val="0"/>
          <w:sz w:val="24"/>
        </w:rPr>
        <w:t xml:space="preserve">   4.2 Performans Metrikleri ve Panel Bazlı Raporlama</w:t>
      </w:r>
    </w:p>
    <w:p>
      <w:pPr>
        <w:spacing w:line="276" w:lineRule="auto" w:after="120"/>
        <w:jc w:val="left"/>
      </w:pPr>
      <w:r>
        <w:rPr>
          <w:rFonts w:ascii="Aptos" w:hAnsi="Aptos"/>
          <w:b w:val="0"/>
          <w:sz w:val="24"/>
        </w:rPr>
        <w:t xml:space="preserve">   4.3 Hata Analizi ve Model Davranışı</w:t>
      </w:r>
    </w:p>
    <w:p>
      <w:pPr>
        <w:spacing w:line="276" w:lineRule="auto" w:after="120"/>
        <w:jc w:val="left"/>
      </w:pPr>
      <w:r>
        <w:rPr>
          <w:rFonts w:ascii="Aptos" w:hAnsi="Aptos"/>
          <w:b w:val="0"/>
          <w:sz w:val="24"/>
        </w:rPr>
        <w:t xml:space="preserve">   4.4 Açıklanabilirlik Yaklaşımı</w:t>
      </w:r>
    </w:p>
    <w:p>
      <w:pPr>
        <w:spacing w:line="276" w:lineRule="auto" w:after="120"/>
        <w:jc w:val="left"/>
      </w:pPr>
      <w:r>
        <w:rPr>
          <w:rFonts w:ascii="Aptos" w:hAnsi="Aptos"/>
          <w:b w:val="0"/>
          <w:sz w:val="24"/>
        </w:rPr>
        <w:t xml:space="preserve">   4.5 Öğrenme Süreci ve Teknik Evrim</w:t>
      </w:r>
    </w:p>
    <w:p>
      <w:pPr>
        <w:spacing w:line="276" w:lineRule="auto" w:after="120"/>
        <w:jc w:val="left"/>
      </w:pPr>
      <w:r>
        <w:rPr>
          <w:rFonts w:ascii="Aptos" w:hAnsi="Aptos"/>
          <w:b w:val="0"/>
          <w:sz w:val="24"/>
        </w:rPr>
        <w:t>5. Yaklaşımın Gerekçesi, Kaynak Kullanımı ve Özgünlük</w:t>
      </w:r>
    </w:p>
    <w:p>
      <w:pPr>
        <w:spacing w:line="276" w:lineRule="auto" w:after="120"/>
        <w:jc w:val="left"/>
      </w:pPr>
      <w:r>
        <w:rPr>
          <w:rFonts w:ascii="Aptos" w:hAnsi="Aptos"/>
          <w:b w:val="0"/>
          <w:sz w:val="24"/>
        </w:rPr>
        <w:t xml:space="preserve">   5.1 Neden Bu Algoritma / Mimari?</w:t>
      </w:r>
    </w:p>
    <w:p>
      <w:pPr>
        <w:spacing w:line="276" w:lineRule="auto" w:after="120"/>
        <w:jc w:val="left"/>
      </w:pPr>
      <w:r>
        <w:rPr>
          <w:rFonts w:ascii="Aptos" w:hAnsi="Aptos"/>
          <w:b w:val="0"/>
          <w:sz w:val="24"/>
        </w:rPr>
        <w:t xml:space="preserve">   5.2 Alternatifler Neden Elendi?</w:t>
      </w:r>
    </w:p>
    <w:p>
      <w:pPr>
        <w:spacing w:line="276" w:lineRule="auto" w:after="120"/>
        <w:jc w:val="left"/>
      </w:pPr>
      <w:r>
        <w:rPr>
          <w:rFonts w:ascii="Aptos" w:hAnsi="Aptos"/>
          <w:b w:val="0"/>
          <w:sz w:val="24"/>
        </w:rPr>
        <w:t xml:space="preserve">   5.3 Parametre Seçimi ve Model Ayarları</w:t>
      </w:r>
    </w:p>
    <w:p>
      <w:pPr>
        <w:spacing w:line="276" w:lineRule="auto" w:after="120"/>
        <w:jc w:val="left"/>
      </w:pPr>
      <w:r>
        <w:rPr>
          <w:rFonts w:ascii="Aptos" w:hAnsi="Aptos"/>
          <w:b w:val="0"/>
          <w:sz w:val="24"/>
        </w:rPr>
        <w:t xml:space="preserve">   5.4 Hesaplama Kaynakları ve Çalıştırılabilirlik</w:t>
      </w:r>
    </w:p>
    <w:p>
      <w:pPr>
        <w:spacing w:line="276" w:lineRule="auto" w:after="120"/>
        <w:jc w:val="left"/>
      </w:pPr>
      <w:r>
        <w:rPr>
          <w:rFonts w:ascii="Aptos" w:hAnsi="Aptos"/>
          <w:b w:val="0"/>
          <w:sz w:val="24"/>
        </w:rPr>
        <w:t xml:space="preserve">   5.5 Özgünlük</w:t>
      </w:r>
    </w:p>
    <w:p>
      <w:pPr>
        <w:spacing w:line="276" w:lineRule="auto" w:after="120"/>
        <w:jc w:val="left"/>
      </w:pPr>
      <w:r>
        <w:rPr>
          <w:rFonts w:ascii="Aptos" w:hAnsi="Aptos"/>
          <w:b w:val="0"/>
          <w:sz w:val="24"/>
        </w:rPr>
        <w:t>6. Referanslar</w:t>
      </w:r>
    </w:p>
    <w:p>
      <w:r>
        <w:br w:type="page"/>
      </w:r>
    </w:p>
    <w:p>
      <w:pPr>
        <w:spacing w:line="276" w:lineRule="auto" w:before="240" w:after="120"/>
        <w:jc w:val="left"/>
      </w:pPr>
      <w:r>
        <w:rPr>
          <w:rFonts w:ascii="Aptos" w:hAnsi="Aptos"/>
          <w:b/>
          <w:sz w:val="28"/>
        </w:rPr>
        <w:t>1. TAKIM ŞEMASI</w:t>
      </w:r>
    </w:p>
    <w:p>
      <w:pPr>
        <w:spacing w:line="276" w:lineRule="auto" w:after="120"/>
        <w:jc w:val="both"/>
      </w:pPr>
      <w:r>
        <w:rPr>
          <w:rFonts w:ascii="Aptos" w:hAnsi="Aptos"/>
          <w:b w:val="0"/>
          <w:sz w:val="24"/>
        </w:rPr>
        <w:t>Takımımız, biyoinformatik, makine öğrenmesi ve yazılım geliştirme alanlarını kapsayacak şekilde organize edilmiştir. Görev dağılımı aşağıda özetlenmiştir:</w:t>
      </w:r>
    </w:p>
    <w:p>
      <w:pPr>
        <w:spacing w:line="276" w:lineRule="auto" w:after="120"/>
        <w:jc w:val="both"/>
      </w:pPr>
      <w:r>
        <w:rPr>
          <w:rFonts w:ascii="Aptos" w:hAnsi="Aptos"/>
          <w:b w:val="0"/>
          <w:sz w:val="24"/>
        </w:rPr>
        <w:t>• Veri Analizi &amp; Biyoinformatik: [Üye adı yazılmaz – rol tanımı]. ClinVar ve gnomAD veri tabanlarındaki varyant profillerinin analizi, özellik gruplarının anlamlandırılması.</w:t>
        <w:br/>
        <w:t>• Modelleme &amp; Makine Öğrenmesi: Gradient boosted tree modelleri (LightGBM, XGBoost) tasarımı, hiperparametre optimizasyonu, ensemble stratejisi.</w:t>
        <w:br/>
        <w:t>• MLOps &amp; Raporlama: Deney kayıt standardı (seed kontrolü, sürümleme), tekrarlanabilirlik altyapısı, rapor redaksiyonu.</w:t>
        <w:br/>
        <w:t>• Kalite Kontrol Mekanizması: Tüm deneyler Git ile sürümlenmekte, kod incelemeleri çapraz olarak gerçekleştirilmektedir.</w:t>
      </w:r>
    </w:p>
    <w:p>
      <w:pPr>
        <w:spacing w:line="276" w:lineRule="auto" w:before="240" w:after="120"/>
        <w:jc w:val="left"/>
      </w:pPr>
      <w:r>
        <w:rPr>
          <w:rFonts w:ascii="Aptos" w:hAnsi="Aptos"/>
          <w:b/>
          <w:sz w:val="28"/>
        </w:rPr>
        <w:t>2. PROBLEME EN YAKIN ÇÖZÜM SUNAN ULUSLARARASI MAKALELERİN ÖZETİ</w:t>
      </w:r>
    </w:p>
    <w:p>
      <w:pPr>
        <w:spacing w:line="276" w:lineRule="auto" w:after="120"/>
        <w:jc w:val="both"/>
      </w:pPr>
      <w:r>
        <w:rPr>
          <w:rFonts w:ascii="Aptos" w:hAnsi="Aptos"/>
          <w:b/>
          <w:sz w:val="24"/>
        </w:rPr>
        <w:t xml:space="preserve">AlphaMissense (Cheng et al., 2023): </w:t>
      </w:r>
      <w:r>
        <w:rPr>
          <w:rFonts w:ascii="Aptos" w:hAnsi="Aptos"/>
          <w:sz w:val="24"/>
        </w:rPr>
        <w:t>Google DeepMind tarafından geliştirilen AlphaMissense, AlphaFold2 yapısal özelliklerini ve protein dil modeli temsillerini birleştirerek 71 milyon missense varyant için patojenite tahmini sunmaktadır. ClinVar varyantları üzerinde ROC-AUC: 0.940 elde edilmiştir. Model, yapısal bilgiyi doğrudan kodlayarak evrimsel korunmuşluk tabanlı yöntemlerin üzerine çıkmıştır. Sınırlılık: Kapalı kaynak model ağırlıkları, sadece missense varyantlarla sınırlı, klinik validasyonu henüz yetersiz [1].</w:t>
      </w:r>
    </w:p>
    <w:p>
      <w:pPr>
        <w:spacing w:line="276" w:lineRule="auto" w:after="120"/>
        <w:jc w:val="both"/>
      </w:pPr>
      <w:r>
        <w:rPr>
          <w:rFonts w:ascii="Aptos" w:hAnsi="Aptos"/>
          <w:b/>
          <w:sz w:val="24"/>
        </w:rPr>
        <w:t xml:space="preserve">CADD (Rentzsch et al., 2021 – v1.7): </w:t>
      </w:r>
      <w:r>
        <w:rPr>
          <w:rFonts w:ascii="Aptos" w:hAnsi="Aptos"/>
          <w:sz w:val="24"/>
        </w:rPr>
        <w:t>Combined Annotation Dependent Depletion (CADD), evrimsel korunmuşluk, düzenleyici anotasyonlar ve epigenetik sinyalleri birleştiren bir ensemble skorlama sistemidir. Simüle edilmiş ve gözlemlenen varyantlar arasında ayrım yapan SVM tabanlı yapısı ile missense varyantlarda AUC: 0.92 raporlanmıştır. Yorumu göreceli sıralama olması (mutlak eşik yoktur) bir sınırlılık oluşturmaktadır [2].</w:t>
      </w:r>
    </w:p>
    <w:p>
      <w:pPr>
        <w:spacing w:line="276" w:lineRule="auto" w:after="120"/>
        <w:jc w:val="both"/>
      </w:pPr>
      <w:r>
        <w:rPr>
          <w:rFonts w:ascii="Aptos" w:hAnsi="Aptos"/>
          <w:b/>
          <w:sz w:val="24"/>
        </w:rPr>
        <w:t xml:space="preserve">REVEL (Ioannidis et al., 2016): </w:t>
      </w:r>
      <w:r>
        <w:rPr>
          <w:rFonts w:ascii="Aptos" w:hAnsi="Aptos"/>
          <w:sz w:val="24"/>
        </w:rPr>
        <w:t>Rare Exome Variant Ensemble Learner (REVEL), 13 farklı in-silico aracın çıktılarını Random Forest ile birleştiren bir ensemble skorudur. Nadir missense varyantlar üzerinde AUC: 0.908 raporlanmıştır. Yalnızca in-silico skorlara bağımlı olması ve popülasyon frekans bilgisini doğrudan kullanmaması sınırlılıklarıdır [3].</w:t>
      </w:r>
    </w:p>
    <w:p>
      <w:pPr>
        <w:spacing w:line="276" w:lineRule="auto" w:after="120"/>
        <w:jc w:val="both"/>
      </w:pPr>
      <w:r>
        <w:rPr>
          <w:rFonts w:ascii="Aptos" w:hAnsi="Aptos"/>
          <w:b/>
          <w:sz w:val="24"/>
        </w:rPr>
        <w:t xml:space="preserve">EVE – Evolutionary model of Variant Effect (Frazer et al., 2021): </w:t>
      </w:r>
      <w:r>
        <w:rPr>
          <w:rFonts w:ascii="Aptos" w:hAnsi="Aptos"/>
          <w:sz w:val="24"/>
        </w:rPr>
        <w:t>Derin üretken model (VAE) kullanarak protein ailesi çoklu dizi hizalamalarından (MSA) öğrenilen evrimsel kısıtları temel alır. ClinVar missense varyantları üzerinde AUC: 0.91; denetimsiz (unsupervised) olması etiket sızıntısı riskini ortadan kaldırır. Sınırlılık: MSA kalitesine bağımlılık ve az çalışılmış genler için düşük performans [4].</w:t>
      </w:r>
    </w:p>
    <w:p>
      <w:pPr>
        <w:spacing w:line="276" w:lineRule="auto" w:after="120"/>
        <w:jc w:val="both"/>
      </w:pPr>
      <w:r>
        <w:rPr>
          <w:rFonts w:ascii="Aptos" w:hAnsi="Aptos"/>
          <w:b/>
          <w:sz w:val="24"/>
        </w:rPr>
        <w:t xml:space="preserve">GPN-MSA (Benegas et al., 2023): </w:t>
      </w:r>
      <w:r>
        <w:rPr>
          <w:rFonts w:ascii="Aptos" w:hAnsi="Aptos"/>
          <w:sz w:val="24"/>
        </w:rPr>
        <w:t>Genomik dil modeli olan Genomic Pre-trained Network, çok türlü MSA verileri üzerinde eğitilmiştir. Missense patojenite tahmininde ClinVar verisi üzerinde AUC: 0.947 elde edilmiş olup AlphaMissense ile karşılaştırılabilir düzeydedir. Denetimsiz eğitildiği için etiket sızıntısı riski bulunmamaktadır. Model çıktısı, evrimsel baskının sayısal bir özeti olarak yorumlanabilir [5].</w:t>
      </w:r>
    </w:p>
    <w:p>
      <w:pPr>
        <w:spacing w:line="276" w:lineRule="auto" w:after="120"/>
        <w:jc w:val="both"/>
      </w:pPr>
      <w:r>
        <w:rPr>
          <w:rFonts w:ascii="Aptos" w:hAnsi="Aptos"/>
          <w:b/>
          <w:sz w:val="24"/>
        </w:rPr>
        <w:t xml:space="preserve">ESM-1b (Rives et al., 2021): </w:t>
      </w:r>
      <w:r>
        <w:rPr>
          <w:rFonts w:ascii="Aptos" w:hAnsi="Aptos"/>
          <w:sz w:val="24"/>
        </w:rPr>
        <w:t>Meta AI tarafından geliştirilen protein dil modeli, 250 milyon protein sekansı üzerinde eğitilmiştir. Zero-shot varyant etki tahmini yapabilmekte olup missense varyantlarda ClinVar üzerinde AUC: 0.89 raporlanmıştır. Yapısal bilgi kullanmaması nedeniyle AlphaMissense'e göre daha düşük performans göstermiştir [6].</w:t>
      </w:r>
    </w:p>
    <w:p>
      <w:pPr>
        <w:spacing w:line="276" w:lineRule="auto" w:after="120"/>
        <w:jc w:val="both"/>
      </w:pPr>
      <w:r>
        <w:rPr>
          <w:rFonts w:ascii="Aptos" w:hAnsi="Aptos"/>
          <w:b/>
          <w:sz w:val="24"/>
        </w:rPr>
        <w:t xml:space="preserve">ClinPred (Alirezaie et al., 2018): </w:t>
      </w:r>
      <w:r>
        <w:rPr>
          <w:rFonts w:ascii="Aptos" w:hAnsi="Aptos"/>
          <w:sz w:val="24"/>
        </w:rPr>
        <w:t>ClinVar ve HGMD verilerinden derlenen etiketli missense varyantlar üzerinde Random Forest ile eğitilmiştir. CADD, REVEL ve diğer in-silico skorları özellik olarak kullanır. AUC: 0.90. Sınırlılık: Eğitim verisinin güncellenmemesi ve sınırlı çapraz doğrulama [7].</w:t>
      </w:r>
    </w:p>
    <w:p>
      <w:pPr>
        <w:spacing w:line="276" w:lineRule="auto" w:after="120"/>
        <w:jc w:val="both"/>
      </w:pPr>
      <w:r>
        <w:rPr>
          <w:rFonts w:ascii="Aptos" w:hAnsi="Aptos"/>
          <w:b w:val="0"/>
          <w:sz w:val="24"/>
        </w:rPr>
        <w:t>Konumlandırma: Yukarıdaki çalışmalar incelendiğinde, en yüksek başarımların evrimsel korunmuşluk skorları (phyloP, phastCons), in-silico risk tahminleri (CADD, REVEL) ve protein dil modeli temsillerinin (ESM-1b, GPN-MSA) birleştirildiği ensemble yaklaşımlarda elde edildiği görülmektedir. Bu doğrultuda projemizde, tabular özellik profilleri üzerinde LightGBM + XGBoost soft-voting ensemble stratejisi tercih edilmiştir. Bu seçim, veri yapısının tabular doğasına uygunluk, açıklanabilirlik ve panel bazında genelleme potansiyeli açısından güçlü bir denge sunmaktadır.</w:t>
      </w:r>
    </w:p>
    <w:p>
      <w:pPr>
        <w:spacing w:line="276" w:lineRule="auto" w:before="240" w:after="120"/>
        <w:jc w:val="left"/>
      </w:pPr>
      <w:r>
        <w:rPr>
          <w:rFonts w:ascii="Aptos" w:hAnsi="Aptos"/>
          <w:b/>
          <w:sz w:val="28"/>
        </w:rPr>
        <w:t>3. VERİ VE YÖNTEM</w:t>
      </w:r>
    </w:p>
    <w:p>
      <w:pPr>
        <w:spacing w:line="276" w:lineRule="auto" w:before="240" w:after="120"/>
        <w:jc w:val="left"/>
      </w:pPr>
      <w:r>
        <w:rPr>
          <w:rFonts w:ascii="Aptos" w:hAnsi="Aptos"/>
          <w:b/>
          <w:sz w:val="28"/>
        </w:rPr>
        <w:t>3.1 Kullanılan Veri Seti ve Etiketler</w:t>
      </w:r>
    </w:p>
    <w:p>
      <w:pPr>
        <w:spacing w:line="276" w:lineRule="auto" w:after="120"/>
        <w:jc w:val="both"/>
      </w:pPr>
      <w:r>
        <w:rPr>
          <w:rFonts w:ascii="Aptos" w:hAnsi="Aptos"/>
          <w:b w:val="0"/>
          <w:sz w:val="24"/>
        </w:rPr>
        <w:t>Yarışma kapsamında dört ana veri seti sunulmaktadır: (i) Genel Veri Seti (1500 Patojenik + 1500 Benign), (ii) Herediter Kanser Paneli (200+200), (iii) PAH Gen Paneli (200+200) ve (iv) CFTR Gen Paneli (70+70). Bu veri setlerindeki etiketler ACMG standartlarına uygun olarak oluşturulmuş olup "Pathogenic" ve "Likely Pathogenic" tek bir Patojenik sınıfında, "Benign" ve "Likely Benign" ise tek bir Benign sınıfında birleştirilmiştir.</w:t>
      </w:r>
    </w:p>
    <w:p>
      <w:pPr>
        <w:spacing w:line="276" w:lineRule="auto" w:after="120"/>
        <w:jc w:val="both"/>
      </w:pPr>
      <w:r>
        <w:rPr>
          <w:rFonts w:ascii="Aptos" w:hAnsi="Aptos"/>
          <w:b w:val="0"/>
          <w:sz w:val="24"/>
        </w:rPr>
        <w:t>Patojenik sınıf ClinVar ve ClinGen veri tabanlarından "Expert Panel" ve "Practice Guideline" düzeyinde (3-4 yıldız) güvenilir missense varyantlardan derlenmiştir. Benign sınıf ise ClinVar (1381 varyant) ile gnomAD veri tabanındaki sık görülen sağlıklı popülasyon varyantlarından (~1500 varyant) oluşmaktadır. Ön çalışmamızda HuggingFace songlab/clinvar veri setinden (40.976 missense varyant) proof-of-concept denemeler gerçekleştirilmiştir.</w:t>
      </w:r>
    </w:p>
    <w:p>
      <w:pPr>
        <w:spacing w:line="276" w:lineRule="auto" w:before="240" w:after="120"/>
        <w:jc w:val="left"/>
      </w:pPr>
      <w:r>
        <w:rPr>
          <w:rFonts w:ascii="Aptos" w:hAnsi="Aptos"/>
          <w:b/>
          <w:sz w:val="28"/>
        </w:rPr>
        <w:t>3.2 Veri Kısıtları ve Etikete Doğrudan Erişimi Engelleme</w:t>
      </w:r>
    </w:p>
    <w:p>
      <w:pPr>
        <w:spacing w:line="276" w:lineRule="auto" w:after="120"/>
        <w:jc w:val="both"/>
      </w:pPr>
      <w:r>
        <w:rPr>
          <w:rFonts w:ascii="Aptos" w:hAnsi="Aptos"/>
          <w:b w:val="0"/>
          <w:sz w:val="24"/>
        </w:rPr>
        <w:t>Yarışma veri setinde varyantların genomik adres bilgileri (kromozom ve pozisyon) tamamen gizlenmiş, kolon isimleri verilmemiştir. Bu tasarım, ClinVar gibi dış kaynaklardan etiketi doğrudan elde etme girişimini engellemektedir. Çözümümüz yalnızca sağlanan varyant profilleri üzerinden çalışmakta olup dış veri tabanlarından etiket sorgusu yapılmamaktadır.</w:t>
      </w:r>
    </w:p>
    <w:p>
      <w:pPr>
        <w:spacing w:line="276" w:lineRule="auto" w:after="120"/>
        <w:jc w:val="both"/>
      </w:pPr>
      <w:r>
        <w:rPr>
          <w:rFonts w:ascii="Aptos" w:hAnsi="Aptos"/>
          <w:b w:val="0"/>
          <w:sz w:val="24"/>
        </w:rPr>
        <w:t>Dolaylı sızıntı riskleri için şu kontroller uygulanacaktır: (i) aynı varyantın farklı temsilleri kontrol edilerek eğitim-test sızıntısı önlenecek, (ii) panel kimliğinin özellik olarak kullanılması engellenecek, (iii) çapraz doğrulama bölümlemesi varyant düzeyinde (satır düzeyinde) yapılarak grup sızıntısı riski minimize edilecektir.</w:t>
      </w:r>
    </w:p>
    <w:p>
      <w:pPr>
        <w:spacing w:line="276" w:lineRule="auto" w:before="240" w:after="120"/>
        <w:jc w:val="left"/>
      </w:pPr>
      <w:r>
        <w:rPr>
          <w:rFonts w:ascii="Aptos" w:hAnsi="Aptos"/>
          <w:b/>
          <w:sz w:val="28"/>
        </w:rPr>
        <w:t>3.3 Veri Ön İşleme ve Temsilleme Stratejisi</w:t>
      </w:r>
    </w:p>
    <w:p>
      <w:pPr>
        <w:spacing w:line="276" w:lineRule="auto" w:after="120"/>
        <w:jc w:val="both"/>
      </w:pPr>
      <w:r>
        <w:rPr>
          <w:rFonts w:ascii="Aptos" w:hAnsi="Aptos"/>
          <w:b w:val="0"/>
          <w:sz w:val="24"/>
        </w:rPr>
        <w:t>Kolon isimleri olmaksızın sunulan çok boyutlu varyant profilleri aşağıdaki pipeline ile işlenecektir:</w:t>
        <w:br/>
        <w:t>• Eksik değer yönetimi: Median imputation tercih edilmiştir. Ön çalışmada ESM-1b özelliğinde %11,5 eksik değer tespit edilmiş olup median dolgusu ile bilgi kaybı minimize edilmiştir.</w:t>
        <w:br/>
        <w:t>• Aykırı değer işleme: RobustScaler (IQR tabanlı) uygulanarak aykırı değerlerin etkisi azaltılmıştır. 3×IQR eşiği ile tespit edilen aykırı örnekler (%0,5 oranında) ayıklanmadan yalnızca ölçekleme ile kontrol altına alınmıştır.</w:t>
        <w:br/>
        <w:t>• Sıfır/düşük varyans kontrolü: VarianceThreshold (eşik=0,001) ile bilgi taşımayan özellikler (ör. HyenaDNA, standart sapma ≈ 0) çıkarılmıştır.</w:t>
        <w:br/>
        <w:t>• Veri Zenginleştirme: Varyant koordinatlarına göre AlphaMissense hg38 veritabanı taranarak `am_pathogenicity` skoru doğrudan özellik setine entegre edilmiştir.</w:t>
        <w:br/>
        <w:t>• Boyut indirgeme: Seçilen en güçlü 8 özellik (AlphaMissense skoru dâhil) ile model karmaşıklığı düşük olduğundan PCA uygulanmamış, orijinal özellik uzayı korunmuştur.</w:t>
      </w:r>
    </w:p>
    <w:p>
      <w:pPr>
        <w:spacing w:line="276" w:lineRule="auto" w:before="240" w:after="120"/>
        <w:jc w:val="left"/>
      </w:pPr>
      <w:r>
        <w:rPr>
          <w:rFonts w:ascii="Aptos" w:hAnsi="Aptos"/>
          <w:b/>
          <w:sz w:val="28"/>
        </w:rPr>
        <w:t>3.4 Etiket Güvenilirliği ve Veri Kalitesi Kontrolü</w:t>
      </w:r>
    </w:p>
    <w:p>
      <w:pPr>
        <w:spacing w:line="276" w:lineRule="auto" w:after="120"/>
        <w:jc w:val="both"/>
      </w:pPr>
      <w:r>
        <w:rPr>
          <w:rFonts w:ascii="Aptos" w:hAnsi="Aptos"/>
          <w:b w:val="0"/>
          <w:sz w:val="24"/>
        </w:rPr>
        <w:t>Ground truth etiketleri ACMG-uyumlu güvenilir kaynaklardan derlense de, aşağıdaki kalite kontrol adımları sistematik olarak uygulanmıştır:</w:t>
        <w:br/>
        <w:t>• Tekrar eden kayıt kontrolü: Veri setinde yinelenen satır bulunmamıştır (0 duplikasyon).</w:t>
        <w:br/>
        <w:t>• Uç değer taraması: Her özellik için 3×IQR kuralı uygulanmış, NT özelliğinde %0,5 oranında aykırı örnek tespit edilmiştir; bu örnekler çıkarılmamış, robüst ölçekleme ile kontrol altına alınmıştır.</w:t>
        <w:br/>
        <w:t>• Tutarsız profil incelemesi: Eğitim sırasında yüksek kayıp (loss) gösteren örnekler izlenecek ve hata analizi bölümünde raporlanacaktır.</w:t>
      </w:r>
    </w:p>
    <w:p>
      <w:pPr>
        <w:spacing w:line="276" w:lineRule="auto" w:before="240" w:after="120"/>
        <w:jc w:val="left"/>
      </w:pPr>
      <w:r>
        <w:rPr>
          <w:rFonts w:ascii="Aptos" w:hAnsi="Aptos"/>
          <w:b/>
          <w:sz w:val="28"/>
        </w:rPr>
        <w:t>3.5 Sınıf Dengesi ve Risk Perspektifi</w:t>
      </w:r>
    </w:p>
    <w:p>
      <w:pPr>
        <w:spacing w:line="276" w:lineRule="auto" w:after="120"/>
        <w:jc w:val="both"/>
      </w:pPr>
      <w:r>
        <w:rPr>
          <w:rFonts w:ascii="Aptos" w:hAnsi="Aptos"/>
          <w:b w:val="0"/>
          <w:sz w:val="24"/>
        </w:rPr>
        <w:t>Genel veri seti dengeli (1500+1500) tasarlanmıştır. Ancak panel bazında (Herediter Kanser: 200+200, PAH: 200+200, CFTR: 70+70) küçük örneklem boyutları performans oynaklığına yol açabilir. Bu riskin yönetimi için stratified k-fold doğrulama ve tekrarlı deney protokolü planlanmıştır.</w:t>
      </w:r>
    </w:p>
    <w:p>
      <w:pPr>
        <w:spacing w:line="276" w:lineRule="auto" w:after="120"/>
        <w:jc w:val="both"/>
      </w:pPr>
      <w:r>
        <w:rPr>
          <w:rFonts w:ascii="Aptos" w:hAnsi="Aptos"/>
          <w:b w:val="0"/>
          <w:sz w:val="24"/>
        </w:rPr>
        <w:t>Klinik açıdan yanlış negatif (Patojenik varyantın Benign olarak sınıflandırılması) yanlış pozitife göre daha ciddi sonuçlara yol açabilir. Bu nedenle:</w:t>
        <w:br/>
        <w:t>• Karar eşiği seçiminde duyarlılık (recall) öncelikli eşik değerlendirilecektir.</w:t>
        <w:br/>
        <w:t>• F1 skorunun yanında PR-AUC ve duyarlılık/özgüllük dengesi raporlanacaktır.</w:t>
        <w:br/>
        <w:t>• Ön çalışmamızda 0,50 eşiği ile 96 yanlış negatif (%6,4) gözlenmiş olup, eşik optimizasyonu ile bu oranın düşürülmesi hedeflenmektedir.</w:t>
      </w:r>
    </w:p>
    <w:p>
      <w:pPr>
        <w:spacing w:line="276" w:lineRule="auto" w:before="240" w:after="120"/>
        <w:jc w:val="left"/>
      </w:pPr>
      <w:r>
        <w:rPr>
          <w:rFonts w:ascii="Aptos" w:hAnsi="Aptos"/>
          <w:b/>
          <w:sz w:val="28"/>
        </w:rPr>
        <w:t>3.6 Seçilen Algoritmalar ve Gerekçe</w:t>
      </w:r>
    </w:p>
    <w:p>
      <w:pPr>
        <w:spacing w:line="276" w:lineRule="auto" w:after="120"/>
        <w:jc w:val="both"/>
      </w:pPr>
      <w:r>
        <w:rPr>
          <w:rFonts w:ascii="Aptos" w:hAnsi="Aptos"/>
          <w:b w:val="0"/>
          <w:sz w:val="24"/>
        </w:rPr>
        <w:t>Tabular sayısal veri yapısına en uygun olarak LightGBM + XGBoost Soft-Voting Ensemble modeli seçilmiştir. Gerekçeler:</w:t>
        <w:br/>
        <w:t>• GBDT ailesi, tabular verilerde derin öğrenme yöntemlerinden sürekli olarak üstün veya eşdeğer performans sergilemektedir (Grinsztajn et al., 2022) [8].</w:t>
        <w:br/>
        <w:t>• LightGBM eksik değerleri native olarak tolere eder (ESM-1b %11,5 eksik).</w:t>
        <w:br/>
        <w:t>• L1/L2 regularizasyon ve erken durdurma ile overfitting riski kontrol altındadır.</w:t>
        <w:br/>
        <w:t>• Soft-voting: İki modelin olasılık çıktıları ortalaması alınarak tahmin varyansı düşürülmektedir.</w:t>
        <w:br/>
        <w:t>• SHAP ile tam açıklanabilirlik sağlanmaktadır.</w:t>
        <w:br/>
        <w:t>• Panel bazında genellenebilirlik: Ensemble yapı, tek model zayıflıklarını kompanse eder.</w:t>
      </w:r>
    </w:p>
    <w:p>
      <w:pPr>
        <w:spacing w:line="276" w:lineRule="auto" w:before="240" w:after="120"/>
        <w:jc w:val="left"/>
      </w:pPr>
      <w:r>
        <w:rPr>
          <w:rFonts w:ascii="Aptos" w:hAnsi="Aptos"/>
          <w:b/>
          <w:sz w:val="28"/>
        </w:rPr>
        <w:t>4. DENEY TASARIMI, SONUÇLAR VE İNCELEME</w:t>
      </w:r>
    </w:p>
    <w:p>
      <w:pPr>
        <w:spacing w:line="276" w:lineRule="auto" w:before="240" w:after="120"/>
        <w:jc w:val="left"/>
      </w:pPr>
      <w:r>
        <w:rPr>
          <w:rFonts w:ascii="Aptos" w:hAnsi="Aptos"/>
          <w:b/>
          <w:sz w:val="28"/>
        </w:rPr>
        <w:t>4.1 Deney Protokolü ve Veri Bölme</w:t>
      </w:r>
    </w:p>
    <w:p>
      <w:pPr>
        <w:spacing w:line="276" w:lineRule="auto" w:after="120"/>
        <w:jc w:val="both"/>
      </w:pPr>
      <w:r>
        <w:rPr>
          <w:rFonts w:ascii="Aptos" w:hAnsi="Aptos"/>
          <w:b w:val="0"/>
          <w:sz w:val="24"/>
        </w:rPr>
        <w:t>5-Fold Stratified Cross-Validation protokolü uygulanmıştır. Her fold'da sınıf oranları korunarak rastlantısal iyi sonuç riski azaltılmıştır (random_state=42). Hiperparametre seçimi ve model karşılaştırması bu doğrulama düzeni üzerinden gerçekleştirilmiştir. Panel veri setlerinin küçük boyutu göz önüne alınarak, panel bazlı değerlendirmede daha yüksek fold sayısı (10-fold) veya tekrarlı CV düşünülecektir.</w:t>
      </w:r>
    </w:p>
    <w:p>
      <w:pPr>
        <w:spacing w:line="276" w:lineRule="auto" w:before="240" w:after="120"/>
        <w:jc w:val="left"/>
      </w:pPr>
      <w:r>
        <w:rPr>
          <w:rFonts w:ascii="Aptos" w:hAnsi="Aptos"/>
          <w:b/>
          <w:sz w:val="28"/>
        </w:rPr>
        <w:t>4.2 Performans Metrikleri ve Panel Bazlı Raporlama</w:t>
      </w:r>
    </w:p>
    <w:p>
      <w:pPr>
        <w:spacing w:line="276" w:lineRule="auto" w:after="120"/>
        <w:jc w:val="both"/>
      </w:pPr>
      <w:r>
        <w:rPr>
          <w:rFonts w:ascii="Aptos" w:hAnsi="Aptos"/>
          <w:b w:val="0"/>
          <w:sz w:val="24"/>
        </w:rPr>
        <w:t>Ön çalışmada (songlab/clinvar, 3000 varyant) elde edilen sonuçlar:</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Aptos" w:hAnsi="Aptos"/>
                <w:b/>
                <w:sz w:val="22"/>
              </w:rPr>
              <w:t>Metrik</w:t>
            </w:r>
          </w:p>
        </w:tc>
        <w:tc>
          <w:tcPr>
            <w:tcW w:type="dxa" w:w="3135"/>
          </w:tcPr>
          <w:p>
            <w:pPr>
              <w:jc w:val="center"/>
            </w:pPr>
            <w:r>
              <w:rPr>
                <w:rFonts w:ascii="Aptos" w:hAnsi="Aptos"/>
                <w:b/>
                <w:sz w:val="22"/>
              </w:rPr>
              <w:t>Ortalama</w:t>
            </w:r>
          </w:p>
        </w:tc>
        <w:tc>
          <w:tcPr>
            <w:tcW w:type="dxa" w:w="3135"/>
          </w:tcPr>
          <w:p>
            <w:pPr>
              <w:jc w:val="center"/>
            </w:pPr>
            <w:r>
              <w:rPr>
                <w:rFonts w:ascii="Aptos" w:hAnsi="Aptos"/>
                <w:b/>
                <w:sz w:val="22"/>
              </w:rPr>
              <w:t>Std</w:t>
            </w:r>
          </w:p>
        </w:tc>
      </w:tr>
      <w:tr>
        <w:tc>
          <w:tcPr>
            <w:tcW w:type="dxa" w:w="3135"/>
          </w:tcPr>
          <w:p>
            <w:pPr>
              <w:jc w:val="center"/>
            </w:pPr>
            <w:r>
              <w:rPr>
                <w:rFonts w:ascii="Aptos" w:hAnsi="Aptos"/>
                <w:sz w:val="22"/>
              </w:rPr>
              <w:t>F1 Skoru</w:t>
            </w:r>
          </w:p>
        </w:tc>
        <w:tc>
          <w:tcPr>
            <w:tcW w:type="dxa" w:w="3135"/>
          </w:tcPr>
          <w:p>
            <w:pPr>
              <w:jc w:val="center"/>
            </w:pPr>
            <w:r>
              <w:rPr>
                <w:rFonts w:ascii="Aptos" w:hAnsi="Aptos"/>
                <w:sz w:val="22"/>
              </w:rPr>
              <w:t>0.9365</w:t>
            </w:r>
          </w:p>
        </w:tc>
        <w:tc>
          <w:tcPr>
            <w:tcW w:type="dxa" w:w="3135"/>
          </w:tcPr>
          <w:p>
            <w:pPr>
              <w:jc w:val="center"/>
            </w:pPr>
            <w:r>
              <w:rPr>
                <w:rFonts w:ascii="Aptos" w:hAnsi="Aptos"/>
                <w:sz w:val="22"/>
              </w:rPr>
              <w:t>±0.0090</w:t>
            </w:r>
          </w:p>
        </w:tc>
      </w:tr>
      <w:tr>
        <w:tc>
          <w:tcPr>
            <w:tcW w:type="dxa" w:w="3135"/>
          </w:tcPr>
          <w:p>
            <w:pPr>
              <w:jc w:val="center"/>
            </w:pPr>
            <w:r>
              <w:rPr>
                <w:rFonts w:ascii="Aptos" w:hAnsi="Aptos"/>
                <w:sz w:val="22"/>
              </w:rPr>
              <w:t>ROC-AUC</w:t>
            </w:r>
          </w:p>
        </w:tc>
        <w:tc>
          <w:tcPr>
            <w:tcW w:type="dxa" w:w="3135"/>
          </w:tcPr>
          <w:p>
            <w:pPr>
              <w:jc w:val="center"/>
            </w:pPr>
            <w:r>
              <w:rPr>
                <w:rFonts w:ascii="Aptos" w:hAnsi="Aptos"/>
                <w:sz w:val="22"/>
              </w:rPr>
              <w:t>0.9837</w:t>
            </w:r>
          </w:p>
        </w:tc>
        <w:tc>
          <w:tcPr>
            <w:tcW w:type="dxa" w:w="3135"/>
          </w:tcPr>
          <w:p>
            <w:pPr>
              <w:jc w:val="center"/>
            </w:pPr>
            <w:r>
              <w:rPr>
                <w:rFonts w:ascii="Aptos" w:hAnsi="Aptos"/>
                <w:sz w:val="22"/>
              </w:rPr>
              <w:t>±0.0040</w:t>
            </w:r>
          </w:p>
        </w:tc>
      </w:tr>
      <w:tr>
        <w:tc>
          <w:tcPr>
            <w:tcW w:type="dxa" w:w="3135"/>
          </w:tcPr>
          <w:p>
            <w:pPr>
              <w:jc w:val="center"/>
            </w:pPr>
            <w:r>
              <w:rPr>
                <w:rFonts w:ascii="Aptos" w:hAnsi="Aptos"/>
                <w:sz w:val="22"/>
              </w:rPr>
              <w:t>PR-AUC</w:t>
            </w:r>
          </w:p>
        </w:tc>
        <w:tc>
          <w:tcPr>
            <w:tcW w:type="dxa" w:w="3135"/>
          </w:tcPr>
          <w:p>
            <w:pPr>
              <w:jc w:val="center"/>
            </w:pPr>
            <w:r>
              <w:rPr>
                <w:rFonts w:ascii="Aptos" w:hAnsi="Aptos"/>
                <w:sz w:val="22"/>
              </w:rPr>
              <w:t>0.9840</w:t>
            </w:r>
          </w:p>
        </w:tc>
        <w:tc>
          <w:tcPr>
            <w:tcW w:type="dxa" w:w="3135"/>
          </w:tcPr>
          <w:p>
            <w:pPr>
              <w:jc w:val="center"/>
            </w:pPr>
            <w:r>
              <w:rPr>
                <w:rFonts w:ascii="Aptos" w:hAnsi="Aptos"/>
                <w:sz w:val="22"/>
              </w:rPr>
              <w:t>±0.0035</w:t>
            </w:r>
          </w:p>
        </w:tc>
      </w:tr>
      <w:tr>
        <w:tc>
          <w:tcPr>
            <w:tcW w:type="dxa" w:w="3135"/>
          </w:tcPr>
          <w:p>
            <w:pPr>
              <w:jc w:val="center"/>
            </w:pPr>
            <w:r>
              <w:rPr>
                <w:rFonts w:ascii="Aptos" w:hAnsi="Aptos"/>
                <w:sz w:val="22"/>
              </w:rPr>
              <w:t>Dengeli Doğruluk</w:t>
            </w:r>
          </w:p>
        </w:tc>
        <w:tc>
          <w:tcPr>
            <w:tcW w:type="dxa" w:w="3135"/>
          </w:tcPr>
          <w:p>
            <w:pPr>
              <w:jc w:val="center"/>
            </w:pPr>
            <w:r>
              <w:rPr>
                <w:rFonts w:ascii="Aptos" w:hAnsi="Aptos"/>
                <w:sz w:val="22"/>
              </w:rPr>
              <w:t>0.9360</w:t>
            </w:r>
          </w:p>
        </w:tc>
        <w:tc>
          <w:tcPr>
            <w:tcW w:type="dxa" w:w="3135"/>
          </w:tcPr>
          <w:p>
            <w:pPr>
              <w:jc w:val="center"/>
            </w:pPr>
            <w:r>
              <w:rPr>
                <w:rFonts w:ascii="Aptos" w:hAnsi="Aptos"/>
                <w:sz w:val="22"/>
              </w:rPr>
              <w:t>±0.0090</w:t>
            </w:r>
          </w:p>
        </w:tc>
      </w:tr>
    </w:tbl>
    <w:p>
      <w:pPr>
        <w:spacing w:line="276" w:lineRule="auto" w:after="120"/>
        <w:jc w:val="both"/>
      </w:pPr>
      <w:r>
        <w:rPr>
          <w:rFonts w:ascii="Aptos" w:hAnsi="Aptos"/>
          <w:b w:val="0"/>
          <w:sz w:val="24"/>
        </w:rPr>
      </w:r>
    </w:p>
    <w:p>
      <w:pPr>
        <w:spacing w:line="276" w:lineRule="auto" w:after="120"/>
        <w:jc w:val="both"/>
      </w:pPr>
      <w:r>
        <w:rPr>
          <w:rFonts w:ascii="Aptos" w:hAnsi="Aptos"/>
          <w:b w:val="0"/>
          <w:sz w:val="24"/>
        </w:rPr>
        <w:t>Metrik seçim gerekçesi: F1 skoru, yarışmanın resmi değerlendirme metriğidir. Buna ek olarak ROC-AUC (eşikten bağımsız ayrım gücü), PR-AUC (dengesiz senaryolarda bilgilendirici) ve dengeli doğruluk raporlanmaktadır. Karar eşiği olarak 0,50 kullanılmış olup, F1'i maksimize eden eşik optimizasyonu yarışma verileri ile ayrıca gerçekleştirilecektir.</w:t>
      </w:r>
    </w:p>
    <w:p>
      <w:pPr>
        <w:spacing w:line="276" w:lineRule="auto" w:before="240" w:after="120"/>
        <w:jc w:val="left"/>
      </w:pPr>
      <w:r>
        <w:rPr>
          <w:rFonts w:ascii="Aptos" w:hAnsi="Aptos"/>
          <w:b/>
          <w:sz w:val="28"/>
        </w:rPr>
        <w:t>4.3 Hata Analizi ve Model Davranışı</w:t>
      </w:r>
    </w:p>
    <w:p>
      <w:pPr>
        <w:spacing w:line="276" w:lineRule="auto" w:after="120"/>
        <w:jc w:val="both"/>
      </w:pPr>
      <w:r>
        <w:rPr>
          <w:rFonts w:ascii="Aptos" w:hAnsi="Aptos"/>
          <w:b w:val="0"/>
          <w:sz w:val="24"/>
        </w:rPr>
        <w:t>Ön çalışmada confusion matrix analizi:</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Aptos" w:hAnsi="Aptos"/>
                <w:b/>
                <w:sz w:val="22"/>
              </w:rPr>
            </w:r>
          </w:p>
        </w:tc>
        <w:tc>
          <w:tcPr>
            <w:tcW w:type="dxa" w:w="3135"/>
          </w:tcPr>
          <w:p>
            <w:pPr>
              <w:jc w:val="center"/>
            </w:pPr>
            <w:r>
              <w:rPr>
                <w:rFonts w:ascii="Aptos" w:hAnsi="Aptos"/>
                <w:b/>
                <w:sz w:val="22"/>
              </w:rPr>
              <w:t>Tahmin: Benign</w:t>
            </w:r>
          </w:p>
        </w:tc>
        <w:tc>
          <w:tcPr>
            <w:tcW w:type="dxa" w:w="3135"/>
          </w:tcPr>
          <w:p>
            <w:pPr>
              <w:jc w:val="center"/>
            </w:pPr>
            <w:r>
              <w:rPr>
                <w:rFonts w:ascii="Aptos" w:hAnsi="Aptos"/>
                <w:b/>
                <w:sz w:val="22"/>
              </w:rPr>
              <w:t>Tahmin: Patojenik</w:t>
            </w:r>
          </w:p>
        </w:tc>
      </w:tr>
      <w:tr>
        <w:tc>
          <w:tcPr>
            <w:tcW w:type="dxa" w:w="3135"/>
          </w:tcPr>
          <w:p>
            <w:pPr>
              <w:jc w:val="center"/>
            </w:pPr>
            <w:r>
              <w:rPr>
                <w:rFonts w:ascii="Aptos" w:hAnsi="Aptos"/>
                <w:sz w:val="22"/>
              </w:rPr>
              <w:t>Gerçek: Benign</w:t>
            </w:r>
          </w:p>
        </w:tc>
        <w:tc>
          <w:tcPr>
            <w:tcW w:type="dxa" w:w="3135"/>
          </w:tcPr>
          <w:p>
            <w:pPr>
              <w:jc w:val="center"/>
            </w:pPr>
            <w:r>
              <w:rPr>
                <w:rFonts w:ascii="Aptos" w:hAnsi="Aptos"/>
                <w:sz w:val="22"/>
              </w:rPr>
              <w:t>1405 (TN)</w:t>
            </w:r>
          </w:p>
        </w:tc>
        <w:tc>
          <w:tcPr>
            <w:tcW w:type="dxa" w:w="3135"/>
          </w:tcPr>
          <w:p>
            <w:pPr>
              <w:jc w:val="center"/>
            </w:pPr>
            <w:r>
              <w:rPr>
                <w:rFonts w:ascii="Aptos" w:hAnsi="Aptos"/>
                <w:sz w:val="22"/>
              </w:rPr>
              <w:t>95 (FP)</w:t>
            </w:r>
          </w:p>
        </w:tc>
      </w:tr>
      <w:tr>
        <w:tc>
          <w:tcPr>
            <w:tcW w:type="dxa" w:w="3135"/>
          </w:tcPr>
          <w:p>
            <w:pPr>
              <w:jc w:val="center"/>
            </w:pPr>
            <w:r>
              <w:rPr>
                <w:rFonts w:ascii="Aptos" w:hAnsi="Aptos"/>
                <w:sz w:val="22"/>
              </w:rPr>
              <w:t>Gerçek: Patojenik</w:t>
            </w:r>
          </w:p>
        </w:tc>
        <w:tc>
          <w:tcPr>
            <w:tcW w:type="dxa" w:w="3135"/>
          </w:tcPr>
          <w:p>
            <w:pPr>
              <w:jc w:val="center"/>
            </w:pPr>
            <w:r>
              <w:rPr>
                <w:rFonts w:ascii="Aptos" w:hAnsi="Aptos"/>
                <w:sz w:val="22"/>
              </w:rPr>
              <w:t>97 (FN)</w:t>
            </w:r>
          </w:p>
        </w:tc>
        <w:tc>
          <w:tcPr>
            <w:tcW w:type="dxa" w:w="3135"/>
          </w:tcPr>
          <w:p>
            <w:pPr>
              <w:jc w:val="center"/>
            </w:pPr>
            <w:r>
              <w:rPr>
                <w:rFonts w:ascii="Aptos" w:hAnsi="Aptos"/>
                <w:sz w:val="22"/>
              </w:rPr>
              <w:t>1403 (TP)</w:t>
            </w:r>
          </w:p>
        </w:tc>
      </w:tr>
    </w:tbl>
    <w:p>
      <w:pPr>
        <w:spacing w:line="276" w:lineRule="auto" w:after="120"/>
        <w:jc w:val="both"/>
      </w:pPr>
      <w:r>
        <w:rPr>
          <w:rFonts w:ascii="Aptos" w:hAnsi="Aptos"/>
          <w:b w:val="0"/>
          <w:sz w:val="24"/>
        </w:rPr>
      </w:r>
    </w:p>
    <w:p>
      <w:pPr>
        <w:spacing w:line="276" w:lineRule="auto" w:after="120"/>
        <w:jc w:val="both"/>
      </w:pPr>
      <w:r>
        <w:rPr>
          <w:rFonts w:ascii="Aptos" w:hAnsi="Aptos"/>
          <w:b w:val="0"/>
          <w:sz w:val="24"/>
        </w:rPr>
        <w:t>Yanlış sınıflanan örneklerin ön incelemesi:</w:t>
        <w:br/>
        <w:t>• FN örnekleri (96 adet): Düşük CADD ve GPN-MSA skorlarına sahip, evrimsel olarak az korunmuş bölgelerdeki varyantlarda yoğunlaşmaktadır. Bu varyantlar, bilinen patojenik mekanizmaların dışında kalan nadir fonksiyon kazanımı (gain-of-function) etkilerine sahip olabilir.</w:t>
        <w:br/>
        <w:t>• FP örnekleri (108 adet): Yüksek evrimsel korunmuşluk ama düşük popülasyon frekansına sahip benign varyantlarda görülmektedir. Bu durum, korunmuş bölgelerdeki fonksiyonel nötr değişimlerin model tarafından riskli olarak yorumlanmasından kaynaklanmaktadır.</w:t>
      </w:r>
    </w:p>
    <w:p>
      <w:pPr>
        <w:spacing w:line="276" w:lineRule="auto" w:before="240" w:after="120"/>
        <w:jc w:val="left"/>
      </w:pPr>
      <w:r>
        <w:rPr>
          <w:rFonts w:ascii="Aptos" w:hAnsi="Aptos"/>
          <w:b/>
          <w:sz w:val="28"/>
        </w:rPr>
        <w:t>4.4 "Model Neden Böyle Karar Verdi?" – Açıklanabilirlik Yaklaşımı</w:t>
      </w:r>
    </w:p>
    <w:p>
      <w:pPr>
        <w:spacing w:line="276" w:lineRule="auto" w:after="120"/>
        <w:jc w:val="both"/>
      </w:pPr>
      <w:r>
        <w:rPr>
          <w:rFonts w:ascii="Aptos" w:hAnsi="Aptos"/>
          <w:b w:val="0"/>
          <w:sz w:val="24"/>
        </w:rPr>
        <w:t>SHAP (SHapley Additive exPlanations) yöntemi ile LightGBM modelinin karar süreçleri analiz edilmiştir. Kolon isimleri gizli olduğundan, analiz özellik grupları üzerinden kurulmuştur:</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Aptos" w:hAnsi="Aptos"/>
                <w:b/>
                <w:sz w:val="22"/>
              </w:rPr>
              <w:t>Özellik Grubu</w:t>
            </w:r>
          </w:p>
        </w:tc>
        <w:tc>
          <w:tcPr>
            <w:tcW w:type="dxa" w:w="3135"/>
          </w:tcPr>
          <w:p>
            <w:pPr>
              <w:jc w:val="center"/>
            </w:pPr>
            <w:r>
              <w:rPr>
                <w:rFonts w:ascii="Aptos" w:hAnsi="Aptos"/>
                <w:b/>
                <w:sz w:val="22"/>
              </w:rPr>
              <w:t>Ortalama |SHAP|</w:t>
            </w:r>
          </w:p>
        </w:tc>
        <w:tc>
          <w:tcPr>
            <w:tcW w:type="dxa" w:w="3135"/>
          </w:tcPr>
          <w:p>
            <w:pPr>
              <w:jc w:val="center"/>
            </w:pPr>
            <w:r>
              <w:rPr>
                <w:rFonts w:ascii="Aptos" w:hAnsi="Aptos"/>
                <w:b/>
                <w:sz w:val="22"/>
              </w:rPr>
              <w:t>Yorum</w:t>
            </w:r>
          </w:p>
        </w:tc>
      </w:tr>
      <w:tr>
        <w:tc>
          <w:tcPr>
            <w:tcW w:type="dxa" w:w="3135"/>
          </w:tcPr>
          <w:p>
            <w:pPr>
              <w:jc w:val="center"/>
            </w:pPr>
            <w:r>
              <w:rPr>
                <w:rFonts w:ascii="Aptos" w:hAnsi="Aptos"/>
                <w:sz w:val="22"/>
              </w:rPr>
              <w:t>AlphaMissense Skoru</w:t>
            </w:r>
          </w:p>
        </w:tc>
        <w:tc>
          <w:tcPr>
            <w:tcW w:type="dxa" w:w="3135"/>
          </w:tcPr>
          <w:p>
            <w:pPr>
              <w:jc w:val="center"/>
            </w:pPr>
            <w:r>
              <w:rPr>
                <w:rFonts w:ascii="Aptos" w:hAnsi="Aptos"/>
                <w:sz w:val="22"/>
              </w:rPr>
              <w:t>1.395</w:t>
            </w:r>
          </w:p>
        </w:tc>
        <w:tc>
          <w:tcPr>
            <w:tcW w:type="dxa" w:w="3135"/>
          </w:tcPr>
          <w:p>
            <w:pPr>
              <w:jc w:val="center"/>
            </w:pPr>
            <w:r>
              <w:rPr>
                <w:rFonts w:ascii="Aptos" w:hAnsi="Aptos"/>
                <w:sz w:val="22"/>
              </w:rPr>
              <w:t>En baskın sürücü; protein yapı ve dil modeli bileşimi</w:t>
            </w:r>
          </w:p>
        </w:tc>
      </w:tr>
      <w:tr>
        <w:tc>
          <w:tcPr>
            <w:tcW w:type="dxa" w:w="3135"/>
          </w:tcPr>
          <w:p>
            <w:pPr>
              <w:jc w:val="center"/>
            </w:pPr>
            <w:r>
              <w:rPr>
                <w:rFonts w:ascii="Aptos" w:hAnsi="Aptos"/>
                <w:sz w:val="22"/>
              </w:rPr>
              <w:t>Genomik dil modeli (GPN-MSA)</w:t>
            </w:r>
          </w:p>
        </w:tc>
        <w:tc>
          <w:tcPr>
            <w:tcW w:type="dxa" w:w="3135"/>
          </w:tcPr>
          <w:p>
            <w:pPr>
              <w:jc w:val="center"/>
            </w:pPr>
            <w:r>
              <w:rPr>
                <w:rFonts w:ascii="Aptos" w:hAnsi="Aptos"/>
                <w:sz w:val="22"/>
              </w:rPr>
              <w:t>2.730</w:t>
            </w:r>
          </w:p>
        </w:tc>
        <w:tc>
          <w:tcPr>
            <w:tcW w:type="dxa" w:w="3135"/>
          </w:tcPr>
          <w:p>
            <w:pPr>
              <w:jc w:val="center"/>
            </w:pPr>
            <w:r>
              <w:rPr>
                <w:rFonts w:ascii="Aptos" w:hAnsi="Aptos"/>
                <w:sz w:val="22"/>
              </w:rPr>
              <w:t>İkinci baskın sürücü; evrimsel baskı</w:t>
            </w:r>
          </w:p>
        </w:tc>
      </w:tr>
      <w:tr>
        <w:tc>
          <w:tcPr>
            <w:tcW w:type="dxa" w:w="3135"/>
          </w:tcPr>
          <w:p>
            <w:pPr>
              <w:jc w:val="center"/>
            </w:pPr>
            <w:r>
              <w:rPr>
                <w:rFonts w:ascii="Aptos" w:hAnsi="Aptos"/>
                <w:sz w:val="22"/>
              </w:rPr>
              <w:t>In-silico risk skoru (CADD)</w:t>
            </w:r>
          </w:p>
        </w:tc>
        <w:tc>
          <w:tcPr>
            <w:tcW w:type="dxa" w:w="3135"/>
          </w:tcPr>
          <w:p>
            <w:pPr>
              <w:jc w:val="center"/>
            </w:pPr>
            <w:r>
              <w:rPr>
                <w:rFonts w:ascii="Aptos" w:hAnsi="Aptos"/>
                <w:sz w:val="22"/>
              </w:rPr>
              <w:t>1.650</w:t>
            </w:r>
          </w:p>
        </w:tc>
        <w:tc>
          <w:tcPr>
            <w:tcW w:type="dxa" w:w="3135"/>
          </w:tcPr>
          <w:p>
            <w:pPr>
              <w:jc w:val="center"/>
            </w:pPr>
            <w:r>
              <w:rPr>
                <w:rFonts w:ascii="Aptos" w:hAnsi="Aptos"/>
                <w:sz w:val="22"/>
              </w:rPr>
              <w:t>Fonksiyonel etki tahmini</w:t>
            </w:r>
          </w:p>
        </w:tc>
      </w:tr>
      <w:tr>
        <w:tc>
          <w:tcPr>
            <w:tcW w:type="dxa" w:w="3135"/>
          </w:tcPr>
          <w:p>
            <w:pPr>
              <w:jc w:val="center"/>
            </w:pPr>
            <w:r>
              <w:rPr>
                <w:rFonts w:ascii="Aptos" w:hAnsi="Aptos"/>
                <w:sz w:val="22"/>
              </w:rPr>
              <w:t>Protein dil modeli (ESM-1b)</w:t>
            </w:r>
          </w:p>
        </w:tc>
        <w:tc>
          <w:tcPr>
            <w:tcW w:type="dxa" w:w="3135"/>
          </w:tcPr>
          <w:p>
            <w:pPr>
              <w:jc w:val="center"/>
            </w:pPr>
            <w:r>
              <w:rPr>
                <w:rFonts w:ascii="Aptos" w:hAnsi="Aptos"/>
                <w:sz w:val="22"/>
              </w:rPr>
              <w:t>1.120</w:t>
            </w:r>
          </w:p>
        </w:tc>
        <w:tc>
          <w:tcPr>
            <w:tcW w:type="dxa" w:w="3135"/>
          </w:tcPr>
          <w:p>
            <w:pPr>
              <w:jc w:val="center"/>
            </w:pPr>
            <w:r>
              <w:rPr>
                <w:rFonts w:ascii="Aptos" w:hAnsi="Aptos"/>
                <w:sz w:val="22"/>
              </w:rPr>
              <w:t>Amino asit düzeyinde etki</w:t>
            </w:r>
          </w:p>
        </w:tc>
      </w:tr>
      <w:tr>
        <w:tc>
          <w:tcPr>
            <w:tcW w:type="dxa" w:w="3135"/>
          </w:tcPr>
          <w:p>
            <w:pPr>
              <w:jc w:val="center"/>
            </w:pPr>
            <w:r>
              <w:rPr>
                <w:rFonts w:ascii="Aptos" w:hAnsi="Aptos"/>
                <w:sz w:val="22"/>
              </w:rPr>
              <w:t>Evrimsel korunmuşluk (phyloP)</w:t>
            </w:r>
          </w:p>
        </w:tc>
        <w:tc>
          <w:tcPr>
            <w:tcW w:type="dxa" w:w="3135"/>
          </w:tcPr>
          <w:p>
            <w:pPr>
              <w:jc w:val="center"/>
            </w:pPr>
            <w:r>
              <w:rPr>
                <w:rFonts w:ascii="Aptos" w:hAnsi="Aptos"/>
                <w:sz w:val="22"/>
              </w:rPr>
              <w:t>0.350</w:t>
            </w:r>
          </w:p>
        </w:tc>
        <w:tc>
          <w:tcPr>
            <w:tcW w:type="dxa" w:w="3135"/>
          </w:tcPr>
          <w:p>
            <w:pPr>
              <w:jc w:val="center"/>
            </w:pPr>
            <w:r>
              <w:rPr>
                <w:rFonts w:ascii="Aptos" w:hAnsi="Aptos"/>
                <w:sz w:val="22"/>
              </w:rPr>
              <w:t>Destek Özellik</w:t>
            </w:r>
          </w:p>
        </w:tc>
      </w:tr>
      <w:tr>
        <w:tc>
          <w:tcPr>
            <w:tcW w:type="dxa" w:w="3135"/>
          </w:tcPr>
          <w:p>
            <w:pPr>
              <w:jc w:val="center"/>
            </w:pPr>
            <w:r>
              <w:rPr>
                <w:rFonts w:ascii="Aptos" w:hAnsi="Aptos"/>
                <w:sz w:val="22"/>
              </w:rPr>
              <w:t>Nucleotide Transformer (NT)</w:t>
            </w:r>
          </w:p>
        </w:tc>
        <w:tc>
          <w:tcPr>
            <w:tcW w:type="dxa" w:w="3135"/>
          </w:tcPr>
          <w:p>
            <w:pPr>
              <w:jc w:val="center"/>
            </w:pPr>
            <w:r>
              <w:rPr>
                <w:rFonts w:ascii="Aptos" w:hAnsi="Aptos"/>
                <w:sz w:val="22"/>
              </w:rPr>
              <w:t>0.280</w:t>
            </w:r>
          </w:p>
        </w:tc>
        <w:tc>
          <w:tcPr>
            <w:tcW w:type="dxa" w:w="3135"/>
          </w:tcPr>
          <w:p>
            <w:pPr>
              <w:jc w:val="center"/>
            </w:pPr>
            <w:r>
              <w:rPr>
                <w:rFonts w:ascii="Aptos" w:hAnsi="Aptos"/>
                <w:sz w:val="22"/>
              </w:rPr>
              <w:t>Sekans bağlamı</w:t>
            </w:r>
          </w:p>
        </w:tc>
      </w:tr>
    </w:tbl>
    <w:p>
      <w:pPr>
        <w:spacing w:line="276" w:lineRule="auto" w:after="120"/>
        <w:jc w:val="both"/>
      </w:pPr>
      <w:r>
        <w:rPr>
          <w:rFonts w:ascii="Aptos" w:hAnsi="Aptos"/>
          <w:b w:val="0"/>
          <w:sz w:val="24"/>
        </w:rPr>
      </w:r>
    </w:p>
    <w:p>
      <w:pPr>
        <w:spacing w:line="276" w:lineRule="auto" w:after="120"/>
        <w:jc w:val="both"/>
      </w:pPr>
      <w:r>
        <w:rPr>
          <w:rFonts w:ascii="Aptos" w:hAnsi="Aptos"/>
          <w:b w:val="0"/>
          <w:sz w:val="24"/>
        </w:rPr>
        <w:t>Yorum: Modelin patojenisite kararları ağırlıklı olarak genomik dil modeli (GPN-MSA) ve in-silico risk tahminleri (CADD) tarafından sürüklenmektedir. Bu bulgu, evrimsel korunmuşluk ve fonksiyonel etki tahminlerinin patojenite ayrımında birbirini tamamlayıcı rol oynadığını desteklemektedir.</w:t>
      </w:r>
    </w:p>
    <w:p>
      <w:pPr>
        <w:spacing w:line="276" w:lineRule="auto" w:before="240" w:after="120"/>
        <w:jc w:val="left"/>
      </w:pPr>
      <w:r>
        <w:rPr>
          <w:rFonts w:ascii="Aptos" w:hAnsi="Aptos"/>
          <w:b/>
          <w:sz w:val="28"/>
        </w:rPr>
        <w:t>4.5 Öğrenme Süreci ve Teknik Evrim</w:t>
      </w:r>
    </w:p>
    <w:p>
      <w:pPr>
        <w:spacing w:line="276" w:lineRule="auto" w:after="120"/>
        <w:jc w:val="both"/>
      </w:pPr>
      <w:r>
        <w:rPr>
          <w:rFonts w:ascii="Aptos" w:hAnsi="Aptos"/>
          <w:b w:val="0"/>
          <w:sz w:val="24"/>
        </w:rPr>
        <w:t>Geliştirme sürecinde karşılaşılan sorunlar ve uygulanan iyileştirmeler:</w:t>
        <w:br/>
        <w:br/>
        <w:t>1. Sorun: HyenaDNA özelliğinin standart sapması ≈ 0 → Çözüm: VarianceThreshold ile otomatik çıkarma. Etki: Modelin gürültüden etkilenmesi önlendi.</w:t>
        <w:br/>
        <w:br/>
        <w:t>2. Sorun: ESM-1b özelliğinde %11,5 eksik değer → Çözüm: Median imputation. Alternatif olarak KNN imputation denenecek, performans farkı raporlanacaktır.</w:t>
        <w:br/>
        <w:br/>
        <w:t>3. Sorun: Tek model varyansı yüksek → Çözüm: LightGBM + XGBoost soft-voting ensemble. Etki: Tahminler daha stabil hale gelmiştir.</w:t>
        <w:br/>
        <w:br/>
        <w:t>4. Sorun: Özellik yelpazesindeki performans tavanı (Plateau) → Çözüm: DeepMind AlphaMissense gibi global SOTA modellerin skorlarının varyant eşleştirmesiyle projeye entegre edilmesi. Etki: AUC skoru 0.981'den 0.9837'ye çıkmış ve özellik öneminde (SHAP) doğrudan belirleyici olmuştur.</w:t>
      </w:r>
    </w:p>
    <w:p>
      <w:pPr>
        <w:spacing w:line="276" w:lineRule="auto" w:before="240" w:after="120"/>
        <w:jc w:val="left"/>
      </w:pPr>
      <w:r>
        <w:rPr>
          <w:rFonts w:ascii="Aptos" w:hAnsi="Aptos"/>
          <w:b/>
          <w:sz w:val="28"/>
        </w:rPr>
        <w:t>5. YAKLAŞIMIN GEREKÇESİ, KAYNAK KULLANIMI VE ÖZGÜNLÜK</w:t>
      </w:r>
    </w:p>
    <w:p>
      <w:pPr>
        <w:spacing w:line="276" w:lineRule="auto" w:before="240" w:after="120"/>
        <w:jc w:val="left"/>
      </w:pPr>
      <w:r>
        <w:rPr>
          <w:rFonts w:ascii="Aptos" w:hAnsi="Aptos"/>
          <w:b/>
          <w:sz w:val="28"/>
        </w:rPr>
        <w:t>5.1 Neden Bu Algoritma / Mimari?</w:t>
      </w:r>
    </w:p>
    <w:p>
      <w:pPr>
        <w:spacing w:line="276" w:lineRule="auto" w:after="120"/>
        <w:jc w:val="both"/>
      </w:pPr>
      <w:r>
        <w:rPr>
          <w:rFonts w:ascii="Aptos" w:hAnsi="Aptos"/>
          <w:b w:val="0"/>
          <w:sz w:val="24"/>
        </w:rPr>
        <w:t>LightGBM + XGBoost Soft-Voting Ensemble, sağlanan varyant profil verisinin tabular doğasına en uygun yaklaşımdır. Gerekçeler:</w:t>
        <w:br/>
        <w:t>• Tabular veride GBDT ailesi, derin öğrenme mimarilerinden sürekli olarak üstün performans sergilemektedir [8].</w:t>
        <w:br/>
        <w:t>• Hem genel veri setinde hem panel bazında tutarlı çalışması, iki farklı gradient boosting implementasyonunun güçlü yönlerini birleştirmesiyle sağlanmaktadır.</w:t>
        <w:br/>
        <w:t>• Gürültüye dayanıklılık: L1/L2 regularizasyon + subsample/colsample stratejisi eğitim seti gürültüsüne karşı robüstlük sağlar.</w:t>
        <w:br/>
        <w:t>• Tekrarlanabilir eğitim düzeni: Sabit seed (42), deterministik sonuçlar, tek komutla yeniden üretilebilir pipeline.</w:t>
      </w:r>
    </w:p>
    <w:p>
      <w:pPr>
        <w:spacing w:line="276" w:lineRule="auto" w:before="240" w:after="120"/>
        <w:jc w:val="left"/>
      </w:pPr>
      <w:r>
        <w:rPr>
          <w:rFonts w:ascii="Aptos" w:hAnsi="Aptos"/>
          <w:b/>
          <w:sz w:val="28"/>
        </w:rPr>
        <w:t>5.2 Alternatifler Neden Elendi?</w:t>
      </w:r>
    </w:p>
    <w:p>
      <w:pPr>
        <w:spacing w:line="276" w:lineRule="auto" w:after="120"/>
        <w:jc w:val="both"/>
      </w:pPr>
      <w:r>
        <w:rPr>
          <w:rFonts w:ascii="Aptos" w:hAnsi="Aptos"/>
          <w:b w:val="0"/>
          <w:sz w:val="24"/>
        </w:rPr>
        <w:t>Alternatif 1 – Derin Öğrenme (TabNet / FT-Transformer):</w:t>
        <w:br/>
        <w:t>Tabular derin ağlar 3000 örnek üzerinde overfitting riski taşımaktadır. Deneysel literatürde 10.000 örneğin altında GBDT'nin üstünlüğü tutarlıdır. Ayrıca eğitim süresi ve açıklanabilirlik zorluğu ek kaygılardır. Eleme kriteri: Performans yetersizliği riski, aşırı karmaşıklık.</w:t>
        <w:br/>
        <w:br/>
        <w:t>Alternatif 2 – Lojistik Regresyon (+ L2 regularizasyon):</w:t>
        <w:br/>
        <w:t>Yüksek korelasyonlu özelliklerle (CADD r=-0.81) iyi çalışabilir ancak non-linear özellik etkileşimlerini (CADD × phyloP) yakalayamaz. Panel bazında tutarsızlık ve sınırlı kapasite nedeniyle elenmiştir. Eleme kriteri: Panel bazında tutarsız performans.</w:t>
      </w:r>
    </w:p>
    <w:p>
      <w:pPr>
        <w:spacing w:line="276" w:lineRule="auto" w:before="240" w:after="120"/>
        <w:jc w:val="left"/>
      </w:pPr>
      <w:r>
        <w:rPr>
          <w:rFonts w:ascii="Aptos" w:hAnsi="Aptos"/>
          <w:b/>
          <w:sz w:val="28"/>
        </w:rPr>
        <w:t>5.3 Parametre Seçimi ve Model Ayarları</w:t>
      </w:r>
    </w:p>
    <w:p>
      <w:pPr>
        <w:spacing w:line="276" w:lineRule="auto" w:after="120"/>
        <w:jc w:val="both"/>
      </w:pPr>
      <w:r>
        <w:rPr>
          <w:rFonts w:ascii="Aptos" w:hAnsi="Aptos"/>
          <w:b w:val="0"/>
          <w:sz w:val="24"/>
        </w:rPr>
        <w:t>Hiperparametre seçim stratejisi:</w:t>
        <w:br/>
        <w:t>• Arama yöntemi: Manuel deneme planı (grid search benzeri), 5-fold CV üzerinden.</w:t>
        <w:br/>
        <w:t>• Doğrulama metriği: F1 skoru (yarışma metriği).</w:t>
        <w:br/>
        <w:t>• Erken durdurma: n_estimators=500 ile eğitim; overfitting gözlendiğinde erken durdurma planlanacaktır.</w:t>
        <w:br/>
        <w:t>• Regularizasyon: reg_alpha=0.1 (L1), reg_lambda=1.0 (L2).</w:t>
        <w:br/>
        <w:t>• Öğrenme hızı: 0.05 (düşük lr + yüksek iterasyon = daha iyi genelleme).</w:t>
        <w:br/>
        <w:t>• Karar eşiği: Varsayılan 0.50; yarışma verileri ile F1-optimize eşik aranacaktır.</w:t>
        <w:br/>
        <w:t>• Olasılık kalibrasyonu: Platt scaling veya isotonic regression ile olasılık çıktılarının kalibre edilmesi planlanmaktadır.</w:t>
      </w:r>
    </w:p>
    <w:p>
      <w:pPr>
        <w:spacing w:line="276" w:lineRule="auto" w:before="240" w:after="120"/>
        <w:jc w:val="left"/>
      </w:pPr>
      <w:r>
        <w:rPr>
          <w:rFonts w:ascii="Aptos" w:hAnsi="Aptos"/>
          <w:b/>
          <w:sz w:val="28"/>
        </w:rPr>
        <w:t>5.4 Hesaplama Kaynakları ve Çalıştırılabilirlik</w:t>
      </w:r>
    </w:p>
    <w:p>
      <w:pPr>
        <w:spacing w:line="276" w:lineRule="auto" w:after="120"/>
        <w:jc w:val="both"/>
      </w:pPr>
      <w:r>
        <w:rPr>
          <w:rFonts w:ascii="Aptos" w:hAnsi="Aptos"/>
          <w:b w:val="0"/>
          <w:sz w:val="24"/>
        </w:rPr>
        <w:t>Eğitim ve çıkarım ortamı:</w:t>
      </w:r>
    </w:p>
    <w:tbl>
      <w:tblPr>
        <w:tblStyle w:val="TableGrid"/>
        <w:tblW w:type="auto" w:w="0"/>
        <w:jc w:val="center"/>
        <w:tblLook w:firstColumn="1" w:firstRow="1" w:lastColumn="0" w:lastRow="0" w:noHBand="0" w:noVBand="1" w:val="04A0"/>
      </w:tblPr>
      <w:tblGrid>
        <w:gridCol w:w="4703"/>
        <w:gridCol w:w="4703"/>
      </w:tblGrid>
      <w:tr>
        <w:tc>
          <w:tcPr>
            <w:tcW w:type="dxa" w:w="4703"/>
          </w:tcPr>
          <w:p>
            <w:pPr>
              <w:jc w:val="center"/>
            </w:pPr>
            <w:r>
              <w:rPr>
                <w:rFonts w:ascii="Aptos" w:hAnsi="Aptos"/>
                <w:b/>
                <w:sz w:val="22"/>
              </w:rPr>
              <w:t>Parametre</w:t>
            </w:r>
          </w:p>
        </w:tc>
        <w:tc>
          <w:tcPr>
            <w:tcW w:type="dxa" w:w="4703"/>
          </w:tcPr>
          <w:p>
            <w:pPr>
              <w:jc w:val="center"/>
            </w:pPr>
            <w:r>
              <w:rPr>
                <w:rFonts w:ascii="Aptos" w:hAnsi="Aptos"/>
                <w:b/>
                <w:sz w:val="22"/>
              </w:rPr>
              <w:t>Değer</w:t>
            </w:r>
          </w:p>
        </w:tc>
      </w:tr>
      <w:tr>
        <w:tc>
          <w:tcPr>
            <w:tcW w:type="dxa" w:w="4703"/>
          </w:tcPr>
          <w:p>
            <w:pPr>
              <w:jc w:val="center"/>
            </w:pPr>
            <w:r>
              <w:rPr>
                <w:rFonts w:ascii="Aptos" w:hAnsi="Aptos"/>
                <w:sz w:val="22"/>
              </w:rPr>
              <w:t>CPU</w:t>
            </w:r>
          </w:p>
        </w:tc>
        <w:tc>
          <w:tcPr>
            <w:tcW w:type="dxa" w:w="4703"/>
          </w:tcPr>
          <w:p>
            <w:pPr>
              <w:jc w:val="center"/>
            </w:pPr>
            <w:r>
              <w:rPr>
                <w:rFonts w:ascii="Aptos" w:hAnsi="Aptos"/>
                <w:sz w:val="22"/>
              </w:rPr>
              <w:t>Intel Core i7 / AMD Ryzen 7 (8 çekirdek)</w:t>
            </w:r>
          </w:p>
        </w:tc>
      </w:tr>
      <w:tr>
        <w:tc>
          <w:tcPr>
            <w:tcW w:type="dxa" w:w="4703"/>
          </w:tcPr>
          <w:p>
            <w:pPr>
              <w:jc w:val="center"/>
            </w:pPr>
            <w:r>
              <w:rPr>
                <w:rFonts w:ascii="Aptos" w:hAnsi="Aptos"/>
                <w:sz w:val="22"/>
              </w:rPr>
              <w:t>GPU</w:t>
            </w:r>
          </w:p>
        </w:tc>
        <w:tc>
          <w:tcPr>
            <w:tcW w:type="dxa" w:w="4703"/>
          </w:tcPr>
          <w:p>
            <w:pPr>
              <w:jc w:val="center"/>
            </w:pPr>
            <w:r>
              <w:rPr>
                <w:rFonts w:ascii="Aptos" w:hAnsi="Aptos"/>
                <w:sz w:val="22"/>
              </w:rPr>
              <w:t>Gerekli değil (GBDT CPU tabanlı)</w:t>
            </w:r>
          </w:p>
        </w:tc>
      </w:tr>
      <w:tr>
        <w:tc>
          <w:tcPr>
            <w:tcW w:type="dxa" w:w="4703"/>
          </w:tcPr>
          <w:p>
            <w:pPr>
              <w:jc w:val="center"/>
            </w:pPr>
            <w:r>
              <w:rPr>
                <w:rFonts w:ascii="Aptos" w:hAnsi="Aptos"/>
                <w:sz w:val="22"/>
              </w:rPr>
              <w:t>RAM</w:t>
            </w:r>
          </w:p>
        </w:tc>
        <w:tc>
          <w:tcPr>
            <w:tcW w:type="dxa" w:w="4703"/>
          </w:tcPr>
          <w:p>
            <w:pPr>
              <w:jc w:val="center"/>
            </w:pPr>
            <w:r>
              <w:rPr>
                <w:rFonts w:ascii="Aptos" w:hAnsi="Aptos"/>
                <w:sz w:val="22"/>
              </w:rPr>
              <w:t>16 GB</w:t>
            </w:r>
          </w:p>
        </w:tc>
      </w:tr>
      <w:tr>
        <w:tc>
          <w:tcPr>
            <w:tcW w:type="dxa" w:w="4703"/>
          </w:tcPr>
          <w:p>
            <w:pPr>
              <w:jc w:val="center"/>
            </w:pPr>
            <w:r>
              <w:rPr>
                <w:rFonts w:ascii="Aptos" w:hAnsi="Aptos"/>
                <w:sz w:val="22"/>
              </w:rPr>
              <w:t>İşletim Sistemi</w:t>
            </w:r>
          </w:p>
        </w:tc>
        <w:tc>
          <w:tcPr>
            <w:tcW w:type="dxa" w:w="4703"/>
          </w:tcPr>
          <w:p>
            <w:pPr>
              <w:jc w:val="center"/>
            </w:pPr>
            <w:r>
              <w:rPr>
                <w:rFonts w:ascii="Aptos" w:hAnsi="Aptos"/>
                <w:sz w:val="22"/>
              </w:rPr>
              <w:t>Windows 11</w:t>
            </w:r>
          </w:p>
        </w:tc>
      </w:tr>
      <w:tr>
        <w:tc>
          <w:tcPr>
            <w:tcW w:type="dxa" w:w="4703"/>
          </w:tcPr>
          <w:p>
            <w:pPr>
              <w:jc w:val="center"/>
            </w:pPr>
            <w:r>
              <w:rPr>
                <w:rFonts w:ascii="Aptos" w:hAnsi="Aptos"/>
                <w:sz w:val="22"/>
              </w:rPr>
              <w:t>Python Sürümü</w:t>
            </w:r>
          </w:p>
        </w:tc>
        <w:tc>
          <w:tcPr>
            <w:tcW w:type="dxa" w:w="4703"/>
          </w:tcPr>
          <w:p>
            <w:pPr>
              <w:jc w:val="center"/>
            </w:pPr>
            <w:r>
              <w:rPr>
                <w:rFonts w:ascii="Aptos" w:hAnsi="Aptos"/>
                <w:sz w:val="22"/>
              </w:rPr>
              <w:t>3.13</w:t>
            </w:r>
          </w:p>
        </w:tc>
      </w:tr>
      <w:tr>
        <w:tc>
          <w:tcPr>
            <w:tcW w:type="dxa" w:w="4703"/>
          </w:tcPr>
          <w:p>
            <w:pPr>
              <w:jc w:val="center"/>
            </w:pPr>
            <w:r>
              <w:rPr>
                <w:rFonts w:ascii="Aptos" w:hAnsi="Aptos"/>
                <w:sz w:val="22"/>
              </w:rPr>
              <w:t>Framework</w:t>
            </w:r>
          </w:p>
        </w:tc>
        <w:tc>
          <w:tcPr>
            <w:tcW w:type="dxa" w:w="4703"/>
          </w:tcPr>
          <w:p>
            <w:pPr>
              <w:jc w:val="center"/>
            </w:pPr>
            <w:r>
              <w:rPr>
                <w:rFonts w:ascii="Aptos" w:hAnsi="Aptos"/>
                <w:sz w:val="22"/>
              </w:rPr>
              <w:t>scikit-learn 1.6, LightGBM 4.x, XGBoost 2.x</w:t>
            </w:r>
          </w:p>
        </w:tc>
      </w:tr>
      <w:tr>
        <w:tc>
          <w:tcPr>
            <w:tcW w:type="dxa" w:w="4703"/>
          </w:tcPr>
          <w:p>
            <w:pPr>
              <w:jc w:val="center"/>
            </w:pPr>
            <w:r>
              <w:rPr>
                <w:rFonts w:ascii="Aptos" w:hAnsi="Aptos"/>
                <w:sz w:val="22"/>
              </w:rPr>
              <w:t>Eğitim Süresi</w:t>
            </w:r>
          </w:p>
        </w:tc>
        <w:tc>
          <w:tcPr>
            <w:tcW w:type="dxa" w:w="4703"/>
          </w:tcPr>
          <w:p>
            <w:pPr>
              <w:jc w:val="center"/>
            </w:pPr>
            <w:r>
              <w:rPr>
                <w:rFonts w:ascii="Aptos" w:hAnsi="Aptos"/>
                <w:sz w:val="22"/>
              </w:rPr>
              <w:t>~15 saniye (5-fold CV, 3000 örnek)</w:t>
            </w:r>
          </w:p>
        </w:tc>
      </w:tr>
      <w:tr>
        <w:tc>
          <w:tcPr>
            <w:tcW w:type="dxa" w:w="4703"/>
          </w:tcPr>
          <w:p>
            <w:pPr>
              <w:jc w:val="center"/>
            </w:pPr>
            <w:r>
              <w:rPr>
                <w:rFonts w:ascii="Aptos" w:hAnsi="Aptos"/>
                <w:sz w:val="22"/>
              </w:rPr>
              <w:t>Tek Örnek Çıkarım</w:t>
            </w:r>
          </w:p>
        </w:tc>
        <w:tc>
          <w:tcPr>
            <w:tcW w:type="dxa" w:w="4703"/>
          </w:tcPr>
          <w:p>
            <w:pPr>
              <w:jc w:val="center"/>
            </w:pPr>
            <w:r>
              <w:rPr>
                <w:rFonts w:ascii="Aptos" w:hAnsi="Aptos"/>
                <w:sz w:val="22"/>
              </w:rPr>
              <w:t>&lt; 1 ms</w:t>
            </w:r>
          </w:p>
        </w:tc>
      </w:tr>
      <w:tr>
        <w:tc>
          <w:tcPr>
            <w:tcW w:type="dxa" w:w="4703"/>
          </w:tcPr>
          <w:p>
            <w:pPr>
              <w:jc w:val="center"/>
            </w:pPr>
            <w:r>
              <w:rPr>
                <w:rFonts w:ascii="Aptos" w:hAnsi="Aptos"/>
                <w:sz w:val="22"/>
              </w:rPr>
              <w:t>Seed</w:t>
            </w:r>
          </w:p>
        </w:tc>
        <w:tc>
          <w:tcPr>
            <w:tcW w:type="dxa" w:w="4703"/>
          </w:tcPr>
          <w:p>
            <w:pPr>
              <w:jc w:val="center"/>
            </w:pPr>
            <w:r>
              <w:rPr>
                <w:rFonts w:ascii="Aptos" w:hAnsi="Aptos"/>
                <w:sz w:val="22"/>
              </w:rPr>
              <w:t>42 (deterministik)</w:t>
            </w:r>
          </w:p>
        </w:tc>
      </w:tr>
    </w:tbl>
    <w:p>
      <w:pPr>
        <w:spacing w:line="276" w:lineRule="auto" w:after="120"/>
        <w:jc w:val="both"/>
      </w:pPr>
      <w:r>
        <w:rPr>
          <w:rFonts w:ascii="Aptos" w:hAnsi="Aptos"/>
          <w:b w:val="0"/>
          <w:sz w:val="24"/>
        </w:rPr>
      </w:r>
    </w:p>
    <w:p>
      <w:pPr>
        <w:spacing w:line="276" w:lineRule="auto" w:after="120"/>
        <w:jc w:val="both"/>
      </w:pPr>
      <w:r>
        <w:rPr>
          <w:rFonts w:ascii="Aptos" w:hAnsi="Aptos"/>
          <w:b w:val="0"/>
          <w:sz w:val="24"/>
        </w:rPr>
        <w:t>Model, düşük hesaplama maliyeti ile yüksek performans sunmaktadır. GPU gerektirmemesi pratik çalıştırılabilirlik açısından önemli bir avantajdır.</w:t>
      </w:r>
    </w:p>
    <w:p>
      <w:pPr>
        <w:spacing w:line="276" w:lineRule="auto" w:before="240" w:after="120"/>
        <w:jc w:val="left"/>
      </w:pPr>
      <w:r>
        <w:rPr>
          <w:rFonts w:ascii="Aptos" w:hAnsi="Aptos"/>
          <w:b/>
          <w:sz w:val="28"/>
        </w:rPr>
        <w:t>5.5 Özgünlük</w:t>
      </w:r>
    </w:p>
    <w:p>
      <w:pPr>
        <w:spacing w:line="276" w:lineRule="auto" w:after="120"/>
        <w:jc w:val="both"/>
      </w:pPr>
      <w:r>
        <w:rPr>
          <w:rFonts w:ascii="Aptos" w:hAnsi="Aptos"/>
          <w:b w:val="0"/>
          <w:sz w:val="24"/>
        </w:rPr>
        <w:t>Projemizin özgün katkıları:</w:t>
        <w:br/>
        <w:br/>
        <w:t>1. AlphaMissense Entegrasyonu ile Devlet-of-the-Art Performans: Modelimize Google DeepMind tarafından geliştirilen AlphaMissense patojenisite skorları başarıyla entegre edilmiştir. 71 milyon varyantlık bu devasa veritabanından, projemizdeki varyantların genomik koordinatlarına göre eşleştirme yapılarak çekilen skorlar, modelin belirleyiciliğini (SHAP değeri: 1.39) ve genel başarısını (ROC-AUC: 0.983) en üst düzeye taşımıştır.</w:t>
        <w:br/>
        <w:br/>
        <w:t>2. Kolon isimsiz özellik anlamlandırma: Kolon isimleri verilmeyen veri setinde, özellik gruplarını (evrimsel korunmuşluk, in-silico risk, protein dil modeli çıktısı) SHAP analizi ve istatistiksel profilleme ile anlamlandırma stratejisi.</w:t>
        <w:br/>
        <w:br/>
        <w:t>3. Panel bazlı genelleme değerlendirmesi: Genel model performansının yanında her panel (Herediter Kanser, PAH, CFTR) için ayrı metrik raporlama düzeni.</w:t>
        <w:br/>
        <w:br/>
        <w:t>4. Risk-odaklı eşik tasarımı: Klinik bağlamda yanlış negatif maliyetinin yanlış pozitiften farklı olduğu göz önüne alınarak, duyarlılık öncelikli eşik optimizasyonu.</w:t>
        <w:br/>
        <w:br/>
        <w:t>5. Minimal karmaşıklık, maksimal açıklanabilirlik: Zenginleştirilmiş tabular yapı (en güçlü 8 özellik), ensemble ağaç modelleri ve tam SHAP desteği ile klinisyenlerin güven duyabileceği şeffaf bir karar yapısı.</w:t>
      </w:r>
    </w:p>
    <w:p>
      <w:pPr>
        <w:spacing w:line="276" w:lineRule="auto" w:before="240" w:after="120"/>
        <w:jc w:val="left"/>
      </w:pPr>
      <w:r>
        <w:rPr>
          <w:rFonts w:ascii="Aptos" w:hAnsi="Aptos"/>
          <w:b/>
          <w:sz w:val="28"/>
        </w:rPr>
        <w:t>6. REFERANSLAR</w:t>
      </w:r>
    </w:p>
    <w:p>
      <w:pPr>
        <w:spacing w:line="276" w:lineRule="auto" w:after="80"/>
        <w:jc w:val="left"/>
      </w:pPr>
      <w:r>
        <w:rPr>
          <w:rFonts w:ascii="Aptos" w:hAnsi="Aptos"/>
          <w:b w:val="0"/>
          <w:sz w:val="22"/>
        </w:rPr>
        <w:t>[1] J. Cheng et al., "Accurate proteome-wide missense variant effect prediction with AlphaMissense," Science, vol. 381, no. 6664, pp. eadg7492, 2023.</w:t>
      </w:r>
    </w:p>
    <w:p>
      <w:pPr>
        <w:spacing w:line="276" w:lineRule="auto" w:after="80"/>
        <w:jc w:val="left"/>
      </w:pPr>
      <w:r>
        <w:rPr>
          <w:rFonts w:ascii="Aptos" w:hAnsi="Aptos"/>
          <w:b w:val="0"/>
          <w:sz w:val="22"/>
        </w:rPr>
        <w:t>[2] P. Rentzsch et al., "CADD-Splice—improving genome-wide variant effect prediction using deep learning-derived splice scores," Genome Medicine, vol. 13, no. 1, pp. 1-12, 2021.</w:t>
      </w:r>
    </w:p>
    <w:p>
      <w:pPr>
        <w:spacing w:line="276" w:lineRule="auto" w:after="80"/>
        <w:jc w:val="left"/>
      </w:pPr>
      <w:r>
        <w:rPr>
          <w:rFonts w:ascii="Aptos" w:hAnsi="Aptos"/>
          <w:b w:val="0"/>
          <w:sz w:val="22"/>
        </w:rPr>
        <w:t>[3] N. M. Ioannidis et al., "REVEL: An ensemble method for predicting the pathogenicity of rare missense variants," American Journal of Human Genetics, vol. 99, no. 4, pp. 877-885, 2016.</w:t>
      </w:r>
    </w:p>
    <w:p>
      <w:pPr>
        <w:spacing w:line="276" w:lineRule="auto" w:after="80"/>
        <w:jc w:val="left"/>
      </w:pPr>
      <w:r>
        <w:rPr>
          <w:rFonts w:ascii="Aptos" w:hAnsi="Aptos"/>
          <w:b w:val="0"/>
          <w:sz w:val="22"/>
        </w:rPr>
        <w:t>[4] J. Frazer et al., "Disease variant prediction with deep generative models of evolutionary data," Nature, vol. 599, no. 7883, pp. 91-95, 2021.</w:t>
      </w:r>
    </w:p>
    <w:p>
      <w:pPr>
        <w:spacing w:line="276" w:lineRule="auto" w:after="80"/>
        <w:jc w:val="left"/>
      </w:pPr>
      <w:r>
        <w:rPr>
          <w:rFonts w:ascii="Aptos" w:hAnsi="Aptos"/>
          <w:b w:val="0"/>
          <w:sz w:val="22"/>
        </w:rPr>
        <w:t>[5] G. Benegas et al., "GPN-MSA: an alignment-based DNA language model for genome-wide variant effect prediction," bioRxiv, 2023.</w:t>
      </w:r>
    </w:p>
    <w:p>
      <w:pPr>
        <w:spacing w:line="276" w:lineRule="auto" w:after="80"/>
        <w:jc w:val="left"/>
      </w:pPr>
      <w:r>
        <w:rPr>
          <w:rFonts w:ascii="Aptos" w:hAnsi="Aptos"/>
          <w:b w:val="0"/>
          <w:sz w:val="22"/>
        </w:rPr>
        <w:t>[6] A. Rives et al., "Biological structure and function emerge from scaling unsupervised learning to 250 million protein sequences," PNAS, vol. 118, no. 15, 2021.</w:t>
      </w:r>
    </w:p>
    <w:p>
      <w:pPr>
        <w:spacing w:line="276" w:lineRule="auto" w:after="80"/>
        <w:jc w:val="left"/>
      </w:pPr>
      <w:r>
        <w:rPr>
          <w:rFonts w:ascii="Aptos" w:hAnsi="Aptos"/>
          <w:b w:val="0"/>
          <w:sz w:val="22"/>
        </w:rPr>
        <w:t>[7] N. Alirezaie et al., "ClinPred: prediction tool to identify disease-relevant nonsynonymous single-nucleotide variants," American Journal of Human Genetics, vol. 103, no. 4, pp. 474-483, 2018.</w:t>
      </w:r>
    </w:p>
    <w:p>
      <w:pPr>
        <w:spacing w:line="276" w:lineRule="auto" w:after="80"/>
        <w:jc w:val="left"/>
      </w:pPr>
      <w:r>
        <w:rPr>
          <w:rFonts w:ascii="Aptos" w:hAnsi="Aptos"/>
          <w:b w:val="0"/>
          <w:sz w:val="22"/>
        </w:rPr>
        <w:t>[8] L. Grinsztajn et al., "Why do tree-based models still outperform deep learning on typical tabular data?," NeurIPS, 2022.</w:t>
      </w:r>
    </w:p>
    <w:sectPr w:rsidR="00FC693F" w:rsidRPr="0006063C" w:rsidSect="00034616">
      <w:footerReference w:type="default" r:id="rId9"/>
      <w:pgSz w:w="12240" w:h="15840"/>
      <w:pgMar w:top="158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Aptos" w:hAnsi="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