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39D3" w14:textId="022875E5" w:rsidR="00AB3D13" w:rsidRPr="005C2204" w:rsidRDefault="00F44CD6" w:rsidP="005C2204">
      <w:pPr>
        <w:pStyle w:val="Heading1"/>
      </w:pPr>
      <w:r w:rsidRPr="005C2204">
        <w:t>Risk register Table</w:t>
      </w:r>
    </w:p>
    <w:p w14:paraId="11DDAF81" w14:textId="77777777" w:rsidR="00F44CD6" w:rsidRPr="005C2204" w:rsidRDefault="00F44CD6" w:rsidP="005C2204">
      <w:pPr>
        <w:spacing w:line="360" w:lineRule="auto"/>
        <w:rPr>
          <w:rFonts w:ascii="Calibri" w:hAnsi="Calibri" w:cs="Calibri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97"/>
        <w:gridCol w:w="1416"/>
        <w:gridCol w:w="931"/>
        <w:gridCol w:w="787"/>
        <w:gridCol w:w="787"/>
        <w:gridCol w:w="1305"/>
        <w:gridCol w:w="1230"/>
        <w:gridCol w:w="1127"/>
        <w:gridCol w:w="936"/>
      </w:tblGrid>
      <w:tr w:rsidR="00F44CD6" w:rsidRPr="005C2204" w14:paraId="1E46D5DE" w14:textId="77777777" w:rsidTr="00275B99">
        <w:trPr>
          <w:trHeight w:val="824"/>
        </w:trPr>
        <w:tc>
          <w:tcPr>
            <w:tcW w:w="497" w:type="dxa"/>
            <w:hideMark/>
          </w:tcPr>
          <w:p w14:paraId="2C77B963" w14:textId="77777777" w:rsidR="00F44CD6" w:rsidRPr="005C2204" w:rsidRDefault="00F44CD6" w:rsidP="005C2204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Risk ID</w:t>
            </w:r>
          </w:p>
        </w:tc>
        <w:tc>
          <w:tcPr>
            <w:tcW w:w="1415" w:type="dxa"/>
            <w:hideMark/>
          </w:tcPr>
          <w:p w14:paraId="080FC8A2" w14:textId="77777777" w:rsidR="00F44CD6" w:rsidRPr="005C2204" w:rsidRDefault="00F44CD6" w:rsidP="005C2204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Risk Description</w:t>
            </w:r>
          </w:p>
        </w:tc>
        <w:tc>
          <w:tcPr>
            <w:tcW w:w="930" w:type="dxa"/>
            <w:hideMark/>
          </w:tcPr>
          <w:p w14:paraId="6090B522" w14:textId="77777777" w:rsidR="00F44CD6" w:rsidRPr="005C2204" w:rsidRDefault="00F44CD6" w:rsidP="005C2204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Likelihood</w:t>
            </w:r>
          </w:p>
        </w:tc>
        <w:tc>
          <w:tcPr>
            <w:tcW w:w="787" w:type="dxa"/>
            <w:hideMark/>
          </w:tcPr>
          <w:p w14:paraId="2A81C1BA" w14:textId="77777777" w:rsidR="00F44CD6" w:rsidRPr="005C2204" w:rsidRDefault="00F44CD6" w:rsidP="005C2204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Impact</w:t>
            </w:r>
          </w:p>
        </w:tc>
        <w:tc>
          <w:tcPr>
            <w:tcW w:w="787" w:type="dxa"/>
            <w:hideMark/>
          </w:tcPr>
          <w:p w14:paraId="4EF1D762" w14:textId="77777777" w:rsidR="00F44CD6" w:rsidRPr="005C2204" w:rsidRDefault="00F44CD6" w:rsidP="005C2204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Risk Rating</w:t>
            </w:r>
          </w:p>
        </w:tc>
        <w:tc>
          <w:tcPr>
            <w:tcW w:w="1304" w:type="dxa"/>
            <w:hideMark/>
          </w:tcPr>
          <w:p w14:paraId="2EE0AA23" w14:textId="77777777" w:rsidR="00F44CD6" w:rsidRPr="005C2204" w:rsidRDefault="00F44CD6" w:rsidP="005C2204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Mitigation Strategy</w:t>
            </w:r>
          </w:p>
        </w:tc>
        <w:tc>
          <w:tcPr>
            <w:tcW w:w="1229" w:type="dxa"/>
            <w:hideMark/>
          </w:tcPr>
          <w:p w14:paraId="7BEBCAE4" w14:textId="77777777" w:rsidR="00F44CD6" w:rsidRPr="005C2204" w:rsidRDefault="00F44CD6" w:rsidP="005C2204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Security Controls</w:t>
            </w:r>
          </w:p>
        </w:tc>
        <w:tc>
          <w:tcPr>
            <w:tcW w:w="1131" w:type="dxa"/>
            <w:hideMark/>
          </w:tcPr>
          <w:p w14:paraId="1FD3864A" w14:textId="77777777" w:rsidR="00F44CD6" w:rsidRPr="005C2204" w:rsidRDefault="00F44CD6" w:rsidP="005C2204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Owner</w:t>
            </w:r>
          </w:p>
        </w:tc>
        <w:tc>
          <w:tcPr>
            <w:tcW w:w="936" w:type="dxa"/>
            <w:hideMark/>
          </w:tcPr>
          <w:p w14:paraId="10D3894C" w14:textId="77777777" w:rsidR="00F44CD6" w:rsidRPr="005C2204" w:rsidRDefault="00F44CD6" w:rsidP="005C2204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Review Frequency</w:t>
            </w:r>
          </w:p>
        </w:tc>
      </w:tr>
      <w:tr w:rsidR="00275B99" w:rsidRPr="005C2204" w14:paraId="3C06965A" w14:textId="77777777" w:rsidTr="00275B99">
        <w:trPr>
          <w:trHeight w:val="4675"/>
        </w:trPr>
        <w:tc>
          <w:tcPr>
            <w:tcW w:w="497" w:type="dxa"/>
            <w:hideMark/>
          </w:tcPr>
          <w:p w14:paraId="1E877467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R1</w:t>
            </w:r>
          </w:p>
        </w:tc>
        <w:tc>
          <w:tcPr>
            <w:tcW w:w="1415" w:type="dxa"/>
            <w:hideMark/>
          </w:tcPr>
          <w:p w14:paraId="4D894339" w14:textId="1F7A8F0C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Some of the risks of using the migration tools include loss of data in mid-transfer due to corrupt transfers. </w:t>
            </w:r>
          </w:p>
        </w:tc>
        <w:tc>
          <w:tcPr>
            <w:tcW w:w="930" w:type="dxa"/>
            <w:hideMark/>
          </w:tcPr>
          <w:p w14:paraId="25E4B734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787" w:type="dxa"/>
            <w:hideMark/>
          </w:tcPr>
          <w:p w14:paraId="52550308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787" w:type="dxa"/>
            <w:hideMark/>
          </w:tcPr>
          <w:p w14:paraId="22622C24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304" w:type="dxa"/>
            <w:hideMark/>
          </w:tcPr>
          <w:p w14:paraId="2B441993" w14:textId="197AC6FE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AWS DataSync offers secure data transfer between supported sources and/or destinations, allow for multi-Region backups, and data verification via checksums. </w:t>
            </w:r>
          </w:p>
        </w:tc>
        <w:tc>
          <w:tcPr>
            <w:tcW w:w="1229" w:type="dxa"/>
            <w:hideMark/>
          </w:tcPr>
          <w:p w14:paraId="6E95F497" w14:textId="714FE811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AWS DataSync, AWS S3 Versioning, Multi-Region backups </w:t>
            </w:r>
          </w:p>
        </w:tc>
        <w:tc>
          <w:tcPr>
            <w:tcW w:w="1131" w:type="dxa"/>
            <w:hideMark/>
          </w:tcPr>
          <w:p w14:paraId="09D53D0B" w14:textId="65216BCF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Data Migration Team </w:t>
            </w:r>
          </w:p>
        </w:tc>
        <w:tc>
          <w:tcPr>
            <w:tcW w:w="936" w:type="dxa"/>
            <w:hideMark/>
          </w:tcPr>
          <w:p w14:paraId="54938FF5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Weekly</w:t>
            </w:r>
          </w:p>
        </w:tc>
      </w:tr>
      <w:tr w:rsidR="00275B99" w:rsidRPr="005C2204" w14:paraId="2D4046F3" w14:textId="77777777" w:rsidTr="00275B99">
        <w:trPr>
          <w:trHeight w:val="6325"/>
        </w:trPr>
        <w:tc>
          <w:tcPr>
            <w:tcW w:w="497" w:type="dxa"/>
            <w:hideMark/>
          </w:tcPr>
          <w:p w14:paraId="63C2C732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R2</w:t>
            </w:r>
          </w:p>
        </w:tc>
        <w:tc>
          <w:tcPr>
            <w:tcW w:w="1415" w:type="dxa"/>
            <w:hideMark/>
          </w:tcPr>
          <w:p w14:paraId="4260B476" w14:textId="7EEC55CD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System misconfigurations resulting in misconfigured virtual Private Clouds and security groups. </w:t>
            </w:r>
          </w:p>
        </w:tc>
        <w:tc>
          <w:tcPr>
            <w:tcW w:w="930" w:type="dxa"/>
            <w:hideMark/>
          </w:tcPr>
          <w:p w14:paraId="12F7F0E8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787" w:type="dxa"/>
            <w:hideMark/>
          </w:tcPr>
          <w:p w14:paraId="4CE1A62F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787" w:type="dxa"/>
            <w:hideMark/>
          </w:tcPr>
          <w:p w14:paraId="07B131DE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304" w:type="dxa"/>
            <w:hideMark/>
          </w:tcPr>
          <w:p w14:paraId="33D2CE7E" w14:textId="6705AE90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Use CloudFormation to create VPC structures, put Config in use for automated compliance evaluations and perform security group rule reviews from time to time. </w:t>
            </w:r>
          </w:p>
        </w:tc>
        <w:tc>
          <w:tcPr>
            <w:tcW w:w="1229" w:type="dxa"/>
            <w:hideMark/>
          </w:tcPr>
          <w:p w14:paraId="39487E22" w14:textId="4866CED6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Cloud Formation of AWS, AWS configuration, periodic security assessments </w:t>
            </w:r>
          </w:p>
        </w:tc>
        <w:tc>
          <w:tcPr>
            <w:tcW w:w="1131" w:type="dxa"/>
            <w:hideMark/>
          </w:tcPr>
          <w:p w14:paraId="2D1BA755" w14:textId="685F5441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Network Engineering Team </w:t>
            </w:r>
          </w:p>
        </w:tc>
        <w:tc>
          <w:tcPr>
            <w:tcW w:w="936" w:type="dxa"/>
            <w:hideMark/>
          </w:tcPr>
          <w:p w14:paraId="18EF3E93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Daily</w:t>
            </w:r>
          </w:p>
        </w:tc>
      </w:tr>
      <w:tr w:rsidR="00275B99" w:rsidRPr="005C2204" w14:paraId="70E5A6AD" w14:textId="77777777" w:rsidTr="00275B99">
        <w:trPr>
          <w:trHeight w:val="4675"/>
        </w:trPr>
        <w:tc>
          <w:tcPr>
            <w:tcW w:w="497" w:type="dxa"/>
            <w:hideMark/>
          </w:tcPr>
          <w:p w14:paraId="15EE9EF0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R3</w:t>
            </w:r>
          </w:p>
        </w:tc>
        <w:tc>
          <w:tcPr>
            <w:tcW w:w="1415" w:type="dxa"/>
            <w:hideMark/>
          </w:tcPr>
          <w:p w14:paraId="7E541BAD" w14:textId="037D610C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Just as in other cloud models, application compatibility issues lead to low levels of performance in the cloud. </w:t>
            </w:r>
          </w:p>
        </w:tc>
        <w:tc>
          <w:tcPr>
            <w:tcW w:w="930" w:type="dxa"/>
            <w:hideMark/>
          </w:tcPr>
          <w:p w14:paraId="7BB6A86A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787" w:type="dxa"/>
            <w:hideMark/>
          </w:tcPr>
          <w:p w14:paraId="2967F25B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787" w:type="dxa"/>
            <w:hideMark/>
          </w:tcPr>
          <w:p w14:paraId="13C94CAD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304" w:type="dxa"/>
            <w:hideMark/>
          </w:tcPr>
          <w:p w14:paraId="2C8F447E" w14:textId="7E9FA69D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Run test applications on an AWS practice environment, use AWS Application Discovery and provide any necessary application refactoring. </w:t>
            </w:r>
          </w:p>
        </w:tc>
        <w:tc>
          <w:tcPr>
            <w:tcW w:w="1229" w:type="dxa"/>
            <w:hideMark/>
          </w:tcPr>
          <w:p w14:paraId="0F435FBB" w14:textId="15A8A85D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AWS Sandbox Test, AWS Auto-discovery Service, Cloud-native transformation </w:t>
            </w:r>
          </w:p>
        </w:tc>
        <w:tc>
          <w:tcPr>
            <w:tcW w:w="1131" w:type="dxa"/>
            <w:hideMark/>
          </w:tcPr>
          <w:p w14:paraId="26BC4720" w14:textId="51A4A8BF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Application Development Team </w:t>
            </w:r>
          </w:p>
        </w:tc>
        <w:tc>
          <w:tcPr>
            <w:tcW w:w="936" w:type="dxa"/>
            <w:hideMark/>
          </w:tcPr>
          <w:p w14:paraId="20016753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Weekly</w:t>
            </w:r>
          </w:p>
        </w:tc>
      </w:tr>
      <w:tr w:rsidR="00275B99" w:rsidRPr="005C2204" w14:paraId="7414D24A" w14:textId="77777777" w:rsidTr="00275B99">
        <w:trPr>
          <w:trHeight w:val="4400"/>
        </w:trPr>
        <w:tc>
          <w:tcPr>
            <w:tcW w:w="497" w:type="dxa"/>
            <w:hideMark/>
          </w:tcPr>
          <w:p w14:paraId="35383EA6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R4</w:t>
            </w:r>
          </w:p>
        </w:tc>
        <w:tc>
          <w:tcPr>
            <w:tcW w:w="1415" w:type="dxa"/>
            <w:hideMark/>
          </w:tcPr>
          <w:p w14:paraId="49C82D43" w14:textId="455038C8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Lack of security controls and controls breach that makes the system open for the unauthorized users. </w:t>
            </w:r>
          </w:p>
        </w:tc>
        <w:tc>
          <w:tcPr>
            <w:tcW w:w="930" w:type="dxa"/>
            <w:hideMark/>
          </w:tcPr>
          <w:p w14:paraId="1F7D3DB5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787" w:type="dxa"/>
            <w:hideMark/>
          </w:tcPr>
          <w:p w14:paraId="22B4FE7B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787" w:type="dxa"/>
            <w:hideMark/>
          </w:tcPr>
          <w:p w14:paraId="1493713B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304" w:type="dxa"/>
            <w:hideMark/>
          </w:tcPr>
          <w:p w14:paraId="776B8EEA" w14:textId="06FBAEF2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Use IAM best practices with AWS best security practices, AIS for DDoS with AWS Shield, use MFA, &amp; AWS KMS for encryption. </w:t>
            </w:r>
          </w:p>
        </w:tc>
        <w:tc>
          <w:tcPr>
            <w:tcW w:w="1229" w:type="dxa"/>
            <w:hideMark/>
          </w:tcPr>
          <w:p w14:paraId="7456A6D5" w14:textId="48E7F2CB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AWS IAM, AWS shield, MFA, AWS KMS </w:t>
            </w:r>
          </w:p>
        </w:tc>
        <w:tc>
          <w:tcPr>
            <w:tcW w:w="1131" w:type="dxa"/>
            <w:hideMark/>
          </w:tcPr>
          <w:p w14:paraId="3B4B3516" w14:textId="22050FE9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Security Team </w:t>
            </w:r>
          </w:p>
        </w:tc>
        <w:tc>
          <w:tcPr>
            <w:tcW w:w="936" w:type="dxa"/>
            <w:hideMark/>
          </w:tcPr>
          <w:p w14:paraId="4F4062A2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Daily</w:t>
            </w:r>
          </w:p>
        </w:tc>
      </w:tr>
      <w:tr w:rsidR="00275B99" w:rsidRPr="005C2204" w14:paraId="5E499B5E" w14:textId="77777777" w:rsidTr="00275B99">
        <w:trPr>
          <w:trHeight w:val="4675"/>
        </w:trPr>
        <w:tc>
          <w:tcPr>
            <w:tcW w:w="497" w:type="dxa"/>
            <w:hideMark/>
          </w:tcPr>
          <w:p w14:paraId="5DD4613C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R5</w:t>
            </w:r>
          </w:p>
        </w:tc>
        <w:tc>
          <w:tcPr>
            <w:tcW w:w="1415" w:type="dxa"/>
            <w:hideMark/>
          </w:tcPr>
          <w:p w14:paraId="37A31A7B" w14:textId="4347CF22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A risk that arises from this exploitable area is the use of multiple cloud services from the same cloud provider leading to vendor lock-in. </w:t>
            </w:r>
          </w:p>
        </w:tc>
        <w:tc>
          <w:tcPr>
            <w:tcW w:w="930" w:type="dxa"/>
            <w:hideMark/>
          </w:tcPr>
          <w:p w14:paraId="073BB8CE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787" w:type="dxa"/>
            <w:hideMark/>
          </w:tcPr>
          <w:p w14:paraId="192D5B54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787" w:type="dxa"/>
            <w:hideMark/>
          </w:tcPr>
          <w:p w14:paraId="7C156A99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304" w:type="dxa"/>
            <w:hideMark/>
          </w:tcPr>
          <w:p w14:paraId="5CA75B8D" w14:textId="60222A29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Where possible, both adopt a multi-cloud strategy; when sourcing cloud services, negotiate the best deals with the providers; and make sure that your data are portable. </w:t>
            </w:r>
          </w:p>
        </w:tc>
        <w:tc>
          <w:tcPr>
            <w:tcW w:w="1229" w:type="dxa"/>
            <w:hideMark/>
          </w:tcPr>
          <w:p w14:paraId="1B7026B0" w14:textId="6D7671F8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The main goals of multi-cloud strategy are data portability and negotiated contracts. </w:t>
            </w:r>
          </w:p>
        </w:tc>
        <w:tc>
          <w:tcPr>
            <w:tcW w:w="1131" w:type="dxa"/>
            <w:hideMark/>
          </w:tcPr>
          <w:p w14:paraId="3888E815" w14:textId="3241E863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Cloud Strategy Team </w:t>
            </w:r>
          </w:p>
        </w:tc>
        <w:tc>
          <w:tcPr>
            <w:tcW w:w="936" w:type="dxa"/>
            <w:hideMark/>
          </w:tcPr>
          <w:p w14:paraId="773C45AB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</w:t>
            </w:r>
          </w:p>
        </w:tc>
      </w:tr>
      <w:tr w:rsidR="00275B99" w:rsidRPr="005C2204" w14:paraId="7F7E492F" w14:textId="77777777" w:rsidTr="00275B99">
        <w:trPr>
          <w:trHeight w:val="4675"/>
        </w:trPr>
        <w:tc>
          <w:tcPr>
            <w:tcW w:w="497" w:type="dxa"/>
            <w:hideMark/>
          </w:tcPr>
          <w:p w14:paraId="48DA54DE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R6</w:t>
            </w:r>
          </w:p>
        </w:tc>
        <w:tc>
          <w:tcPr>
            <w:tcW w:w="1415" w:type="dxa"/>
            <w:hideMark/>
          </w:tcPr>
          <w:p w14:paraId="7AF69BD1" w14:textId="655FFBF3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Huge bills that are incurred through improper management of the cloud resources. </w:t>
            </w:r>
          </w:p>
        </w:tc>
        <w:tc>
          <w:tcPr>
            <w:tcW w:w="930" w:type="dxa"/>
            <w:hideMark/>
          </w:tcPr>
          <w:p w14:paraId="61C49297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787" w:type="dxa"/>
            <w:hideMark/>
          </w:tcPr>
          <w:p w14:paraId="4D3899D3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787" w:type="dxa"/>
            <w:hideMark/>
          </w:tcPr>
          <w:p w14:paraId="0F720DDF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304" w:type="dxa"/>
            <w:hideMark/>
          </w:tcPr>
          <w:p w14:paraId="258ACBCD" w14:textId="4CC9273C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It is necessary to implement the precise microscopic control of budgets and costs, the use of AWS Budgets and Cost Explorer, and the ongoing process of resource utilization. </w:t>
            </w:r>
          </w:p>
        </w:tc>
        <w:tc>
          <w:tcPr>
            <w:tcW w:w="1229" w:type="dxa"/>
            <w:hideMark/>
          </w:tcPr>
          <w:p w14:paraId="58B93C41" w14:textId="2018FA72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AWS Budgets, AWS Cost Analyzer, and Cost-optimization features. </w:t>
            </w:r>
          </w:p>
        </w:tc>
        <w:tc>
          <w:tcPr>
            <w:tcW w:w="1131" w:type="dxa"/>
            <w:hideMark/>
          </w:tcPr>
          <w:p w14:paraId="55498013" w14:textId="46D98465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hAnsi="Calibri" w:cs="Calibri"/>
              </w:rPr>
              <w:t xml:space="preserve"> The role of Department is Finance and Cloud Management Team </w:t>
            </w:r>
          </w:p>
        </w:tc>
        <w:tc>
          <w:tcPr>
            <w:tcW w:w="936" w:type="dxa"/>
            <w:hideMark/>
          </w:tcPr>
          <w:p w14:paraId="7FC33968" w14:textId="77777777" w:rsidR="00275B99" w:rsidRPr="005C2204" w:rsidRDefault="00275B99" w:rsidP="005C2204">
            <w:pPr>
              <w:spacing w:line="36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C22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Weekly</w:t>
            </w:r>
          </w:p>
        </w:tc>
      </w:tr>
    </w:tbl>
    <w:p w14:paraId="2ACA7A66" w14:textId="77777777" w:rsidR="00F44CD6" w:rsidRPr="005C2204" w:rsidRDefault="00F44CD6" w:rsidP="005C2204">
      <w:pPr>
        <w:spacing w:line="360" w:lineRule="auto"/>
        <w:rPr>
          <w:rFonts w:ascii="Calibri" w:hAnsi="Calibri" w:cs="Calibri"/>
        </w:rPr>
      </w:pPr>
    </w:p>
    <w:p w14:paraId="785693F9" w14:textId="77777777" w:rsidR="00F44CD6" w:rsidRPr="005C2204" w:rsidRDefault="00F44CD6" w:rsidP="005C2204">
      <w:pPr>
        <w:spacing w:line="360" w:lineRule="auto"/>
        <w:rPr>
          <w:rFonts w:ascii="Calibri" w:hAnsi="Calibri" w:cs="Calibri"/>
        </w:rPr>
      </w:pPr>
    </w:p>
    <w:sectPr w:rsidR="00F44CD6" w:rsidRPr="005C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D6"/>
    <w:rsid w:val="00032781"/>
    <w:rsid w:val="002305BC"/>
    <w:rsid w:val="00275B99"/>
    <w:rsid w:val="00307607"/>
    <w:rsid w:val="003A0D3A"/>
    <w:rsid w:val="00580F58"/>
    <w:rsid w:val="005C2204"/>
    <w:rsid w:val="00787CFE"/>
    <w:rsid w:val="00AB3D13"/>
    <w:rsid w:val="00D756DE"/>
    <w:rsid w:val="00E4183C"/>
    <w:rsid w:val="00F1411F"/>
    <w:rsid w:val="00F4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83189"/>
  <w15:chartTrackingRefBased/>
  <w15:docId w15:val="{B1CBBD67-B4E4-4AD3-AB92-B2932576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Navdeep SAINI</cp:lastModifiedBy>
  <cp:revision>3</cp:revision>
  <dcterms:created xsi:type="dcterms:W3CDTF">2024-08-25T12:55:00Z</dcterms:created>
  <dcterms:modified xsi:type="dcterms:W3CDTF">2024-08-25T21:07:00Z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1a3fce83-f9af-4fca-b598-9540cb7e96e7</vt:lpwstr>
  </property>
</Properties>
</file>