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6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15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police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근접공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무기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cultis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상호작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Po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1280795" cy="242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242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삼단봉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비슷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얇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변경하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콜리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추가해주었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방지하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HasHi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t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불리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할때에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피격처리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하기위하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IsPMAttacking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불리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162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바탕으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Cultis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캐릭터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일어날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1697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노드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종료되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BP_PoliceWeapon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HasHit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Has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않도록하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Police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IsPMAttacking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HasHit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037715" cy="2239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239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복제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2 -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맞도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해주었지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cultis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맞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고있는도중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또다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피격효과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일어난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제거하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또다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피격되지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처리해준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023995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826385" cy="1475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1475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cultis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IsDamaging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AnimNotify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부모클래스로하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Received_Noti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f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y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오버라이드하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IsDamagin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cultis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IsDamaging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처리함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Rec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eiced_Notify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끝나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IsDamagin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려놓도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처리하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또다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피격효과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일어나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링크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noProof w:val="1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7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0.</w:t>
            </w:r>
            <w:r>
              <w:rPr>
                <w:rtl w:val="0"/>
                <w:lang w:val="ko-KR" w:bidi="ko-KR" w:eastAsia="ko-KR"/>
              </w:rPr>
              <w:t>16</w:t>
            </w:r>
            <w:r>
              <w:br w:type="textWrapping"/>
            </w:r>
            <w:r>
              <w:t>~ 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0.</w:t>
            </w:r>
            <w:r>
              <w:rPr>
                <w:rtl w:val="0"/>
                <w:lang w:val="ko-KR" w:bidi="ko-KR" w:eastAsia="ko-KR"/>
              </w:rPr>
              <w:t>22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2024-10-16T02:42:34Z</dcterms:modified>
  <cp:revision>406</cp:revision>
</cp:coreProperties>
</file>