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413"/>
        <w:gridCol w:w="1843"/>
        <w:gridCol w:w="1134"/>
        <w:gridCol w:w="1325"/>
        <w:gridCol w:w="1276"/>
        <w:gridCol w:w="198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58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10.20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10.29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모션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워핑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,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라이트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및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포스트프로세스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마무리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.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신도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ABP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수정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및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</w:p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-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모션워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핑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  <w:r>
        <w:drawing>
          <wp:inline xmlns:wp="http://schemas.openxmlformats.org/drawingml/2006/wordprocessingDrawing" distT="0" distB="0" distL="0" distR="0">
            <wp:extent cx="5731510" cy="2556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  <w:r>
        <w:drawing>
          <wp:inline xmlns:wp="http://schemas.openxmlformats.org/drawingml/2006/wordprocessingDrawing" distT="0" distB="0" distL="0" distR="0">
            <wp:extent cx="4878705" cy="31616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8705" cy="3161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4424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Level Of Detail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(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폴리곤조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절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)</w:t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-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LOD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: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스태틱메시에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설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정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나나이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트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활성화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대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체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-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컬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링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- Frustum Culling :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야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밖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컬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링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-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자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동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-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폐색컬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링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: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엄폐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물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컬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링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-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기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본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활성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화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- Distance Cull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ing :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제어가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능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-&gt;</w:t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2386330" cy="42697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426974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452370" cy="34505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2370" cy="3450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tbl>
      <w:tblPr>
        <w:tblStyle w:val="T2"/>
        <w:tblW w:w="9024" w:type="dxa"/>
        <w:tblLook w:val="04A0"/>
      </w:tblPr>
      <w:tblGrid>
        <w:gridCol w:w="2247"/>
        <w:gridCol w:w="2242"/>
        <w:gridCol w:w="2243"/>
        <w:gridCol w:w="2292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/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2025.10.29~2025.11.05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p/>
    <w:p/>
    <w:p/>
    <w:p/>
    <w:p/>
    <w:p>
      <w:r>
        <w:rPr>
          <w:rFonts w:ascii="맑은 고딕" w:hAnsi="맑은 고딕" w:eastAsia="맑은 고딕"/>
          <w:rtl w:val="0"/>
          <w:lang w:val="ko-KR" w:bidi="ko-KR" w:eastAsia="ko-KR"/>
        </w:rPr>
        <w:br w:type="textWrapping"/>
      </w:r>
    </w:p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2025-10-30T07:17:38Z</dcterms:modified>
  <cp:revision>895</cp:revision>
</cp:coreProperties>
</file>