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Association Between ALIKA Deployment and KULA Live-Chat Volume and Survey Outcomes</w:t>
      </w:r>
    </w:p>
    <w:p>
      <w:pPr>
        <w:jc w:val="center"/>
      </w:pPr>
      <w:r>
        <w:rPr>
          <w:sz w:val="22"/>
        </w:rPr>
        <w:t>Four-month observational analysis: May-August 2026</w:t>
        <w:br/>
        <w:t>Version 0.3 | Updated 3 September 2026</w:t>
      </w:r>
    </w:p>
    <w:p/>
    <w:p>
      <w:pPr>
        <w:pStyle w:val="Heading1"/>
      </w:pPr>
      <w:r>
        <w:t>Executive Summary</w:t>
      </w:r>
    </w:p>
    <w:p>
      <w:r>
        <w:t>This report evaluates whether ALIKA was associated with changes in KULA conversation volume, survey response, survey quality, and CSAT across May, June, July, and August 2026. The analysis uses deduplicated conversation records restricted to currentAccount values 3-1-robot and 3-1-robot2. It uses July 31, 2026 as the primary cutoff because that is the earliest explicit ALIKA routing marker observed in the exports. The user-supplied June 28 date is evaluated separately as an unvalidated sensitivity cutoff.</w:t>
      </w:r>
    </w:p>
    <w:p>
      <w:r>
        <w:t>The four-month evidence does not establish a statistically reliable ALIKA effect using the validated observed routing cutoff. The primary before-versus-routing comparison shows a +2.23 percentage-point good-survey change (p=0.1132) and a +0.111 CSAT change (p=0.0384), while the weekday-adjusted interrupted-time-series model finds no significant immediate change at July 31 for good-survey rate (p=0.6478) or CSAT (p=0.3061). The survey response rate declines, and only two explicitly ALIKA-marked conversations have valid ratings. Therefore the defensible conclusion is association and directional improvement, not proven causation.</w:t>
      </w:r>
    </w:p>
    <w:p>
      <w:pPr>
        <w:pStyle w:val="Heading1"/>
      </w:pPr>
      <w:r>
        <w:t>1. Research Question and Scope</w:t>
      </w:r>
    </w:p>
    <w:p>
      <w:r>
        <w:t>Primary question: did ALIKA affect KULA performance after deployment?</w:t>
      </w:r>
    </w:p>
    <w:p>
      <w:r>
        <w:t>Outcomes: conversation volume, unique users, survey response rate, good/bad survey composition, CSAT, and daily trends.</w:t>
      </w:r>
    </w:p>
    <w:p>
      <w:r>
        <w:t>Data period: May 1-August 31, 2026. August 18, 20, and 31 are excluded from normalized comparisons because their exports are incomplete.</w:t>
      </w:r>
    </w:p>
    <w:p>
      <w:pPr>
        <w:pStyle w:val="Heading1"/>
      </w:pPr>
      <w:r>
        <w:t>2. Data Preparation</w:t>
      </w:r>
    </w:p>
    <w:p>
      <w:r>
        <w:t>All monthly exports were concatenated and overlapping export rows were deduplicated by conversation id. The analysis then filtered the records using the following exact logic:</w:t>
      </w:r>
    </w:p>
    <w:p>
      <w:pPr>
        <w:pStyle w:val="NoSpacing"/>
      </w:pPr>
      <w:r>
        <w:rPr>
          <w:rFonts w:ascii="Consolas" w:hAnsi="Consolas"/>
        </w:rPr>
        <w:t>KULA_ACCOUNTS = ['3-1-robot', '3-1-robot2']</w:t>
        <w:br/>
      </w:r>
      <w:r>
        <w:rPr>
          <w:rFonts w:ascii="Consolas" w:hAnsi="Consolas"/>
        </w:rPr>
        <w:t>result = frame.loc[frame['currentAccount'].isin(KULA_ACCOUNTS)].copy()</w:t>
      </w:r>
    </w:p>
    <w:p>
      <w:r>
        <w:t>Thus, all reported conversation and survey results use only these two KULA account categories. The unit of analysis is the deduplicated conversation row; unique_users is reported descriptively and is not used to deduplicate the statistical tests.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
              <w:rPr>
                <w:b/>
                <w:sz w:val="16"/>
              </w:rPr>
              <w:t>Month</w:t>
            </w:r>
          </w:p>
        </w:tc>
        <w:tc>
          <w:tcPr>
            <w:tcW w:type="dxa" w:w="1680"/>
            <w:vAlign w:val="center"/>
          </w:tcPr>
          <w:p>
            <w:r/>
            <w:r>
              <w:rPr>
                <w:b/>
                <w:sz w:val="16"/>
              </w:rPr>
              <w:t>Complete days</w:t>
            </w:r>
          </w:p>
        </w:tc>
        <w:tc>
          <w:tcPr>
            <w:tcW w:type="dxa" w:w="1680"/>
            <w:vAlign w:val="center"/>
          </w:tcPr>
          <w:p>
            <w:r/>
            <w:r>
              <w:rPr>
                <w:b/>
                <w:sz w:val="16"/>
              </w:rPr>
              <w:t>KULA conversations</w:t>
            </w:r>
          </w:p>
        </w:tc>
        <w:tc>
          <w:tcPr>
            <w:tcW w:type="dxa" w:w="1680"/>
            <w:vAlign w:val="center"/>
          </w:tcPr>
          <w:p>
            <w:r/>
            <w:r>
              <w:rPr>
                <w:b/>
                <w:sz w:val="16"/>
              </w:rPr>
              <w:t>Conversations/day</w:t>
            </w:r>
          </w:p>
        </w:tc>
        <w:tc>
          <w:tcPr>
            <w:tcW w:type="dxa" w:w="1680"/>
            <w:vAlign w:val="center"/>
          </w:tcPr>
          <w:p>
            <w:r/>
            <w:r>
              <w:rPr>
                <w:b/>
                <w:sz w:val="16"/>
              </w:rPr>
              <w:t>Valid respondents</w:t>
            </w:r>
          </w:p>
        </w:tc>
        <w:tc>
          <w:tcPr>
            <w:tcW w:type="dxa" w:w="1680"/>
            <w:vAlign w:val="center"/>
          </w:tcPr>
          <w:p>
            <w:r/>
            <w:r>
              <w:rPr>
                <w:b/>
                <w:sz w:val="16"/>
              </w:rPr>
              <w:t>Response rate</w:t>
            </w:r>
          </w:p>
        </w:tc>
      </w:tr>
      <w:tr>
        <w:tc>
          <w:tcPr>
            <w:tcW w:type="dxa" w:w="1680"/>
            <w:vAlign w:val="center"/>
          </w:tcPr>
          <w:p>
            <w:r/>
            <w:r>
              <w:rPr>
                <w:b w:val="0"/>
                <w:sz w:val="16"/>
              </w:rPr>
              <w:t>May</w:t>
            </w:r>
          </w:p>
        </w:tc>
        <w:tc>
          <w:tcPr>
            <w:tcW w:type="dxa" w:w="1680"/>
            <w:vAlign w:val="center"/>
          </w:tcPr>
          <w:p>
            <w:r/>
            <w:r>
              <w:rPr>
                <w:b w:val="0"/>
                <w:sz w:val="16"/>
              </w:rPr>
              <w:t>31</w:t>
            </w:r>
          </w:p>
        </w:tc>
        <w:tc>
          <w:tcPr>
            <w:tcW w:type="dxa" w:w="1680"/>
            <w:vAlign w:val="center"/>
          </w:tcPr>
          <w:p>
            <w:r/>
            <w:r>
              <w:rPr>
                <w:b w:val="0"/>
                <w:sz w:val="16"/>
              </w:rPr>
              <w:t>240,894</w:t>
            </w:r>
          </w:p>
        </w:tc>
        <w:tc>
          <w:tcPr>
            <w:tcW w:type="dxa" w:w="1680"/>
            <w:vAlign w:val="center"/>
          </w:tcPr>
          <w:p>
            <w:r/>
            <w:r>
              <w:rPr>
                <w:b w:val="0"/>
                <w:sz w:val="16"/>
              </w:rPr>
              <w:t>7,770.8</w:t>
            </w:r>
          </w:p>
        </w:tc>
        <w:tc>
          <w:tcPr>
            <w:tcW w:type="dxa" w:w="1680"/>
            <w:vAlign w:val="center"/>
          </w:tcPr>
          <w:p>
            <w:r/>
            <w:r>
              <w:rPr>
                <w:b w:val="0"/>
                <w:sz w:val="16"/>
              </w:rPr>
              <w:t>2,551</w:t>
            </w:r>
          </w:p>
        </w:tc>
        <w:tc>
          <w:tcPr>
            <w:tcW w:type="dxa" w:w="1680"/>
            <w:vAlign w:val="center"/>
          </w:tcPr>
          <w:p>
            <w:r/>
            <w:r>
              <w:rPr>
                <w:b w:val="0"/>
                <w:sz w:val="16"/>
              </w:rPr>
              <w:t>1.059%</w:t>
            </w:r>
          </w:p>
        </w:tc>
      </w:tr>
      <w:tr>
        <w:tc>
          <w:tcPr>
            <w:tcW w:type="dxa" w:w="1680"/>
            <w:vAlign w:val="center"/>
          </w:tcPr>
          <w:p>
            <w:r/>
            <w:r>
              <w:rPr>
                <w:b w:val="0"/>
                <w:sz w:val="16"/>
              </w:rPr>
              <w:t>June</w:t>
            </w:r>
          </w:p>
        </w:tc>
        <w:tc>
          <w:tcPr>
            <w:tcW w:type="dxa" w:w="1680"/>
            <w:vAlign w:val="center"/>
          </w:tcPr>
          <w:p>
            <w:r/>
            <w:r>
              <w:rPr>
                <w:b w:val="0"/>
                <w:sz w:val="16"/>
              </w:rPr>
              <w:t>30</w:t>
            </w:r>
          </w:p>
        </w:tc>
        <w:tc>
          <w:tcPr>
            <w:tcW w:type="dxa" w:w="1680"/>
            <w:vAlign w:val="center"/>
          </w:tcPr>
          <w:p>
            <w:r/>
            <w:r>
              <w:rPr>
                <w:b w:val="0"/>
                <w:sz w:val="16"/>
              </w:rPr>
              <w:t>198,542</w:t>
            </w:r>
          </w:p>
        </w:tc>
        <w:tc>
          <w:tcPr>
            <w:tcW w:type="dxa" w:w="1680"/>
            <w:vAlign w:val="center"/>
          </w:tcPr>
          <w:p>
            <w:r/>
            <w:r>
              <w:rPr>
                <w:b w:val="0"/>
                <w:sz w:val="16"/>
              </w:rPr>
              <w:t>6,618.1</w:t>
            </w:r>
          </w:p>
        </w:tc>
        <w:tc>
          <w:tcPr>
            <w:tcW w:type="dxa" w:w="1680"/>
            <w:vAlign w:val="center"/>
          </w:tcPr>
          <w:p>
            <w:r/>
            <w:r>
              <w:rPr>
                <w:b w:val="0"/>
                <w:sz w:val="16"/>
              </w:rPr>
              <w:t>2,103</w:t>
            </w:r>
          </w:p>
        </w:tc>
        <w:tc>
          <w:tcPr>
            <w:tcW w:type="dxa" w:w="1680"/>
            <w:vAlign w:val="center"/>
          </w:tcPr>
          <w:p>
            <w:r/>
            <w:r>
              <w:rPr>
                <w:b w:val="0"/>
                <w:sz w:val="16"/>
              </w:rPr>
              <w:t>1.059%</w:t>
            </w:r>
          </w:p>
        </w:tc>
      </w:tr>
      <w:tr>
        <w:tc>
          <w:tcPr>
            <w:tcW w:type="dxa" w:w="1680"/>
            <w:vAlign w:val="center"/>
          </w:tcPr>
          <w:p>
            <w:r/>
            <w:r>
              <w:rPr>
                <w:b w:val="0"/>
                <w:sz w:val="16"/>
              </w:rPr>
              <w:t>July</w:t>
            </w:r>
          </w:p>
        </w:tc>
        <w:tc>
          <w:tcPr>
            <w:tcW w:type="dxa" w:w="1680"/>
            <w:vAlign w:val="center"/>
          </w:tcPr>
          <w:p>
            <w:r/>
            <w:r>
              <w:rPr>
                <w:b w:val="0"/>
                <w:sz w:val="16"/>
              </w:rPr>
              <w:t>31</w:t>
            </w:r>
          </w:p>
        </w:tc>
        <w:tc>
          <w:tcPr>
            <w:tcW w:type="dxa" w:w="1680"/>
            <w:vAlign w:val="center"/>
          </w:tcPr>
          <w:p>
            <w:r/>
            <w:r>
              <w:rPr>
                <w:b w:val="0"/>
                <w:sz w:val="16"/>
              </w:rPr>
              <w:t>211,595</w:t>
            </w:r>
          </w:p>
        </w:tc>
        <w:tc>
          <w:tcPr>
            <w:tcW w:type="dxa" w:w="1680"/>
            <w:vAlign w:val="center"/>
          </w:tcPr>
          <w:p>
            <w:r/>
            <w:r>
              <w:rPr>
                <w:b w:val="0"/>
                <w:sz w:val="16"/>
              </w:rPr>
              <w:t>6,825.6</w:t>
            </w:r>
          </w:p>
        </w:tc>
        <w:tc>
          <w:tcPr>
            <w:tcW w:type="dxa" w:w="1680"/>
            <w:vAlign w:val="center"/>
          </w:tcPr>
          <w:p>
            <w:r/>
            <w:r>
              <w:rPr>
                <w:b w:val="0"/>
                <w:sz w:val="16"/>
              </w:rPr>
              <w:t>1,780</w:t>
            </w:r>
          </w:p>
        </w:tc>
        <w:tc>
          <w:tcPr>
            <w:tcW w:type="dxa" w:w="1680"/>
            <w:vAlign w:val="center"/>
          </w:tcPr>
          <w:p>
            <w:r/>
            <w:r>
              <w:rPr>
                <w:b w:val="0"/>
                <w:sz w:val="16"/>
              </w:rPr>
              <w:t>0.841%</w:t>
            </w:r>
          </w:p>
        </w:tc>
      </w:tr>
      <w:tr>
        <w:tc>
          <w:tcPr>
            <w:tcW w:type="dxa" w:w="1680"/>
            <w:vAlign w:val="center"/>
          </w:tcPr>
          <w:p>
            <w:r/>
            <w:r>
              <w:rPr>
                <w:b w:val="0"/>
                <w:sz w:val="16"/>
              </w:rPr>
              <w:t>August</w:t>
            </w:r>
          </w:p>
        </w:tc>
        <w:tc>
          <w:tcPr>
            <w:tcW w:type="dxa" w:w="1680"/>
            <w:vAlign w:val="center"/>
          </w:tcPr>
          <w:p>
            <w:r/>
            <w:r>
              <w:rPr>
                <w:b w:val="0"/>
                <w:sz w:val="16"/>
              </w:rPr>
              <w:t>28</w:t>
            </w:r>
          </w:p>
        </w:tc>
        <w:tc>
          <w:tcPr>
            <w:tcW w:type="dxa" w:w="1680"/>
            <w:vAlign w:val="center"/>
          </w:tcPr>
          <w:p>
            <w:r/>
            <w:r>
              <w:rPr>
                <w:b w:val="0"/>
                <w:sz w:val="16"/>
              </w:rPr>
              <w:t>182,503</w:t>
            </w:r>
          </w:p>
        </w:tc>
        <w:tc>
          <w:tcPr>
            <w:tcW w:type="dxa" w:w="1680"/>
            <w:vAlign w:val="center"/>
          </w:tcPr>
          <w:p>
            <w:r/>
            <w:r>
              <w:rPr>
                <w:b w:val="0"/>
                <w:sz w:val="16"/>
              </w:rPr>
              <w:t>6,518.0</w:t>
            </w:r>
          </w:p>
        </w:tc>
        <w:tc>
          <w:tcPr>
            <w:tcW w:type="dxa" w:w="1680"/>
            <w:vAlign w:val="center"/>
          </w:tcPr>
          <w:p>
            <w:r/>
            <w:r>
              <w:rPr>
                <w:b w:val="0"/>
                <w:sz w:val="16"/>
              </w:rPr>
              <w:t>1,451</w:t>
            </w:r>
          </w:p>
        </w:tc>
        <w:tc>
          <w:tcPr>
            <w:tcW w:type="dxa" w:w="1680"/>
            <w:vAlign w:val="center"/>
          </w:tcPr>
          <w:p>
            <w:r/>
            <w:r>
              <w:rPr>
                <w:b w:val="0"/>
                <w:sz w:val="16"/>
              </w:rPr>
              <w:t>0.795%</w:t>
            </w:r>
          </w:p>
        </w:tc>
      </w:tr>
    </w:tbl>
    <w:p/>
    <w:p>
      <w:pPr>
        <w:pStyle w:val="Heading1"/>
      </w:pPr>
      <w:r>
        <w:t>3. Launch-Date Validation</w:t>
      </w:r>
    </w:p>
    <w:p>
      <w:r>
        <w:t>The candidate launch date was June 28, 2026. The notebook searched complete KULA records for changeFlag values containing Alika. The earliest explicit marker was recorded on July 31, 2026 at 09:54:24. June 28 is therefore not validated by the available routing data. July 31 is the primary observed-routing cutoff, but it represents the first observed marker rather than proof of the official or complete business rollout.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16"/>
              </w:rPr>
              <w:t>Evidence</w:t>
            </w:r>
          </w:p>
        </w:tc>
        <w:tc>
          <w:tcPr>
            <w:tcW w:type="dxa" w:w="5040"/>
            <w:vAlign w:val="center"/>
          </w:tcPr>
          <w:p>
            <w:r/>
            <w:r>
              <w:rPr>
                <w:b/>
                <w:sz w:val="16"/>
              </w:rPr>
              <w:t>Result</w:t>
            </w:r>
          </w:p>
        </w:tc>
      </w:tr>
      <w:tr>
        <w:tc>
          <w:tcPr>
            <w:tcW w:type="dxa" w:w="5040"/>
            <w:vAlign w:val="center"/>
          </w:tcPr>
          <w:p>
            <w:r/>
            <w:r>
              <w:rPr>
                <w:b w:val="0"/>
                <w:sz w:val="16"/>
              </w:rPr>
              <w:t>Candidate date</w:t>
            </w:r>
          </w:p>
        </w:tc>
        <w:tc>
          <w:tcPr>
            <w:tcW w:type="dxa" w:w="5040"/>
            <w:vAlign w:val="center"/>
          </w:tcPr>
          <w:p>
            <w:r/>
            <w:r>
              <w:rPr>
                <w:b w:val="0"/>
                <w:sz w:val="16"/>
              </w:rPr>
              <w:t>June 28, 2026</w:t>
            </w:r>
          </w:p>
        </w:tc>
      </w:tr>
      <w:tr>
        <w:tc>
          <w:tcPr>
            <w:tcW w:type="dxa" w:w="5040"/>
            <w:vAlign w:val="center"/>
          </w:tcPr>
          <w:p>
            <w:r/>
            <w:r>
              <w:rPr>
                <w:b w:val="0"/>
                <w:sz w:val="16"/>
              </w:rPr>
              <w:t>Candidate validated by explicit marker</w:t>
            </w:r>
          </w:p>
        </w:tc>
        <w:tc>
          <w:tcPr>
            <w:tcW w:type="dxa" w:w="5040"/>
            <w:vAlign w:val="center"/>
          </w:tcPr>
          <w:p>
            <w:r/>
            <w:r>
              <w:rPr>
                <w:b w:val="0"/>
                <w:sz w:val="16"/>
              </w:rPr>
              <w:t>No</w:t>
            </w:r>
          </w:p>
        </w:tc>
      </w:tr>
      <w:tr>
        <w:tc>
          <w:tcPr>
            <w:tcW w:type="dxa" w:w="5040"/>
            <w:vAlign w:val="center"/>
          </w:tcPr>
          <w:p>
            <w:r/>
            <w:r>
              <w:rPr>
                <w:b w:val="0"/>
                <w:sz w:val="16"/>
              </w:rPr>
              <w:t>Earliest explicit ALIKA marker</w:t>
            </w:r>
          </w:p>
        </w:tc>
        <w:tc>
          <w:tcPr>
            <w:tcW w:type="dxa" w:w="5040"/>
            <w:vAlign w:val="center"/>
          </w:tcPr>
          <w:p>
            <w:r/>
            <w:r>
              <w:rPr>
                <w:b w:val="0"/>
                <w:sz w:val="16"/>
              </w:rPr>
              <w:t>July 31, 2026 09:54:24</w:t>
            </w:r>
          </w:p>
        </w:tc>
      </w:tr>
      <w:tr>
        <w:tc>
          <w:tcPr>
            <w:tcW w:type="dxa" w:w="5040"/>
            <w:vAlign w:val="center"/>
          </w:tcPr>
          <w:p>
            <w:r/>
            <w:r>
              <w:rPr>
                <w:b w:val="0"/>
                <w:sz w:val="16"/>
              </w:rPr>
              <w:t>Marker values observed</w:t>
            </w:r>
          </w:p>
        </w:tc>
        <w:tc>
          <w:tcPr>
            <w:tcW w:type="dxa" w:w="5040"/>
            <w:vAlign w:val="center"/>
          </w:tcPr>
          <w:p>
            <w:r/>
            <w:r>
              <w:rPr>
                <w:b w:val="0"/>
                <w:sz w:val="16"/>
              </w:rPr>
              <w:t>3.从Alika跳转; 4.从Alika中途跳转</w:t>
            </w:r>
          </w:p>
        </w:tc>
      </w:tr>
      <w:tr>
        <w:tc>
          <w:tcPr>
            <w:tcW w:type="dxa" w:w="5040"/>
            <w:vAlign w:val="center"/>
          </w:tcPr>
          <w:p>
            <w:r/>
            <w:r>
              <w:rPr>
                <w:b w:val="0"/>
                <w:sz w:val="16"/>
              </w:rPr>
              <w:t>Explicitly marked conversations</w:t>
            </w:r>
          </w:p>
        </w:tc>
        <w:tc>
          <w:tcPr>
            <w:tcW w:type="dxa" w:w="5040"/>
            <w:vAlign w:val="center"/>
          </w:tcPr>
          <w:p>
            <w:r/>
            <w:r>
              <w:rPr>
                <w:b w:val="0"/>
                <w:sz w:val="16"/>
              </w:rPr>
              <w:t>773</w:t>
            </w:r>
          </w:p>
        </w:tc>
      </w:tr>
      <w:tr>
        <w:tc>
          <w:tcPr>
            <w:tcW w:type="dxa" w:w="5040"/>
            <w:vAlign w:val="center"/>
          </w:tcPr>
          <w:p>
            <w:r/>
            <w:r>
              <w:rPr>
                <w:b w:val="0"/>
                <w:sz w:val="16"/>
              </w:rPr>
              <w:t>Valid ratings among marked conversations</w:t>
            </w:r>
          </w:p>
        </w:tc>
        <w:tc>
          <w:tcPr>
            <w:tcW w:type="dxa" w:w="5040"/>
            <w:vAlign w:val="center"/>
          </w:tcPr>
          <w:p>
            <w:r/>
            <w:r>
              <w:rPr>
                <w:b w:val="0"/>
                <w:sz w:val="16"/>
              </w:rPr>
              <w:t>2</w:t>
            </w:r>
          </w:p>
        </w:tc>
      </w:tr>
    </w:tbl>
    <w:p/>
    <w:p>
      <w:pPr>
        <w:pStyle w:val="Heading1"/>
      </w:pPr>
      <w:r>
        <w:t>4. Descriptive Monthly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b/>
                <w:sz w:val="16"/>
              </w:rPr>
              <w:t>Month</w:t>
            </w:r>
          </w:p>
        </w:tc>
        <w:tc>
          <w:tcPr>
            <w:tcW w:type="dxa" w:w="2016"/>
            <w:vAlign w:val="center"/>
          </w:tcPr>
          <w:p>
            <w:r/>
            <w:r>
              <w:rPr>
                <w:b/>
                <w:sz w:val="16"/>
              </w:rPr>
              <w:t>Good survey</w:t>
            </w:r>
          </w:p>
        </w:tc>
        <w:tc>
          <w:tcPr>
            <w:tcW w:type="dxa" w:w="2016"/>
            <w:vAlign w:val="center"/>
          </w:tcPr>
          <w:p>
            <w:r/>
            <w:r>
              <w:rPr>
                <w:b/>
                <w:sz w:val="16"/>
              </w:rPr>
              <w:t>Bad survey</w:t>
            </w:r>
          </w:p>
        </w:tc>
        <w:tc>
          <w:tcPr>
            <w:tcW w:type="dxa" w:w="2016"/>
            <w:vAlign w:val="center"/>
          </w:tcPr>
          <w:p>
            <w:r/>
            <w:r>
              <w:rPr>
                <w:b/>
                <w:sz w:val="16"/>
              </w:rPr>
              <w:t>CSAT</w:t>
            </w:r>
          </w:p>
        </w:tc>
        <w:tc>
          <w:tcPr>
            <w:tcW w:type="dxa" w:w="2016"/>
            <w:vAlign w:val="center"/>
          </w:tcPr>
          <w:p>
            <w:r/>
            <w:r>
              <w:rPr>
                <w:b/>
                <w:sz w:val="16"/>
              </w:rPr>
              <w:t>Response rate</w:t>
            </w:r>
          </w:p>
        </w:tc>
      </w:tr>
      <w:tr>
        <w:tc>
          <w:tcPr>
            <w:tcW w:type="dxa" w:w="2016"/>
            <w:vAlign w:val="center"/>
          </w:tcPr>
          <w:p>
            <w:r/>
            <w:r>
              <w:rPr>
                <w:b w:val="0"/>
                <w:sz w:val="16"/>
              </w:rPr>
              <w:t>May</w:t>
            </w:r>
          </w:p>
        </w:tc>
        <w:tc>
          <w:tcPr>
            <w:tcW w:type="dxa" w:w="2016"/>
            <w:vAlign w:val="center"/>
          </w:tcPr>
          <w:p>
            <w:r/>
            <w:r>
              <w:rPr>
                <w:b w:val="0"/>
                <w:sz w:val="16"/>
              </w:rPr>
              <w:t>56.10%</w:t>
            </w:r>
          </w:p>
        </w:tc>
        <w:tc>
          <w:tcPr>
            <w:tcW w:type="dxa" w:w="2016"/>
            <w:vAlign w:val="center"/>
          </w:tcPr>
          <w:p>
            <w:r/>
            <w:r>
              <w:rPr>
                <w:b w:val="0"/>
                <w:sz w:val="16"/>
              </w:rPr>
              <w:t>43.90%</w:t>
            </w:r>
          </w:p>
        </w:tc>
        <w:tc>
          <w:tcPr>
            <w:tcW w:type="dxa" w:w="2016"/>
            <w:vAlign w:val="center"/>
          </w:tcPr>
          <w:p>
            <w:r/>
            <w:r>
              <w:rPr>
                <w:b w:val="0"/>
                <w:sz w:val="16"/>
              </w:rPr>
              <w:t>3.148</w:t>
            </w:r>
          </w:p>
        </w:tc>
        <w:tc>
          <w:tcPr>
            <w:tcW w:type="dxa" w:w="2016"/>
            <w:vAlign w:val="center"/>
          </w:tcPr>
          <w:p>
            <w:r/>
            <w:r>
              <w:rPr>
                <w:b w:val="0"/>
                <w:sz w:val="16"/>
              </w:rPr>
              <w:t>1.059%</w:t>
            </w:r>
          </w:p>
        </w:tc>
      </w:tr>
      <w:tr>
        <w:tc>
          <w:tcPr>
            <w:tcW w:type="dxa" w:w="2016"/>
            <w:vAlign w:val="center"/>
          </w:tcPr>
          <w:p>
            <w:r/>
            <w:r>
              <w:rPr>
                <w:b w:val="0"/>
                <w:sz w:val="16"/>
              </w:rPr>
              <w:t>June</w:t>
            </w:r>
          </w:p>
        </w:tc>
        <w:tc>
          <w:tcPr>
            <w:tcW w:type="dxa" w:w="2016"/>
            <w:vAlign w:val="center"/>
          </w:tcPr>
          <w:p>
            <w:r/>
            <w:r>
              <w:rPr>
                <w:b w:val="0"/>
                <w:sz w:val="16"/>
              </w:rPr>
              <w:t>58.11%</w:t>
            </w:r>
          </w:p>
        </w:tc>
        <w:tc>
          <w:tcPr>
            <w:tcW w:type="dxa" w:w="2016"/>
            <w:vAlign w:val="center"/>
          </w:tcPr>
          <w:p>
            <w:r/>
            <w:r>
              <w:rPr>
                <w:b w:val="0"/>
                <w:sz w:val="16"/>
              </w:rPr>
              <w:t>41.89%</w:t>
            </w:r>
          </w:p>
        </w:tc>
        <w:tc>
          <w:tcPr>
            <w:tcW w:type="dxa" w:w="2016"/>
            <w:vAlign w:val="center"/>
          </w:tcPr>
          <w:p>
            <w:r/>
            <w:r>
              <w:rPr>
                <w:b w:val="0"/>
                <w:sz w:val="16"/>
              </w:rPr>
              <w:t>3.238</w:t>
            </w:r>
          </w:p>
        </w:tc>
        <w:tc>
          <w:tcPr>
            <w:tcW w:type="dxa" w:w="2016"/>
            <w:vAlign w:val="center"/>
          </w:tcPr>
          <w:p>
            <w:r/>
            <w:r>
              <w:rPr>
                <w:b w:val="0"/>
                <w:sz w:val="16"/>
              </w:rPr>
              <w:t>1.059%</w:t>
            </w:r>
          </w:p>
        </w:tc>
      </w:tr>
      <w:tr>
        <w:tc>
          <w:tcPr>
            <w:tcW w:type="dxa" w:w="2016"/>
            <w:vAlign w:val="center"/>
          </w:tcPr>
          <w:p>
            <w:r/>
            <w:r>
              <w:rPr>
                <w:b w:val="0"/>
                <w:sz w:val="16"/>
              </w:rPr>
              <w:t>July</w:t>
            </w:r>
          </w:p>
        </w:tc>
        <w:tc>
          <w:tcPr>
            <w:tcW w:type="dxa" w:w="2016"/>
            <w:vAlign w:val="center"/>
          </w:tcPr>
          <w:p>
            <w:r/>
            <w:r>
              <w:rPr>
                <w:b w:val="0"/>
                <w:sz w:val="16"/>
              </w:rPr>
              <w:t>63.32%</w:t>
            </w:r>
          </w:p>
        </w:tc>
        <w:tc>
          <w:tcPr>
            <w:tcW w:type="dxa" w:w="2016"/>
            <w:vAlign w:val="center"/>
          </w:tcPr>
          <w:p>
            <w:r/>
            <w:r>
              <w:rPr>
                <w:b w:val="0"/>
                <w:sz w:val="16"/>
              </w:rPr>
              <w:t>36.68%</w:t>
            </w:r>
          </w:p>
        </w:tc>
        <w:tc>
          <w:tcPr>
            <w:tcW w:type="dxa" w:w="2016"/>
            <w:vAlign w:val="center"/>
          </w:tcPr>
          <w:p>
            <w:r/>
            <w:r>
              <w:rPr>
                <w:b w:val="0"/>
                <w:sz w:val="16"/>
              </w:rPr>
              <w:t>3.417</w:t>
            </w:r>
          </w:p>
        </w:tc>
        <w:tc>
          <w:tcPr>
            <w:tcW w:type="dxa" w:w="2016"/>
            <w:vAlign w:val="center"/>
          </w:tcPr>
          <w:p>
            <w:r/>
            <w:r>
              <w:rPr>
                <w:b w:val="0"/>
                <w:sz w:val="16"/>
              </w:rPr>
              <w:t>0.841%</w:t>
            </w:r>
          </w:p>
        </w:tc>
      </w:tr>
      <w:tr>
        <w:tc>
          <w:tcPr>
            <w:tcW w:type="dxa" w:w="2016"/>
            <w:vAlign w:val="center"/>
          </w:tcPr>
          <w:p>
            <w:r/>
            <w:r>
              <w:rPr>
                <w:b w:val="0"/>
                <w:sz w:val="16"/>
              </w:rPr>
              <w:t>August</w:t>
            </w:r>
          </w:p>
        </w:tc>
        <w:tc>
          <w:tcPr>
            <w:tcW w:type="dxa" w:w="2016"/>
            <w:vAlign w:val="center"/>
          </w:tcPr>
          <w:p>
            <w:r/>
            <w:r>
              <w:rPr>
                <w:b w:val="0"/>
                <w:sz w:val="16"/>
              </w:rPr>
              <w:t>60.79%</w:t>
            </w:r>
          </w:p>
        </w:tc>
        <w:tc>
          <w:tcPr>
            <w:tcW w:type="dxa" w:w="2016"/>
            <w:vAlign w:val="center"/>
          </w:tcPr>
          <w:p>
            <w:r/>
            <w:r>
              <w:rPr>
                <w:b w:val="0"/>
                <w:sz w:val="16"/>
              </w:rPr>
              <w:t>39.21%</w:t>
            </w:r>
          </w:p>
        </w:tc>
        <w:tc>
          <w:tcPr>
            <w:tcW w:type="dxa" w:w="2016"/>
            <w:vAlign w:val="center"/>
          </w:tcPr>
          <w:p>
            <w:r/>
            <w:r>
              <w:rPr>
                <w:b w:val="0"/>
                <w:sz w:val="16"/>
              </w:rPr>
              <w:t>3.357</w:t>
            </w:r>
          </w:p>
        </w:tc>
        <w:tc>
          <w:tcPr>
            <w:tcW w:type="dxa" w:w="2016"/>
            <w:vAlign w:val="center"/>
          </w:tcPr>
          <w:p>
            <w:r/>
            <w:r>
              <w:rPr>
                <w:b w:val="0"/>
                <w:sz w:val="16"/>
              </w:rPr>
              <w:t>0.795%</w:t>
            </w:r>
          </w:p>
        </w:tc>
      </w:tr>
    </w:tbl>
    <w:p/>
    <w:p>
      <w:r>
        <w:t>The four-month omnibus tests detect differences among months, but they do not identify ALIKA as the cause. One-way ANOVA for CSAT: F=8.5553, p approximately 0.00001. Kruskal-Wallis score-distribution test: H=24.3688, p approximately 0.00002. Four-month good/bad chi-square: chi-square=25.1717, p approximately 0.00001.</w:t>
      </w:r>
    </w:p>
    <w:p>
      <w:pPr>
        <w:pStyle w:val="Heading1"/>
      </w:pPr>
      <w:r>
        <w:t>5. Primary Before-versus-Routing Comparison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b/>
                <w:sz w:val="16"/>
              </w:rPr>
              <w:t>Metric</w:t>
            </w:r>
          </w:p>
        </w:tc>
        <w:tc>
          <w:tcPr>
            <w:tcW w:type="dxa" w:w="2016"/>
            <w:vAlign w:val="center"/>
          </w:tcPr>
          <w:p>
            <w:r/>
            <w:r>
              <w:rPr>
                <w:b/>
                <w:sz w:val="16"/>
              </w:rPr>
              <w:t>Before through Jul 30</w:t>
            </w:r>
          </w:p>
        </w:tc>
        <w:tc>
          <w:tcPr>
            <w:tcW w:type="dxa" w:w="2016"/>
            <w:vAlign w:val="center"/>
          </w:tcPr>
          <w:p>
            <w:r/>
            <w:r>
              <w:rPr>
                <w:b/>
                <w:sz w:val="16"/>
              </w:rPr>
              <w:t>Routing period from Jul 31</w:t>
            </w:r>
          </w:p>
        </w:tc>
        <w:tc>
          <w:tcPr>
            <w:tcW w:type="dxa" w:w="2016"/>
            <w:vAlign w:val="center"/>
          </w:tcPr>
          <w:p>
            <w:r/>
            <w:r>
              <w:rPr>
                <w:b/>
                <w:sz w:val="16"/>
              </w:rPr>
              <w:t>Change</w:t>
            </w:r>
          </w:p>
        </w:tc>
        <w:tc>
          <w:tcPr>
            <w:tcW w:type="dxa" w:w="2016"/>
            <w:vAlign w:val="center"/>
          </w:tcPr>
          <w:p>
            <w:r/>
            <w:r>
              <w:rPr>
                <w:b/>
                <w:sz w:val="16"/>
              </w:rPr>
              <w:t>p-value</w:t>
            </w:r>
          </w:p>
        </w:tc>
      </w:tr>
      <w:tr>
        <w:tc>
          <w:tcPr>
            <w:tcW w:type="dxa" w:w="2016"/>
            <w:vAlign w:val="center"/>
          </w:tcPr>
          <w:p>
            <w:r/>
            <w:r>
              <w:rPr>
                <w:b w:val="0"/>
                <w:sz w:val="16"/>
              </w:rPr>
              <w:t>Conversations/day</w:t>
            </w:r>
          </w:p>
        </w:tc>
        <w:tc>
          <w:tcPr>
            <w:tcW w:type="dxa" w:w="2016"/>
            <w:vAlign w:val="center"/>
          </w:tcPr>
          <w:p>
            <w:r/>
            <w:r>
              <w:rPr>
                <w:b w:val="0"/>
                <w:sz w:val="16"/>
              </w:rPr>
              <w:t>7,067.2</w:t>
            </w:r>
          </w:p>
        </w:tc>
        <w:tc>
          <w:tcPr>
            <w:tcW w:type="dxa" w:w="2016"/>
            <w:vAlign w:val="center"/>
          </w:tcPr>
          <w:p>
            <w:r/>
            <w:r>
              <w:rPr>
                <w:b w:val="0"/>
                <w:sz w:val="16"/>
              </w:rPr>
              <w:t>6,566.1</w:t>
            </w:r>
          </w:p>
        </w:tc>
        <w:tc>
          <w:tcPr>
            <w:tcW w:type="dxa" w:w="2016"/>
            <w:vAlign w:val="center"/>
          </w:tcPr>
          <w:p>
            <w:r/>
            <w:r>
              <w:rPr>
                <w:b w:val="0"/>
                <w:sz w:val="16"/>
              </w:rPr>
              <w:t>-7.09%</w:t>
            </w:r>
          </w:p>
        </w:tc>
        <w:tc>
          <w:tcPr>
            <w:tcW w:type="dxa" w:w="2016"/>
            <w:vAlign w:val="center"/>
          </w:tcPr>
          <w:p>
            <w:r/>
            <w:r>
              <w:rPr>
                <w:b w:val="0"/>
                <w:sz w:val="16"/>
              </w:rPr>
              <w:t>Descriptive</w:t>
            </w:r>
          </w:p>
        </w:tc>
      </w:tr>
      <w:tr>
        <w:tc>
          <w:tcPr>
            <w:tcW w:type="dxa" w:w="2016"/>
            <w:vAlign w:val="center"/>
          </w:tcPr>
          <w:p>
            <w:r/>
            <w:r>
              <w:rPr>
                <w:b w:val="0"/>
                <w:sz w:val="16"/>
              </w:rPr>
              <w:t>Good survey</w:t>
            </w:r>
          </w:p>
        </w:tc>
        <w:tc>
          <w:tcPr>
            <w:tcW w:type="dxa" w:w="2016"/>
            <w:vAlign w:val="center"/>
          </w:tcPr>
          <w:p>
            <w:r/>
            <w:r>
              <w:rPr>
                <w:b w:val="0"/>
                <w:sz w:val="16"/>
              </w:rPr>
              <w:t>58.70%</w:t>
            </w:r>
          </w:p>
        </w:tc>
        <w:tc>
          <w:tcPr>
            <w:tcW w:type="dxa" w:w="2016"/>
            <w:vAlign w:val="center"/>
          </w:tcPr>
          <w:p>
            <w:r/>
            <w:r>
              <w:rPr>
                <w:b w:val="0"/>
                <w:sz w:val="16"/>
              </w:rPr>
              <w:t>60.93%</w:t>
            </w:r>
          </w:p>
        </w:tc>
        <w:tc>
          <w:tcPr>
            <w:tcW w:type="dxa" w:w="2016"/>
            <w:vAlign w:val="center"/>
          </w:tcPr>
          <w:p>
            <w:r/>
            <w:r>
              <w:rPr>
                <w:b w:val="0"/>
                <w:sz w:val="16"/>
              </w:rPr>
              <w:t>+2.23 pp</w:t>
            </w:r>
          </w:p>
        </w:tc>
        <w:tc>
          <w:tcPr>
            <w:tcW w:type="dxa" w:w="2016"/>
            <w:vAlign w:val="center"/>
          </w:tcPr>
          <w:p>
            <w:r/>
            <w:r>
              <w:rPr>
                <w:b w:val="0"/>
                <w:sz w:val="16"/>
              </w:rPr>
              <w:t>0.113243</w:t>
            </w:r>
          </w:p>
        </w:tc>
      </w:tr>
      <w:tr>
        <w:tc>
          <w:tcPr>
            <w:tcW w:type="dxa" w:w="2016"/>
            <w:vAlign w:val="center"/>
          </w:tcPr>
          <w:p>
            <w:r/>
            <w:r>
              <w:rPr>
                <w:b w:val="0"/>
                <w:sz w:val="16"/>
              </w:rPr>
              <w:t>Bad survey</w:t>
            </w:r>
          </w:p>
        </w:tc>
        <w:tc>
          <w:tcPr>
            <w:tcW w:type="dxa" w:w="2016"/>
            <w:vAlign w:val="center"/>
          </w:tcPr>
          <w:p>
            <w:r/>
            <w:r>
              <w:rPr>
                <w:b w:val="0"/>
                <w:sz w:val="16"/>
              </w:rPr>
              <w:t>41.30%</w:t>
            </w:r>
          </w:p>
        </w:tc>
        <w:tc>
          <w:tcPr>
            <w:tcW w:type="dxa" w:w="2016"/>
            <w:vAlign w:val="center"/>
          </w:tcPr>
          <w:p>
            <w:r/>
            <w:r>
              <w:rPr>
                <w:b w:val="0"/>
                <w:sz w:val="16"/>
              </w:rPr>
              <w:t>39.07%</w:t>
            </w:r>
          </w:p>
        </w:tc>
        <w:tc>
          <w:tcPr>
            <w:tcW w:type="dxa" w:w="2016"/>
            <w:vAlign w:val="center"/>
          </w:tcPr>
          <w:p>
            <w:r/>
            <w:r>
              <w:rPr>
                <w:b w:val="0"/>
                <w:sz w:val="16"/>
              </w:rPr>
              <w:t>-2.23 pp</w:t>
            </w:r>
          </w:p>
        </w:tc>
        <w:tc>
          <w:tcPr>
            <w:tcW w:type="dxa" w:w="2016"/>
            <w:vAlign w:val="center"/>
          </w:tcPr>
          <w:p>
            <w:r/>
            <w:r>
              <w:rPr>
                <w:b w:val="0"/>
                <w:sz w:val="16"/>
              </w:rPr>
              <w:t>0.113243</w:t>
            </w:r>
          </w:p>
        </w:tc>
      </w:tr>
      <w:tr>
        <w:tc>
          <w:tcPr>
            <w:tcW w:type="dxa" w:w="2016"/>
            <w:vAlign w:val="center"/>
          </w:tcPr>
          <w:p>
            <w:r/>
            <w:r>
              <w:rPr>
                <w:b w:val="0"/>
                <w:sz w:val="16"/>
              </w:rPr>
              <w:t>CSAT</w:t>
            </w:r>
          </w:p>
        </w:tc>
        <w:tc>
          <w:tcPr>
            <w:tcW w:type="dxa" w:w="2016"/>
            <w:vAlign w:val="center"/>
          </w:tcPr>
          <w:p>
            <w:r/>
            <w:r>
              <w:rPr>
                <w:b w:val="0"/>
                <w:sz w:val="16"/>
              </w:rPr>
              <w:t>3.250</w:t>
            </w:r>
          </w:p>
        </w:tc>
        <w:tc>
          <w:tcPr>
            <w:tcW w:type="dxa" w:w="2016"/>
            <w:vAlign w:val="center"/>
          </w:tcPr>
          <w:p>
            <w:r/>
            <w:r>
              <w:rPr>
                <w:b w:val="0"/>
                <w:sz w:val="16"/>
              </w:rPr>
              <w:t>3.361</w:t>
            </w:r>
          </w:p>
        </w:tc>
        <w:tc>
          <w:tcPr>
            <w:tcW w:type="dxa" w:w="2016"/>
            <w:vAlign w:val="center"/>
          </w:tcPr>
          <w:p>
            <w:r/>
            <w:r>
              <w:rPr>
                <w:b w:val="0"/>
                <w:sz w:val="16"/>
              </w:rPr>
              <w:t>+0.111</w:t>
            </w:r>
          </w:p>
        </w:tc>
        <w:tc>
          <w:tcPr>
            <w:tcW w:type="dxa" w:w="2016"/>
            <w:vAlign w:val="center"/>
          </w:tcPr>
          <w:p>
            <w:r/>
            <w:r>
              <w:rPr>
                <w:b w:val="0"/>
                <w:sz w:val="16"/>
              </w:rPr>
              <w:t>0.0383745</w:t>
            </w:r>
          </w:p>
        </w:tc>
      </w:tr>
      <w:tr>
        <w:tc>
          <w:tcPr>
            <w:tcW w:type="dxa" w:w="2016"/>
            <w:vAlign w:val="center"/>
          </w:tcPr>
          <w:p>
            <w:r/>
            <w:r>
              <w:rPr>
                <w:b w:val="0"/>
                <w:sz w:val="16"/>
              </w:rPr>
              <w:t>Response rate</w:t>
            </w:r>
          </w:p>
        </w:tc>
        <w:tc>
          <w:tcPr>
            <w:tcW w:type="dxa" w:w="2016"/>
            <w:vAlign w:val="center"/>
          </w:tcPr>
          <w:p>
            <w:r/>
            <w:r>
              <w:rPr>
                <w:b w:val="0"/>
                <w:sz w:val="16"/>
              </w:rPr>
              <w:t>0.992%</w:t>
            </w:r>
          </w:p>
        </w:tc>
        <w:tc>
          <w:tcPr>
            <w:tcW w:type="dxa" w:w="2016"/>
            <w:vAlign w:val="center"/>
          </w:tcPr>
          <w:p>
            <w:r/>
            <w:r>
              <w:rPr>
                <w:b w:val="0"/>
                <w:sz w:val="16"/>
              </w:rPr>
              <w:t>0.790%</w:t>
            </w:r>
          </w:p>
        </w:tc>
        <w:tc>
          <w:tcPr>
            <w:tcW w:type="dxa" w:w="2016"/>
            <w:vAlign w:val="center"/>
          </w:tcPr>
          <w:p>
            <w:r/>
            <w:r>
              <w:rPr>
                <w:b w:val="0"/>
                <w:sz w:val="16"/>
              </w:rPr>
              <w:t>-0.202 pp</w:t>
            </w:r>
          </w:p>
        </w:tc>
        <w:tc>
          <w:tcPr>
            <w:tcW w:type="dxa" w:w="2016"/>
            <w:vAlign w:val="center"/>
          </w:tcPr>
          <w:p>
            <w:r/>
            <w:r>
              <w:rPr>
                <w:b w:val="0"/>
                <w:sz w:val="16"/>
              </w:rPr>
              <w:t>Descriptive</w:t>
            </w:r>
          </w:p>
        </w:tc>
      </w:tr>
    </w:tbl>
    <w:p/>
    <w:p>
      <w:r>
        <w:t>The Welch independent-samples t-test compares valid conversation-level ratings for CSAT. The Pearson chi-square test compares good (scores 3-5) and bad (scores 1-2) survey composition. The CSAT p-value is below 0.05, but the good-survey endpoint is not statistically significant and the design remains observational.</w:t>
      </w:r>
    </w:p>
    <w:p>
      <w:pPr>
        <w:pStyle w:val="Heading1"/>
      </w:pPr>
      <w:r>
        <w:t>6. June 28 Sensitivity Analysis</w:t>
      </w:r>
    </w:p>
    <w:p>
      <w:r>
        <w:t>These results assume June 28 was the launch date despite the fact that the marker data do not validate it.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b/>
                <w:sz w:val="16"/>
              </w:rPr>
              <w:t>Metric</w:t>
            </w:r>
          </w:p>
        </w:tc>
        <w:tc>
          <w:tcPr>
            <w:tcW w:type="dxa" w:w="2016"/>
            <w:vAlign w:val="center"/>
          </w:tcPr>
          <w:p>
            <w:r/>
            <w:r>
              <w:rPr>
                <w:b/>
                <w:sz w:val="16"/>
              </w:rPr>
              <w:t>Before Jun 28</w:t>
            </w:r>
          </w:p>
        </w:tc>
        <w:tc>
          <w:tcPr>
            <w:tcW w:type="dxa" w:w="2016"/>
            <w:vAlign w:val="center"/>
          </w:tcPr>
          <w:p>
            <w:r/>
            <w:r>
              <w:rPr>
                <w:b/>
                <w:sz w:val="16"/>
              </w:rPr>
              <w:t>Candidate live from Jun 28</w:t>
            </w:r>
          </w:p>
        </w:tc>
        <w:tc>
          <w:tcPr>
            <w:tcW w:type="dxa" w:w="2016"/>
            <w:vAlign w:val="center"/>
          </w:tcPr>
          <w:p>
            <w:r/>
            <w:r>
              <w:rPr>
                <w:b/>
                <w:sz w:val="16"/>
              </w:rPr>
              <w:t>Change</w:t>
            </w:r>
          </w:p>
        </w:tc>
        <w:tc>
          <w:tcPr>
            <w:tcW w:type="dxa" w:w="2016"/>
            <w:vAlign w:val="center"/>
          </w:tcPr>
          <w:p>
            <w:r/>
            <w:r>
              <w:rPr>
                <w:b/>
                <w:sz w:val="16"/>
              </w:rPr>
              <w:t>p-value</w:t>
            </w:r>
          </w:p>
        </w:tc>
      </w:tr>
      <w:tr>
        <w:tc>
          <w:tcPr>
            <w:tcW w:type="dxa" w:w="2016"/>
            <w:vAlign w:val="center"/>
          </w:tcPr>
          <w:p>
            <w:r/>
            <w:r>
              <w:rPr>
                <w:b w:val="0"/>
                <w:sz w:val="16"/>
              </w:rPr>
              <w:t>Conversations/day</w:t>
            </w:r>
          </w:p>
        </w:tc>
        <w:tc>
          <w:tcPr>
            <w:tcW w:type="dxa" w:w="2016"/>
            <w:vAlign w:val="center"/>
          </w:tcPr>
          <w:p>
            <w:r/>
            <w:r>
              <w:rPr>
                <w:b w:val="0"/>
                <w:sz w:val="16"/>
              </w:rPr>
              <w:t>7,248.1</w:t>
            </w:r>
          </w:p>
        </w:tc>
        <w:tc>
          <w:tcPr>
            <w:tcW w:type="dxa" w:w="2016"/>
            <w:vAlign w:val="center"/>
          </w:tcPr>
          <w:p>
            <w:r/>
            <w:r>
              <w:rPr>
                <w:b w:val="0"/>
                <w:sz w:val="16"/>
              </w:rPr>
              <w:t>6,663.6</w:t>
            </w:r>
          </w:p>
        </w:tc>
        <w:tc>
          <w:tcPr>
            <w:tcW w:type="dxa" w:w="2016"/>
            <w:vAlign w:val="center"/>
          </w:tcPr>
          <w:p>
            <w:r/>
            <w:r>
              <w:rPr>
                <w:b w:val="0"/>
                <w:sz w:val="16"/>
              </w:rPr>
              <w:t>-8.07%</w:t>
            </w:r>
          </w:p>
        </w:tc>
        <w:tc>
          <w:tcPr>
            <w:tcW w:type="dxa" w:w="2016"/>
            <w:vAlign w:val="center"/>
          </w:tcPr>
          <w:p>
            <w:r/>
            <w:r>
              <w:rPr>
                <w:b w:val="0"/>
                <w:sz w:val="16"/>
              </w:rPr>
              <w:t>Descriptive</w:t>
            </w:r>
          </w:p>
        </w:tc>
      </w:tr>
      <w:tr>
        <w:tc>
          <w:tcPr>
            <w:tcW w:type="dxa" w:w="2016"/>
            <w:vAlign w:val="center"/>
          </w:tcPr>
          <w:p>
            <w:r/>
            <w:r>
              <w:rPr>
                <w:b w:val="0"/>
                <w:sz w:val="16"/>
              </w:rPr>
              <w:t>Good survey</w:t>
            </w:r>
          </w:p>
        </w:tc>
        <w:tc>
          <w:tcPr>
            <w:tcW w:type="dxa" w:w="2016"/>
            <w:vAlign w:val="center"/>
          </w:tcPr>
          <w:p>
            <w:r/>
            <w:r>
              <w:rPr>
                <w:b w:val="0"/>
                <w:sz w:val="16"/>
              </w:rPr>
              <w:t>56.81%</w:t>
            </w:r>
          </w:p>
        </w:tc>
        <w:tc>
          <w:tcPr>
            <w:tcW w:type="dxa" w:w="2016"/>
            <w:vAlign w:val="center"/>
          </w:tcPr>
          <w:p>
            <w:r/>
            <w:r>
              <w:rPr>
                <w:b w:val="0"/>
                <w:sz w:val="16"/>
              </w:rPr>
              <w:t>62.15%</w:t>
            </w:r>
          </w:p>
        </w:tc>
        <w:tc>
          <w:tcPr>
            <w:tcW w:type="dxa" w:w="2016"/>
            <w:vAlign w:val="center"/>
          </w:tcPr>
          <w:p>
            <w:r/>
            <w:r>
              <w:rPr>
                <w:b w:val="0"/>
                <w:sz w:val="16"/>
              </w:rPr>
              <w:t>+5.34 pp</w:t>
            </w:r>
          </w:p>
        </w:tc>
        <w:tc>
          <w:tcPr>
            <w:tcW w:type="dxa" w:w="2016"/>
            <w:vAlign w:val="center"/>
          </w:tcPr>
          <w:p>
            <w:r/>
            <w:r>
              <w:rPr>
                <w:b w:val="0"/>
                <w:sz w:val="16"/>
              </w:rPr>
              <w:t>0.000002</w:t>
            </w:r>
          </w:p>
        </w:tc>
      </w:tr>
      <w:tr>
        <w:tc>
          <w:tcPr>
            <w:tcW w:type="dxa" w:w="2016"/>
            <w:vAlign w:val="center"/>
          </w:tcPr>
          <w:p>
            <w:r/>
            <w:r>
              <w:rPr>
                <w:b w:val="0"/>
                <w:sz w:val="16"/>
              </w:rPr>
              <w:t>CSAT</w:t>
            </w:r>
          </w:p>
        </w:tc>
        <w:tc>
          <w:tcPr>
            <w:tcW w:type="dxa" w:w="2016"/>
            <w:vAlign w:val="center"/>
          </w:tcPr>
          <w:p>
            <w:r/>
            <w:r>
              <w:rPr>
                <w:b w:val="0"/>
                <w:sz w:val="16"/>
              </w:rPr>
              <w:t>3.183</w:t>
            </w:r>
          </w:p>
        </w:tc>
        <w:tc>
          <w:tcPr>
            <w:tcW w:type="dxa" w:w="2016"/>
            <w:vAlign w:val="center"/>
          </w:tcPr>
          <w:p>
            <w:r/>
            <w:r>
              <w:rPr>
                <w:b w:val="0"/>
                <w:sz w:val="16"/>
              </w:rPr>
              <w:t>3.386</w:t>
            </w:r>
          </w:p>
        </w:tc>
        <w:tc>
          <w:tcPr>
            <w:tcW w:type="dxa" w:w="2016"/>
            <w:vAlign w:val="center"/>
          </w:tcPr>
          <w:p>
            <w:r/>
            <w:r>
              <w:rPr>
                <w:b w:val="0"/>
                <w:sz w:val="16"/>
              </w:rPr>
              <w:t>+0.203</w:t>
            </w:r>
          </w:p>
        </w:tc>
        <w:tc>
          <w:tcPr>
            <w:tcW w:type="dxa" w:w="2016"/>
            <w:vAlign w:val="center"/>
          </w:tcPr>
          <w:p>
            <w:r/>
            <w:r>
              <w:rPr>
                <w:b w:val="0"/>
                <w:sz w:val="16"/>
              </w:rPr>
              <w:t>0.000002</w:t>
            </w:r>
          </w:p>
        </w:tc>
      </w:tr>
      <w:tr>
        <w:tc>
          <w:tcPr>
            <w:tcW w:type="dxa" w:w="2016"/>
            <w:vAlign w:val="center"/>
          </w:tcPr>
          <w:p>
            <w:r/>
            <w:r>
              <w:rPr>
                <w:b w:val="0"/>
                <w:sz w:val="16"/>
              </w:rPr>
              <w:t>Response rate</w:t>
            </w:r>
          </w:p>
        </w:tc>
        <w:tc>
          <w:tcPr>
            <w:tcW w:type="dxa" w:w="2016"/>
            <w:vAlign w:val="center"/>
          </w:tcPr>
          <w:p>
            <w:r/>
            <w:r>
              <w:rPr>
                <w:b w:val="0"/>
                <w:sz w:val="16"/>
              </w:rPr>
              <w:t>1.063%</w:t>
            </w:r>
          </w:p>
        </w:tc>
        <w:tc>
          <w:tcPr>
            <w:tcW w:type="dxa" w:w="2016"/>
            <w:vAlign w:val="center"/>
          </w:tcPr>
          <w:p>
            <w:r/>
            <w:r>
              <w:rPr>
                <w:b w:val="0"/>
                <w:sz w:val="16"/>
              </w:rPr>
              <w:t>0.827%</w:t>
            </w:r>
          </w:p>
        </w:tc>
        <w:tc>
          <w:tcPr>
            <w:tcW w:type="dxa" w:w="2016"/>
            <w:vAlign w:val="center"/>
          </w:tcPr>
          <w:p>
            <w:r/>
            <w:r>
              <w:rPr>
                <w:b w:val="0"/>
                <w:sz w:val="16"/>
              </w:rPr>
              <w:t>-0.236 pp</w:t>
            </w:r>
          </w:p>
        </w:tc>
        <w:tc>
          <w:tcPr>
            <w:tcW w:type="dxa" w:w="2016"/>
            <w:vAlign w:val="center"/>
          </w:tcPr>
          <w:p>
            <w:r/>
            <w:r>
              <w:rPr>
                <w:b w:val="0"/>
                <w:sz w:val="16"/>
              </w:rPr>
              <w:t>Descriptive</w:t>
            </w:r>
          </w:p>
        </w:tc>
      </w:tr>
    </w:tbl>
    <w:p/>
    <w:p>
      <w:r>
        <w:t>The June 28 sensitivity result is stronger than the primary result, but it should not be reported as confirmed ALIKA impact because the date is unsupported by the explicit routing evidence.</w:t>
      </w:r>
    </w:p>
    <w:p>
      <w:pPr>
        <w:pStyle w:val="Heading1"/>
      </w:pPr>
      <w:r>
        <w:t>7. Interrupted-Time-Series Analysis</w:t>
      </w:r>
    </w:p>
    <w:p>
      <w:r>
        <w:t>Daily metrics were modeled using ordinary least squares with weekday indicators. The model estimates pre-period trend, immediate level change at the cutoff, and post-cutoff trend change. This is a stronger time-series diagnostic than a simple pooled before-after comparison, but it remains vulnerable to unmeasured concurrent changes.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
              <w:rPr>
                <w:b/>
                <w:sz w:val="16"/>
              </w:rPr>
              <w:t>Cutoff / metric</w:t>
            </w:r>
          </w:p>
        </w:tc>
        <w:tc>
          <w:tcPr>
            <w:tcW w:type="dxa" w:w="2016"/>
            <w:vAlign w:val="center"/>
          </w:tcPr>
          <w:p>
            <w:r/>
            <w:r>
              <w:rPr>
                <w:b/>
                <w:sz w:val="16"/>
              </w:rPr>
              <w:t>Immediate change</w:t>
            </w:r>
          </w:p>
        </w:tc>
        <w:tc>
          <w:tcPr>
            <w:tcW w:type="dxa" w:w="2016"/>
            <w:vAlign w:val="center"/>
          </w:tcPr>
          <w:p>
            <w:r/>
            <w:r>
              <w:rPr>
                <w:b/>
                <w:sz w:val="16"/>
              </w:rPr>
              <w:t>Immediate p</w:t>
            </w:r>
          </w:p>
        </w:tc>
        <w:tc>
          <w:tcPr>
            <w:tcW w:type="dxa" w:w="2016"/>
            <w:vAlign w:val="center"/>
          </w:tcPr>
          <w:p>
            <w:r/>
            <w:r>
              <w:rPr>
                <w:b/>
                <w:sz w:val="16"/>
              </w:rPr>
              <w:t>Post-trend change/day</w:t>
            </w:r>
          </w:p>
        </w:tc>
        <w:tc>
          <w:tcPr>
            <w:tcW w:type="dxa" w:w="2016"/>
            <w:vAlign w:val="center"/>
          </w:tcPr>
          <w:p>
            <w:r/>
            <w:r>
              <w:rPr>
                <w:b/>
                <w:sz w:val="16"/>
              </w:rPr>
              <w:t>Post-trend p</w:t>
            </w:r>
          </w:p>
        </w:tc>
      </w:tr>
      <w:tr>
        <w:tc>
          <w:tcPr>
            <w:tcW w:type="dxa" w:w="2016"/>
            <w:vAlign w:val="center"/>
          </w:tcPr>
          <w:p>
            <w:r/>
            <w:r>
              <w:rPr>
                <w:b w:val="0"/>
                <w:sz w:val="16"/>
              </w:rPr>
              <w:t>June 28 / conversations</w:t>
            </w:r>
          </w:p>
        </w:tc>
        <w:tc>
          <w:tcPr>
            <w:tcW w:type="dxa" w:w="2016"/>
            <w:vAlign w:val="center"/>
          </w:tcPr>
          <w:p>
            <w:r/>
            <w:r>
              <w:rPr>
                <w:b w:val="0"/>
                <w:sz w:val="16"/>
              </w:rPr>
              <w:t>+462.3</w:t>
            </w:r>
          </w:p>
        </w:tc>
        <w:tc>
          <w:tcPr>
            <w:tcW w:type="dxa" w:w="2016"/>
            <w:vAlign w:val="center"/>
          </w:tcPr>
          <w:p>
            <w:r/>
            <w:r>
              <w:rPr>
                <w:b w:val="0"/>
                <w:sz w:val="16"/>
              </w:rPr>
              <w:t>0.442633</w:t>
            </w:r>
          </w:p>
        </w:tc>
        <w:tc>
          <w:tcPr>
            <w:tcW w:type="dxa" w:w="2016"/>
            <w:vAlign w:val="center"/>
          </w:tcPr>
          <w:p>
            <w:r/>
            <w:r>
              <w:rPr>
                <w:b w:val="0"/>
                <w:sz w:val="16"/>
              </w:rPr>
              <w:t>+21.92</w:t>
            </w:r>
          </w:p>
        </w:tc>
        <w:tc>
          <w:tcPr>
            <w:tcW w:type="dxa" w:w="2016"/>
            <w:vAlign w:val="center"/>
          </w:tcPr>
          <w:p>
            <w:r/>
            <w:r>
              <w:rPr>
                <w:b w:val="0"/>
                <w:sz w:val="16"/>
              </w:rPr>
              <w:t>0.206421</w:t>
            </w:r>
          </w:p>
        </w:tc>
      </w:tr>
      <w:tr>
        <w:tc>
          <w:tcPr>
            <w:tcW w:type="dxa" w:w="2016"/>
            <w:vAlign w:val="center"/>
          </w:tcPr>
          <w:p>
            <w:r/>
            <w:r>
              <w:rPr>
                <w:b w:val="0"/>
                <w:sz w:val="16"/>
              </w:rPr>
              <w:t>June 28 / response rate</w:t>
            </w:r>
          </w:p>
        </w:tc>
        <w:tc>
          <w:tcPr>
            <w:tcW w:type="dxa" w:w="2016"/>
            <w:vAlign w:val="center"/>
          </w:tcPr>
          <w:p>
            <w:r/>
            <w:r>
              <w:rPr>
                <w:b w:val="0"/>
                <w:sz w:val="16"/>
              </w:rPr>
              <w:t>-0.001770</w:t>
            </w:r>
          </w:p>
        </w:tc>
        <w:tc>
          <w:tcPr>
            <w:tcW w:type="dxa" w:w="2016"/>
            <w:vAlign w:val="center"/>
          </w:tcPr>
          <w:p>
            <w:r/>
            <w:r>
              <w:rPr>
                <w:b w:val="0"/>
                <w:sz w:val="16"/>
              </w:rPr>
              <w:t>0.000686</w:t>
            </w:r>
          </w:p>
        </w:tc>
        <w:tc>
          <w:tcPr>
            <w:tcW w:type="dxa" w:w="2016"/>
            <w:vAlign w:val="center"/>
          </w:tcPr>
          <w:p>
            <w:r/>
            <w:r>
              <w:rPr>
                <w:b w:val="0"/>
                <w:sz w:val="16"/>
              </w:rPr>
              <w:t>-0.000032</w:t>
            </w:r>
          </w:p>
        </w:tc>
        <w:tc>
          <w:tcPr>
            <w:tcW w:type="dxa" w:w="2016"/>
            <w:vAlign w:val="center"/>
          </w:tcPr>
          <w:p>
            <w:r/>
            <w:r>
              <w:rPr>
                <w:b w:val="0"/>
                <w:sz w:val="16"/>
              </w:rPr>
              <w:t>0.028321</w:t>
            </w:r>
          </w:p>
        </w:tc>
      </w:tr>
      <w:tr>
        <w:tc>
          <w:tcPr>
            <w:tcW w:type="dxa" w:w="2016"/>
            <w:vAlign w:val="center"/>
          </w:tcPr>
          <w:p>
            <w:r/>
            <w:r>
              <w:rPr>
                <w:b w:val="0"/>
                <w:sz w:val="16"/>
              </w:rPr>
              <w:t>June 28 / good rate</w:t>
            </w:r>
          </w:p>
        </w:tc>
        <w:tc>
          <w:tcPr>
            <w:tcW w:type="dxa" w:w="2016"/>
            <w:vAlign w:val="center"/>
          </w:tcPr>
          <w:p>
            <w:r/>
            <w:r>
              <w:rPr>
                <w:b w:val="0"/>
                <w:sz w:val="16"/>
              </w:rPr>
              <w:t>+0.057410</w:t>
            </w:r>
          </w:p>
        </w:tc>
        <w:tc>
          <w:tcPr>
            <w:tcW w:type="dxa" w:w="2016"/>
            <w:vAlign w:val="center"/>
          </w:tcPr>
          <w:p>
            <w:r/>
            <w:r>
              <w:rPr>
                <w:b w:val="0"/>
                <w:sz w:val="16"/>
              </w:rPr>
              <w:t>0.012493</w:t>
            </w:r>
          </w:p>
        </w:tc>
        <w:tc>
          <w:tcPr>
            <w:tcW w:type="dxa" w:w="2016"/>
            <w:vAlign w:val="center"/>
          </w:tcPr>
          <w:p>
            <w:r/>
            <w:r>
              <w:rPr>
                <w:b w:val="0"/>
                <w:sz w:val="16"/>
              </w:rPr>
              <w:t>-0.001057</w:t>
            </w:r>
          </w:p>
        </w:tc>
        <w:tc>
          <w:tcPr>
            <w:tcW w:type="dxa" w:w="2016"/>
            <w:vAlign w:val="center"/>
          </w:tcPr>
          <w:p>
            <w:r/>
            <w:r>
              <w:rPr>
                <w:b w:val="0"/>
                <w:sz w:val="16"/>
              </w:rPr>
              <w:t>0.106741</w:t>
            </w:r>
          </w:p>
        </w:tc>
      </w:tr>
      <w:tr>
        <w:tc>
          <w:tcPr>
            <w:tcW w:type="dxa" w:w="2016"/>
            <w:vAlign w:val="center"/>
          </w:tcPr>
          <w:p>
            <w:r/>
            <w:r>
              <w:rPr>
                <w:b w:val="0"/>
                <w:sz w:val="16"/>
              </w:rPr>
              <w:t>June 28 / CSAT</w:t>
            </w:r>
          </w:p>
        </w:tc>
        <w:tc>
          <w:tcPr>
            <w:tcW w:type="dxa" w:w="2016"/>
            <w:vAlign w:val="center"/>
          </w:tcPr>
          <w:p>
            <w:r/>
            <w:r>
              <w:rPr>
                <w:b w:val="0"/>
                <w:sz w:val="16"/>
              </w:rPr>
              <w:t>+0.186408</w:t>
            </w:r>
          </w:p>
        </w:tc>
        <w:tc>
          <w:tcPr>
            <w:tcW w:type="dxa" w:w="2016"/>
            <w:vAlign w:val="center"/>
          </w:tcPr>
          <w:p>
            <w:r/>
            <w:r>
              <w:rPr>
                <w:b w:val="0"/>
                <w:sz w:val="16"/>
              </w:rPr>
              <w:t>0.034824</w:t>
            </w:r>
          </w:p>
        </w:tc>
        <w:tc>
          <w:tcPr>
            <w:tcW w:type="dxa" w:w="2016"/>
            <w:vAlign w:val="center"/>
          </w:tcPr>
          <w:p>
            <w:r/>
            <w:r>
              <w:rPr>
                <w:b w:val="0"/>
                <w:sz w:val="16"/>
              </w:rPr>
              <w:t>-0.003428</w:t>
            </w:r>
          </w:p>
        </w:tc>
        <w:tc>
          <w:tcPr>
            <w:tcW w:type="dxa" w:w="2016"/>
            <w:vAlign w:val="center"/>
          </w:tcPr>
          <w:p>
            <w:r/>
            <w:r>
              <w:rPr>
                <w:b w:val="0"/>
                <w:sz w:val="16"/>
              </w:rPr>
              <w:t>0.174303</w:t>
            </w:r>
          </w:p>
        </w:tc>
      </w:tr>
      <w:tr>
        <w:tc>
          <w:tcPr>
            <w:tcW w:type="dxa" w:w="2016"/>
            <w:vAlign w:val="center"/>
          </w:tcPr>
          <w:p>
            <w:r/>
            <w:r>
              <w:rPr>
                <w:b w:val="0"/>
                <w:sz w:val="16"/>
              </w:rPr>
              <w:t>July 31 / conversations</w:t>
            </w:r>
          </w:p>
        </w:tc>
        <w:tc>
          <w:tcPr>
            <w:tcW w:type="dxa" w:w="2016"/>
            <w:vAlign w:val="center"/>
          </w:tcPr>
          <w:p>
            <w:r/>
            <w:r>
              <w:rPr>
                <w:b w:val="0"/>
                <w:sz w:val="16"/>
              </w:rPr>
              <w:t>+650.5</w:t>
            </w:r>
          </w:p>
        </w:tc>
        <w:tc>
          <w:tcPr>
            <w:tcW w:type="dxa" w:w="2016"/>
            <w:vAlign w:val="center"/>
          </w:tcPr>
          <w:p>
            <w:r/>
            <w:r>
              <w:rPr>
                <w:b w:val="0"/>
                <w:sz w:val="16"/>
              </w:rPr>
              <w:t>0.340440</w:t>
            </w:r>
          </w:p>
        </w:tc>
        <w:tc>
          <w:tcPr>
            <w:tcW w:type="dxa" w:w="2016"/>
            <w:vAlign w:val="center"/>
          </w:tcPr>
          <w:p>
            <w:r/>
            <w:r>
              <w:rPr>
                <w:b w:val="0"/>
                <w:sz w:val="16"/>
              </w:rPr>
              <w:t>-9.05</w:t>
            </w:r>
          </w:p>
        </w:tc>
        <w:tc>
          <w:tcPr>
            <w:tcW w:type="dxa" w:w="2016"/>
            <w:vAlign w:val="center"/>
          </w:tcPr>
          <w:p>
            <w:r/>
            <w:r>
              <w:rPr>
                <w:b w:val="0"/>
                <w:sz w:val="16"/>
              </w:rPr>
              <w:t>0.791294</w:t>
            </w:r>
          </w:p>
        </w:tc>
      </w:tr>
      <w:tr>
        <w:tc>
          <w:tcPr>
            <w:tcW w:type="dxa" w:w="2016"/>
            <w:vAlign w:val="center"/>
          </w:tcPr>
          <w:p>
            <w:r/>
            <w:r>
              <w:rPr>
                <w:b w:val="0"/>
                <w:sz w:val="16"/>
              </w:rPr>
              <w:t>July 31 / response rate</w:t>
            </w:r>
          </w:p>
        </w:tc>
        <w:tc>
          <w:tcPr>
            <w:tcW w:type="dxa" w:w="2016"/>
            <w:vAlign w:val="center"/>
          </w:tcPr>
          <w:p>
            <w:r/>
            <w:r>
              <w:rPr>
                <w:b w:val="0"/>
                <w:sz w:val="16"/>
              </w:rPr>
              <w:t>-0.000615</w:t>
            </w:r>
          </w:p>
        </w:tc>
        <w:tc>
          <w:tcPr>
            <w:tcW w:type="dxa" w:w="2016"/>
            <w:vAlign w:val="center"/>
          </w:tcPr>
          <w:p>
            <w:r/>
            <w:r>
              <w:rPr>
                <w:b w:val="0"/>
                <w:sz w:val="16"/>
              </w:rPr>
              <w:t>0.312310</w:t>
            </w:r>
          </w:p>
        </w:tc>
        <w:tc>
          <w:tcPr>
            <w:tcW w:type="dxa" w:w="2016"/>
            <w:vAlign w:val="center"/>
          </w:tcPr>
          <w:p>
            <w:r/>
            <w:r>
              <w:rPr>
                <w:b w:val="0"/>
                <w:sz w:val="16"/>
              </w:rPr>
              <w:t>+0.000041</w:t>
            </w:r>
          </w:p>
        </w:tc>
        <w:tc>
          <w:tcPr>
            <w:tcW w:type="dxa" w:w="2016"/>
            <w:vAlign w:val="center"/>
          </w:tcPr>
          <w:p>
            <w:r/>
            <w:r>
              <w:rPr>
                <w:b w:val="0"/>
                <w:sz w:val="16"/>
              </w:rPr>
              <w:t>0.180155</w:t>
            </w:r>
          </w:p>
        </w:tc>
      </w:tr>
      <w:tr>
        <w:tc>
          <w:tcPr>
            <w:tcW w:type="dxa" w:w="2016"/>
            <w:vAlign w:val="center"/>
          </w:tcPr>
          <w:p>
            <w:r/>
            <w:r>
              <w:rPr>
                <w:b w:val="0"/>
                <w:sz w:val="16"/>
              </w:rPr>
              <w:t>July 31 / good rate</w:t>
            </w:r>
          </w:p>
        </w:tc>
        <w:tc>
          <w:tcPr>
            <w:tcW w:type="dxa" w:w="2016"/>
            <w:vAlign w:val="center"/>
          </w:tcPr>
          <w:p>
            <w:r/>
            <w:r>
              <w:rPr>
                <w:b w:val="0"/>
                <w:sz w:val="16"/>
              </w:rPr>
              <w:t>+0.011786</w:t>
            </w:r>
          </w:p>
        </w:tc>
        <w:tc>
          <w:tcPr>
            <w:tcW w:type="dxa" w:w="2016"/>
            <w:vAlign w:val="center"/>
          </w:tcPr>
          <w:p>
            <w:r/>
            <w:r>
              <w:rPr>
                <w:b w:val="0"/>
                <w:sz w:val="16"/>
              </w:rPr>
              <w:t>0.647759</w:t>
            </w:r>
          </w:p>
        </w:tc>
        <w:tc>
          <w:tcPr>
            <w:tcW w:type="dxa" w:w="2016"/>
            <w:vAlign w:val="center"/>
          </w:tcPr>
          <w:p>
            <w:r/>
            <w:r>
              <w:rPr>
                <w:b w:val="0"/>
                <w:sz w:val="16"/>
              </w:rPr>
              <w:t>-0.003136</w:t>
            </w:r>
          </w:p>
        </w:tc>
        <w:tc>
          <w:tcPr>
            <w:tcW w:type="dxa" w:w="2016"/>
            <w:vAlign w:val="center"/>
          </w:tcPr>
          <w:p>
            <w:r/>
            <w:r>
              <w:rPr>
                <w:b w:val="0"/>
                <w:sz w:val="16"/>
              </w:rPr>
              <w:t>0.016850</w:t>
            </w:r>
          </w:p>
        </w:tc>
      </w:tr>
      <w:tr>
        <w:tc>
          <w:tcPr>
            <w:tcW w:type="dxa" w:w="2016"/>
            <w:vAlign w:val="center"/>
          </w:tcPr>
          <w:p>
            <w:r/>
            <w:r>
              <w:rPr>
                <w:b w:val="0"/>
                <w:sz w:val="16"/>
              </w:rPr>
              <w:t>July 31 / CSAT</w:t>
            </w:r>
          </w:p>
        </w:tc>
        <w:tc>
          <w:tcPr>
            <w:tcW w:type="dxa" w:w="2016"/>
            <w:vAlign w:val="center"/>
          </w:tcPr>
          <w:p>
            <w:r/>
            <w:r>
              <w:rPr>
                <w:b w:val="0"/>
                <w:sz w:val="16"/>
              </w:rPr>
              <w:t>+0.100990</w:t>
            </w:r>
          </w:p>
        </w:tc>
        <w:tc>
          <w:tcPr>
            <w:tcW w:type="dxa" w:w="2016"/>
            <w:vAlign w:val="center"/>
          </w:tcPr>
          <w:p>
            <w:r/>
            <w:r>
              <w:rPr>
                <w:b w:val="0"/>
                <w:sz w:val="16"/>
              </w:rPr>
              <w:t>0.306140</w:t>
            </w:r>
          </w:p>
        </w:tc>
        <w:tc>
          <w:tcPr>
            <w:tcW w:type="dxa" w:w="2016"/>
            <w:vAlign w:val="center"/>
          </w:tcPr>
          <w:p>
            <w:r/>
            <w:r>
              <w:rPr>
                <w:b w:val="0"/>
                <w:sz w:val="16"/>
              </w:rPr>
              <w:t>-0.012836</w:t>
            </w:r>
          </w:p>
        </w:tc>
        <w:tc>
          <w:tcPr>
            <w:tcW w:type="dxa" w:w="2016"/>
            <w:vAlign w:val="center"/>
          </w:tcPr>
          <w:p>
            <w:r/>
            <w:r>
              <w:rPr>
                <w:b w:val="0"/>
                <w:sz w:val="16"/>
              </w:rPr>
              <w:t>0.010554</w:t>
            </w:r>
          </w:p>
        </w:tc>
      </w:tr>
    </w:tbl>
    <w:p/>
    <w:p>
      <w:r>
        <w:t>At the primary July 31 cutoff, neither immediate good-survey nor immediate CSAT change is significant. The significant negative post-cutoff trend coefficients for good rate and CSAT indicate that the apparent later improvement should not be interpreted as a sustained immediate ALIKA benefit.</w:t>
      </w:r>
    </w:p>
    <w:p>
      <w:pPr>
        <w:pStyle w:val="Heading1"/>
      </w:pPr>
      <w:r>
        <w:t>8. Sample Sufficiency and Power</w:t>
      </w:r>
    </w:p>
    <w:p>
      <w:r>
        <w:t>For the primary good-survey endpoint, the approximate two-proportion power calculation uses alpha=0.05, a two-sided test, 80% target power, the observed proportions, and the available before-period sample held fixed.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
              <w:rPr>
                <w:b/>
                <w:sz w:val="16"/>
              </w:rPr>
              <w:t>Calculation</w:t>
            </w:r>
          </w:p>
        </w:tc>
        <w:tc>
          <w:tcPr>
            <w:tcW w:type="dxa" w:w="5040"/>
            <w:vAlign w:val="center"/>
          </w:tcPr>
          <w:p>
            <w:r/>
            <w:r>
              <w:rPr>
                <w:b/>
                <w:sz w:val="16"/>
              </w:rPr>
              <w:t>Result</w:t>
            </w:r>
          </w:p>
        </w:tc>
      </w:tr>
      <w:tr>
        <w:tc>
          <w:tcPr>
            <w:tcW w:type="dxa" w:w="5040"/>
            <w:vAlign w:val="center"/>
          </w:tcPr>
          <w:p>
            <w:r/>
            <w:r>
              <w:rPr>
                <w:b w:val="0"/>
                <w:sz w:val="16"/>
              </w:rPr>
              <w:t>Before valid respondents</w:t>
            </w:r>
          </w:p>
        </w:tc>
        <w:tc>
          <w:tcPr>
            <w:tcW w:type="dxa" w:w="5040"/>
            <w:vAlign w:val="center"/>
          </w:tcPr>
          <w:p>
            <w:r/>
            <w:r>
              <w:rPr>
                <w:b w:val="0"/>
                <w:sz w:val="16"/>
              </w:rPr>
              <w:t>6,380</w:t>
            </w:r>
          </w:p>
        </w:tc>
      </w:tr>
      <w:tr>
        <w:tc>
          <w:tcPr>
            <w:tcW w:type="dxa" w:w="5040"/>
            <w:vAlign w:val="center"/>
          </w:tcPr>
          <w:p>
            <w:r/>
            <w:r>
              <w:rPr>
                <w:b w:val="0"/>
                <w:sz w:val="16"/>
              </w:rPr>
              <w:t>Routing-period valid respondents</w:t>
            </w:r>
          </w:p>
        </w:tc>
        <w:tc>
          <w:tcPr>
            <w:tcW w:type="dxa" w:w="5040"/>
            <w:vAlign w:val="center"/>
          </w:tcPr>
          <w:p>
            <w:r/>
            <w:r>
              <w:rPr>
                <w:b w:val="0"/>
                <w:sz w:val="16"/>
              </w:rPr>
              <w:t>1,505</w:t>
            </w:r>
          </w:p>
        </w:tc>
      </w:tr>
      <w:tr>
        <w:tc>
          <w:tcPr>
            <w:tcW w:type="dxa" w:w="5040"/>
            <w:vAlign w:val="center"/>
          </w:tcPr>
          <w:p>
            <w:r/>
            <w:r>
              <w:rPr>
                <w:b w:val="0"/>
                <w:sz w:val="16"/>
              </w:rPr>
              <w:t>Observed good-rate difference</w:t>
            </w:r>
          </w:p>
        </w:tc>
        <w:tc>
          <w:tcPr>
            <w:tcW w:type="dxa" w:w="5040"/>
            <w:vAlign w:val="center"/>
          </w:tcPr>
          <w:p>
            <w:r/>
            <w:r>
              <w:rPr>
                <w:b w:val="0"/>
                <w:sz w:val="16"/>
              </w:rPr>
              <w:t>+2.231 pp</w:t>
            </w:r>
          </w:p>
        </w:tc>
      </w:tr>
      <w:tr>
        <w:tc>
          <w:tcPr>
            <w:tcW w:type="dxa" w:w="5040"/>
            <w:vAlign w:val="center"/>
          </w:tcPr>
          <w:p>
            <w:r/>
            <w:r>
              <w:rPr>
                <w:b w:val="0"/>
                <w:sz w:val="16"/>
              </w:rPr>
              <w:t>Current approximate power</w:t>
            </w:r>
          </w:p>
        </w:tc>
        <w:tc>
          <w:tcPr>
            <w:tcW w:type="dxa" w:w="5040"/>
            <w:vAlign w:val="center"/>
          </w:tcPr>
          <w:p>
            <w:r/>
            <w:r>
              <w:rPr>
                <w:b w:val="0"/>
                <w:sz w:val="16"/>
              </w:rPr>
              <w:t>35.3%</w:t>
            </w:r>
          </w:p>
        </w:tc>
      </w:tr>
      <w:tr>
        <w:tc>
          <w:tcPr>
            <w:tcW w:type="dxa" w:w="5040"/>
            <w:vAlign w:val="center"/>
          </w:tcPr>
          <w:p>
            <w:r/>
            <w:r>
              <w:rPr>
                <w:b w:val="0"/>
                <w:sz w:val="16"/>
              </w:rPr>
              <w:t>Projected power after one more 30-day month</w:t>
            </w:r>
          </w:p>
        </w:tc>
        <w:tc>
          <w:tcPr>
            <w:tcW w:type="dxa" w:w="5040"/>
            <w:vAlign w:val="center"/>
          </w:tcPr>
          <w:p>
            <w:r/>
            <w:r>
              <w:rPr>
                <w:b w:val="0"/>
                <w:sz w:val="16"/>
              </w:rPr>
              <w:t>54.3%</w:t>
            </w:r>
          </w:p>
        </w:tc>
      </w:tr>
      <w:tr>
        <w:tc>
          <w:tcPr>
            <w:tcW w:type="dxa" w:w="5040"/>
            <w:vAlign w:val="center"/>
          </w:tcPr>
          <w:p>
            <w:r/>
            <w:r>
              <w:rPr>
                <w:b w:val="0"/>
                <w:sz w:val="16"/>
              </w:rPr>
              <w:t>Required routing-period respondents for 80% power</w:t>
            </w:r>
          </w:p>
        </w:tc>
        <w:tc>
          <w:tcPr>
            <w:tcW w:type="dxa" w:w="5040"/>
            <w:vAlign w:val="center"/>
          </w:tcPr>
          <w:p>
            <w:r/>
            <w:r>
              <w:rPr>
                <w:b w:val="0"/>
                <w:sz w:val="16"/>
              </w:rPr>
              <w:t>9,316</w:t>
            </w:r>
          </w:p>
        </w:tc>
      </w:tr>
      <w:tr>
        <w:tc>
          <w:tcPr>
            <w:tcW w:type="dxa" w:w="5040"/>
            <w:vAlign w:val="center"/>
          </w:tcPr>
          <w:p>
            <w:r/>
            <w:r>
              <w:rPr>
                <w:b w:val="0"/>
                <w:sz w:val="16"/>
              </w:rPr>
              <w:t>Additional respondents needed</w:t>
            </w:r>
          </w:p>
        </w:tc>
        <w:tc>
          <w:tcPr>
            <w:tcW w:type="dxa" w:w="5040"/>
            <w:vAlign w:val="center"/>
          </w:tcPr>
          <w:p>
            <w:r/>
            <w:r>
              <w:rPr>
                <w:b w:val="0"/>
                <w:sz w:val="16"/>
              </w:rPr>
              <w:t>7,811</w:t>
            </w:r>
          </w:p>
        </w:tc>
      </w:tr>
      <w:tr>
        <w:tc>
          <w:tcPr>
            <w:tcW w:type="dxa" w:w="5040"/>
            <w:vAlign w:val="center"/>
          </w:tcPr>
          <w:p>
            <w:r/>
            <w:r>
              <w:rPr>
                <w:b w:val="0"/>
                <w:sz w:val="16"/>
              </w:rPr>
              <w:t>Estimated additional complete days</w:t>
            </w:r>
          </w:p>
        </w:tc>
        <w:tc>
          <w:tcPr>
            <w:tcW w:type="dxa" w:w="5040"/>
            <w:vAlign w:val="center"/>
          </w:tcPr>
          <w:p>
            <w:r/>
            <w:r>
              <w:rPr>
                <w:b w:val="0"/>
                <w:sz w:val="16"/>
              </w:rPr>
              <w:t>151</w:t>
            </w:r>
          </w:p>
        </w:tc>
      </w:tr>
      <w:tr>
        <w:tc>
          <w:tcPr>
            <w:tcW w:type="dxa" w:w="5040"/>
            <w:vAlign w:val="center"/>
          </w:tcPr>
          <w:p>
            <w:r/>
            <w:r>
              <w:rPr>
                <w:b w:val="0"/>
                <w:sz w:val="16"/>
              </w:rPr>
              <w:t>Estimated additional 30-day months</w:t>
            </w:r>
          </w:p>
        </w:tc>
        <w:tc>
          <w:tcPr>
            <w:tcW w:type="dxa" w:w="5040"/>
            <w:vAlign w:val="center"/>
          </w:tcPr>
          <w:p>
            <w:r/>
            <w:r>
              <w:rPr>
                <w:b w:val="0"/>
                <w:sz w:val="16"/>
              </w:rPr>
              <w:t>6</w:t>
            </w:r>
          </w:p>
        </w:tc>
      </w:tr>
    </w:tbl>
    <w:p/>
    <w:p>
      <w:r>
        <w:t>More data are recommended for precision, but another month alone is unlikely to provide 80% power for the small observed good-rate difference. More observations also cannot solve unclear exposure marking, seasonality, nonresponse bias, or confounding.</w:t>
      </w:r>
    </w:p>
    <w:p>
      <w:pPr>
        <w:pStyle w:val="Heading1"/>
      </w:pPr>
      <w:r>
        <w:t>9. Visualizations</w:t>
      </w:r>
    </w:p>
    <w:p>
      <w:r>
        <w:t>The following figures are rendered from the executed notebook and include all visual outputs used for interpretation.</w:t>
      </w:r>
    </w:p>
    <w:p>
      <w:pPr>
        <w:jc w:val="center"/>
      </w:pPr>
      <w:r>
        <w:drawing>
          <wp:inline xmlns:a="http://schemas.openxmlformats.org/drawingml/2006/main" xmlns:pic="http://schemas.openxmlformats.org/drawingml/2006/picture">
            <wp:extent cx="5852160" cy="3666860"/>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852160" cy="3666860"/>
                    </a:xfrm>
                    <a:prstGeom prst="rect"/>
                  </pic:spPr>
                </pic:pic>
              </a:graphicData>
            </a:graphic>
          </wp:inline>
        </w:drawing>
      </w:r>
    </w:p>
    <w:p>
      <w:pPr>
        <w:jc w:val="center"/>
      </w:pPr>
      <w:r>
        <w:rPr>
          <w:i/>
          <w:sz w:val="18"/>
        </w:rPr>
        <w:t>Figure 1. Daily KULA trends with June 28 candidate and July 31 observed-routing cutoffs.</w:t>
      </w:r>
    </w:p>
    <w:p>
      <w:pPr>
        <w:jc w:val="center"/>
      </w:pPr>
      <w:r>
        <w:drawing>
          <wp:inline xmlns:a="http://schemas.openxmlformats.org/drawingml/2006/main" xmlns:pic="http://schemas.openxmlformats.org/drawingml/2006/picture">
            <wp:extent cx="5852160" cy="160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852160" cy="1603433"/>
                    </a:xfrm>
                    <a:prstGeom prst="rect"/>
                  </pic:spPr>
                </pic:pic>
              </a:graphicData>
            </a:graphic>
          </wp:inline>
        </w:drawing>
      </w:r>
    </w:p>
    <w:p>
      <w:pPr>
        <w:jc w:val="center"/>
      </w:pPr>
      <w:r>
        <w:rPr>
          <w:i/>
          <w:sz w:val="18"/>
        </w:rPr>
        <w:t>Figure 2. Daily share of KULA conversations explicitly marked from ALIKA.</w:t>
      </w:r>
    </w:p>
    <w:p>
      <w:pPr>
        <w:jc w:val="center"/>
      </w:pPr>
      <w:r>
        <w:drawing>
          <wp:inline xmlns:a="http://schemas.openxmlformats.org/drawingml/2006/main" xmlns:pic="http://schemas.openxmlformats.org/drawingml/2006/picture">
            <wp:extent cx="5852160" cy="2081896"/>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852160" cy="2081896"/>
                    </a:xfrm>
                    <a:prstGeom prst="rect"/>
                  </pic:spPr>
                </pic:pic>
              </a:graphicData>
            </a:graphic>
          </wp:inline>
        </w:drawing>
      </w:r>
    </w:p>
    <w:p>
      <w:pPr>
        <w:jc w:val="center"/>
      </w:pPr>
      <w:r>
        <w:rPr>
          <w:i/>
          <w:sz w:val="18"/>
        </w:rPr>
        <w:t>Figure 3. Monthly KULA conversation volume and average conversations per complete day.</w:t>
      </w:r>
    </w:p>
    <w:p>
      <w:pPr>
        <w:jc w:val="center"/>
      </w:pPr>
      <w:r>
        <w:drawing>
          <wp:inline xmlns:a="http://schemas.openxmlformats.org/drawingml/2006/main" xmlns:pic="http://schemas.openxmlformats.org/drawingml/2006/picture">
            <wp:extent cx="5852160" cy="2081896"/>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852160" cy="2081896"/>
                    </a:xfrm>
                    <a:prstGeom prst="rect"/>
                  </pic:spPr>
                </pic:pic>
              </a:graphicData>
            </a:graphic>
          </wp:inline>
        </w:drawing>
      </w:r>
    </w:p>
    <w:p>
      <w:pPr>
        <w:jc w:val="center"/>
      </w:pPr>
      <w:r>
        <w:rPr>
          <w:i/>
          <w:sz w:val="18"/>
        </w:rPr>
        <w:t>Figure 4. Monthly survey quality and rating-score distributions.</w:t>
      </w:r>
    </w:p>
    <w:p>
      <w:pPr>
        <w:pStyle w:val="Heading1"/>
      </w:pPr>
      <w:r>
        <w:t>10. Interpretation and Limitations</w:t>
      </w:r>
    </w:p>
    <w:p>
      <w:pPr>
        <w:pStyle w:val="ListBullet"/>
      </w:pPr>
      <w:r>
        <w:t>The analysis uses only 3-1-robot and 3-1-robot2 after filtering; other account categories are excluded.</w:t>
      </w:r>
    </w:p>
    <w:p>
      <w:pPr>
        <w:pStyle w:val="ListBullet"/>
      </w:pPr>
      <w:r>
        <w:t>The statistical unit is the deduplicated conversation row. Repeated users can contribute multiple conversations and survey responses.</w:t>
      </w:r>
    </w:p>
    <w:p>
      <w:pPr>
        <w:pStyle w:val="ListBullet"/>
      </w:pPr>
      <w:r>
        <w:t>The first explicit ALIKA marker occurs July 31, not June 28. The marker may under-report actual ALIKA exposure.</w:t>
      </w:r>
    </w:p>
    <w:p>
      <w:pPr>
        <w:pStyle w:val="ListBullet"/>
      </w:pPr>
      <w:r>
        <w:t>Only two explicitly marked conversations have valid survey ratings, so direct ALIKA-route quality inference is not reliable.</w:t>
      </w:r>
    </w:p>
    <w:p>
      <w:pPr>
        <w:pStyle w:val="ListBullet"/>
      </w:pPr>
      <w:r>
        <w:t>Survey response rates are below 1.1% and decline from May/June to July/August, creating material nonresponse-bias risk.</w:t>
      </w:r>
    </w:p>
    <w:p>
      <w:pPr>
        <w:pStyle w:val="ListBullet"/>
      </w:pPr>
      <w:r>
        <w:t>Before-after and interrupted-time-series associations can be affected by seasonality, campaigns, product changes, staffing, traffic mix, and other simultaneous changes.</w:t>
      </w:r>
    </w:p>
    <w:p>
      <w:pPr>
        <w:pStyle w:val="ListBullet"/>
      </w:pPr>
      <w:r>
        <w:t>The four-month omnibus tests show that months differ, but they do not establish which operational change caused the differences.</w:t>
      </w:r>
    </w:p>
    <w:p>
      <w:pPr>
        <w:pStyle w:val="Heading1"/>
      </w:pPr>
      <w:r>
        <w:t>11. Final Conclusion</w:t>
      </w:r>
    </w:p>
    <w:p>
      <w:r>
        <w:t>Across four months of KULA data, the available evidence does not prove that ALIKA significantly affected KULA. Using the validated earliest observed routing marker on July 31, conversation volume decreased 7.09% per day, good-survey share increased 2.23 percentage points without statistical significance (p=0.1132), and CSAT increased 0.111 with a pooled Welch-test p=0.0384. However, the weekday-adjusted interrupted-time-series model found no significant immediate July 31 change in good-survey rate or CSAT. The June 28 sensitivity analysis shows stronger differences, but June 28 is not validated by routing markers. The appropriate business conclusion is therefore: ALIKA impact remains unproven, and the current data support continued measurement with improved exposure tracking and preferably a comparison channel.</w:t>
      </w:r>
    </w:p>
    <w:p>
      <w:pPr>
        <w:pStyle w:val="Heading1"/>
      </w:pPr>
      <w:r>
        <w:t>Appendix: Reproducibility</w:t>
      </w:r>
    </w:p>
    <w:p>
      <w:r>
        <w:t>Source notebook: notebooks/alika_effect_on_kula.ipynb</w:t>
      </w:r>
    </w:p>
    <w:p>
      <w:r>
        <w:t>Source data: dataset_wellbore/</w:t>
      </w:r>
    </w:p>
    <w:p>
      <w:r>
        <w:t>All calculations and figures in this report were derived from the executed four-month notebook analysis.</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ALIKA-KULA Impact Research Report | Version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