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0EC9E" w14:textId="77777777" w:rsidR="00657F16" w:rsidRPr="004E357F" w:rsidRDefault="00657F16" w:rsidP="00657F16">
      <w:pPr>
        <w:spacing w:after="0" w:line="240" w:lineRule="auto"/>
        <w:jc w:val="center"/>
        <w:rPr>
          <w:rFonts w:ascii="Times New Roman" w:eastAsia="Times New Roman" w:hAnsi="Times New Roman" w:cs="Times New Roman"/>
          <w:b/>
          <w:bCs/>
          <w:sz w:val="24"/>
          <w:szCs w:val="24"/>
          <w:lang w:val="es-ES_tradnl" w:eastAsia="es-ES"/>
        </w:rPr>
      </w:pPr>
      <w:r w:rsidRPr="004E357F">
        <w:rPr>
          <w:rFonts w:ascii="Times New Roman" w:eastAsia="Times New Roman" w:hAnsi="Times New Roman" w:cs="Times New Roman"/>
          <w:b/>
          <w:bCs/>
          <w:sz w:val="24"/>
          <w:szCs w:val="24"/>
          <w:lang w:val="es-ES_tradnl" w:eastAsia="es-ES"/>
        </w:rPr>
        <w:t xml:space="preserve">UNIVERSIDAD ADOLFO IBÁÑEZ – ESCUELA DE NEGOCIOS </w:t>
      </w:r>
    </w:p>
    <w:p w14:paraId="55323141" w14:textId="77777777" w:rsidR="00657F16" w:rsidRPr="00A423C2" w:rsidRDefault="00657F16" w:rsidP="00657F16">
      <w:pPr>
        <w:spacing w:after="0" w:line="240" w:lineRule="auto"/>
        <w:jc w:val="center"/>
        <w:rPr>
          <w:rFonts w:ascii="Times New Roman" w:eastAsia="Times New Roman" w:hAnsi="Times New Roman" w:cs="Times New Roman"/>
          <w:lang w:eastAsia="es-ES"/>
        </w:rPr>
      </w:pPr>
      <w:r w:rsidRPr="004E357F">
        <w:rPr>
          <w:rFonts w:ascii="Times New Roman" w:eastAsia="Times New Roman" w:hAnsi="Times New Roman" w:cs="Times New Roman"/>
          <w:b/>
          <w:bCs/>
          <w:sz w:val="24"/>
          <w:szCs w:val="24"/>
          <w:lang w:val="es-ES_tradnl" w:eastAsia="es-ES"/>
        </w:rPr>
        <w:t>Magíster en Finanzas</w:t>
      </w:r>
      <w:r>
        <w:rPr>
          <w:rFonts w:ascii="Times New Roman" w:eastAsia="Times New Roman" w:hAnsi="Times New Roman" w:cs="Times New Roman"/>
          <w:b/>
          <w:bCs/>
          <w:sz w:val="24"/>
          <w:szCs w:val="24"/>
          <w:lang w:val="es-ES_tradnl" w:eastAsia="es-ES"/>
        </w:rPr>
        <w:t>-Mención Cuantitativa</w:t>
      </w:r>
    </w:p>
    <w:p w14:paraId="48D4E51B" w14:textId="77777777" w:rsidR="00657F16" w:rsidRPr="00621EAD" w:rsidRDefault="00657F16" w:rsidP="00657F16">
      <w:pPr>
        <w:pStyle w:val="NormalWeb"/>
        <w:spacing w:after="0" w:afterAutospacing="0"/>
        <w:jc w:val="center"/>
        <w:rPr>
          <w:sz w:val="28"/>
          <w:szCs w:val="28"/>
        </w:rPr>
      </w:pPr>
      <w:r w:rsidRPr="00F05744">
        <w:rPr>
          <w:b/>
          <w:bCs/>
          <w:lang w:val="es-ES_tradnl" w:eastAsia="es-ES"/>
        </w:rPr>
        <w:t>Actividad de Graduación</w:t>
      </w:r>
    </w:p>
    <w:p w14:paraId="4679C705" w14:textId="77777777" w:rsidR="00657F16" w:rsidRDefault="00657F16" w:rsidP="00657F16">
      <w:pPr>
        <w:rPr>
          <w:sz w:val="28"/>
          <w:szCs w:val="28"/>
        </w:rPr>
      </w:pPr>
    </w:p>
    <w:p w14:paraId="512FF972" w14:textId="4344EE61" w:rsidR="00291EA6" w:rsidRPr="00657F16" w:rsidRDefault="009A260B" w:rsidP="009A260B">
      <w:pPr>
        <w:ind w:left="-426"/>
        <w:jc w:val="center"/>
        <w:rPr>
          <w:rFonts w:ascii="Times New Roman" w:eastAsia="Times New Roman" w:hAnsi="Times New Roman" w:cs="Times New Roman"/>
          <w:b/>
          <w:bCs/>
          <w:sz w:val="24"/>
          <w:szCs w:val="24"/>
          <w:lang w:val="es-ES_tradnl" w:eastAsia="es-ES"/>
        </w:rPr>
      </w:pPr>
      <w:r w:rsidRPr="00657F16">
        <w:rPr>
          <w:rFonts w:ascii="Times New Roman" w:eastAsia="Times New Roman" w:hAnsi="Times New Roman" w:cs="Times New Roman"/>
          <w:b/>
          <w:bCs/>
          <w:sz w:val="24"/>
          <w:szCs w:val="24"/>
          <w:lang w:val="es-ES_tradnl" w:eastAsia="es-ES"/>
        </w:rPr>
        <w:t>PROPUESTA</w:t>
      </w:r>
      <w:r w:rsidR="00291EA6" w:rsidRPr="00657F16">
        <w:rPr>
          <w:rFonts w:ascii="Times New Roman" w:eastAsia="Times New Roman" w:hAnsi="Times New Roman" w:cs="Times New Roman"/>
          <w:b/>
          <w:bCs/>
          <w:sz w:val="24"/>
          <w:szCs w:val="24"/>
          <w:lang w:val="es-ES_tradnl" w:eastAsia="es-ES"/>
        </w:rPr>
        <w:t xml:space="preserve"> DE </w:t>
      </w:r>
      <w:r w:rsidR="00814AEC" w:rsidRPr="00657F16">
        <w:rPr>
          <w:rFonts w:ascii="Times New Roman" w:eastAsia="Times New Roman" w:hAnsi="Times New Roman" w:cs="Times New Roman"/>
          <w:b/>
          <w:bCs/>
          <w:sz w:val="24"/>
          <w:szCs w:val="24"/>
          <w:lang w:val="es-ES_tradnl" w:eastAsia="es-ES"/>
        </w:rPr>
        <w:t>PROYECTO</w:t>
      </w:r>
    </w:p>
    <w:p>
      <w:pPr>
        <w:jc w:val="both"/>
      </w:pPr>
      <w:r>
        <w:rPr>
          <w:rFonts w:ascii="Times New Roman" w:hAnsi="Times New Roman" w:cs="Times New Roman"/>
          <w:b/>
          <w:sz w:val="24"/>
          <w:szCs w:val="24"/>
          <w:lang w:val="es-CL"/>
        </w:rPr>
        <w:t xml:space="preserve">Integrantes del Grupo:</w:t>
      </w:r>
      <w:r>
        <w:rPr>
          <w:rFonts w:ascii="Times New Roman" w:hAnsi="Times New Roman" w:cs="Times New Roman"/>
          <w:sz w:val="24"/>
          <w:szCs w:val="24"/>
          <w:lang w:val="es-CL"/>
        </w:rPr>
        <w:t xml:space="preserve"> Joshua Barrientos, Joel Vásquez, José Ignacio Moreno, Francisco Piñeda y Santiago López</w:t>
      </w:r>
    </w:p>
    <w:p>
      <w:pPr>
        <w:jc w:val="both"/>
      </w:pPr>
      <w:r>
        <w:rPr>
          <w:rFonts w:ascii="Times New Roman" w:hAnsi="Times New Roman" w:cs="Times New Roman"/>
          <w:b/>
          <w:sz w:val="24"/>
          <w:szCs w:val="24"/>
          <w:lang w:val="es-CL"/>
        </w:rPr>
        <w:t xml:space="preserve">Título (preliminar) del Proyecto:</w:t>
      </w:r>
      <w:r>
        <w:rPr>
          <w:rFonts w:ascii="Times New Roman" w:hAnsi="Times New Roman" w:cs="Times New Roman"/>
          <w:sz w:val="24"/>
          <w:szCs w:val="24"/>
          <w:lang w:val="es-CL"/>
        </w:rPr>
        <w:t xml:space="preserve"> Cascada de stops o presión de liquidez: qué ocurre tras las rupturas de rangos intradía en EUR/USD</w:t>
      </w:r>
    </w:p>
    <w:p/>
    <w:p w14:paraId="03964514" w14:textId="6F4B349F" w:rsidR="00291EA6" w:rsidRDefault="009A260B" w:rsidP="00EC2A60">
      <w:pPr>
        <w:jc w:val="both"/>
      </w:pPr>
      <w:r>
        <w:t>Contexto y o</w:t>
      </w:r>
      <w:r w:rsidR="00EC2A60">
        <w:t xml:space="preserve">bjetivo: </w:t>
      </w:r>
      <w:proofErr w:type="spellStart"/>
      <w:r>
        <w:t>Decriba</w:t>
      </w:r>
      <w:proofErr w:type="spellEnd"/>
      <w:r>
        <w:t xml:space="preserve"> el problema a abordar y su contribución para resolverlo. Incluya los objetivos</w:t>
      </w:r>
      <w:r w:rsidR="00814AEC">
        <w:t xml:space="preserve"> u hipótesis a cumplir</w:t>
      </w:r>
      <w:r w:rsidR="00EC2A60">
        <w:t>.</w:t>
      </w:r>
      <w:r w:rsidR="00814AEC">
        <w:t xml:space="preserve"> Incluya referencias bibliográficas</w:t>
      </w:r>
      <w:r w:rsidR="00657F16">
        <w:rPr>
          <w:rStyle w:val="Refdenotaalpie"/>
        </w:rPr>
        <w:footnoteReference w:id="1"/>
      </w:r>
      <w:r w:rsidR="00587DA4">
        <w:t xml:space="preserve"> </w:t>
      </w:r>
      <w:r w:rsidR="00814AEC">
        <w:t>relacionadas con la descripción del problema o que contengan información relevante.</w:t>
      </w:r>
      <w:r w:rsidR="00EC2A60">
        <w:t xml:space="preserve"> </w:t>
      </w:r>
      <w:r w:rsidR="00291EA6" w:rsidRPr="00291EA6">
        <w:rPr>
          <w:i/>
          <w:color w:val="767171" w:themeColor="background2" w:themeShade="80"/>
        </w:rPr>
        <w:t>(</w:t>
      </w:r>
      <w:r w:rsidR="00EC2A60" w:rsidRPr="00291EA6">
        <w:rPr>
          <w:i/>
          <w:color w:val="767171" w:themeColor="background2" w:themeShade="80"/>
        </w:rPr>
        <w:t>máx.</w:t>
      </w:r>
      <w:r w:rsidR="00291EA6" w:rsidRPr="00291EA6">
        <w:rPr>
          <w:i/>
          <w:color w:val="767171" w:themeColor="background2" w:themeShade="80"/>
        </w:rPr>
        <w:t xml:space="preserve"> </w:t>
      </w:r>
      <w:r w:rsidR="00231CFA">
        <w:rPr>
          <w:i/>
          <w:color w:val="767171" w:themeColor="background2" w:themeShade="80"/>
        </w:rPr>
        <w:t>750</w:t>
      </w:r>
      <w:r w:rsidR="00EC2A60">
        <w:rPr>
          <w:i/>
          <w:color w:val="767171" w:themeColor="background2" w:themeShade="80"/>
        </w:rPr>
        <w:t xml:space="preserve"> </w:t>
      </w:r>
      <w:r w:rsidR="00291EA6" w:rsidRPr="00291EA6">
        <w:rPr>
          <w:i/>
          <w:color w:val="767171" w:themeColor="background2" w:themeShade="80"/>
        </w:rPr>
        <w:t>palabras)</w:t>
      </w:r>
    </w:p>
    <w:p>
      <w:pPr>
        <w:jc w:val="both"/>
      </w:pPr>
      <w:r>
        <w:rPr>
          <w:rFonts w:ascii="Times New Roman" w:hAnsi="Times New Roman" w:cs="Times New Roman"/>
          <w:sz w:val="24"/>
          <w:szCs w:val="24"/>
          <w:lang w:val="es-CL"/>
        </w:rPr>
        <w:t xml:space="preserve">Entre los operadores intradía circula una idea muy difundida: el precio rompe el extremo de un rango previo, activa las órdenes stop acumuladas detrás de ese nivel y enseguida se devuelve. Se la conoce como «barrido de liquidez» o modelo acumulación–manipulación–distribución, y se enseña masivamente, pero no tiene respaldo en literatura revisada por pares ni definiciones que permitan contrastarla. El proyecto no busca validarla: la traduce a reglas observables y la enfrenta a dos predicciones rivales ya establecidas en microestructura.</w:t>
      </w:r>
    </w:p>
    <w:p>
      <w:pPr>
        <w:jc w:val="both"/>
      </w:pPr>
      <w:r>
        <w:rPr>
          <w:rFonts w:ascii="Times New Roman" w:hAnsi="Times New Roman" w:cs="Times New Roman"/>
          <w:sz w:val="24"/>
          <w:szCs w:val="24"/>
          <w:lang w:val="es-CL"/>
        </w:rPr>
        <w:t xml:space="preserve">La primera es de continuación. Osler (2003, 2005), con órdenes efectivamente cursadas en un banco internacional —entre ellas en euro-dólar—, documenta que las órdenes stop-loss se agrupan justo más allá de los números redondos y que, al ser alcanzadas, el precio se acelera en cascada. Kavajecz y Odders-White (2004) muestran que los niveles de soporte y resistencia coinciden con acumulaciones de profundidad. Si el barrido encadena stops, lo esperable es que el movimiento continúe.</w:t>
      </w:r>
    </w:p>
    <w:p>
      <w:pPr>
        <w:jc w:val="both"/>
      </w:pPr>
      <w:r>
        <w:rPr>
          <w:rFonts w:ascii="Times New Roman" w:hAnsi="Times New Roman" w:cs="Times New Roman"/>
          <w:sz w:val="24"/>
          <w:szCs w:val="24"/>
          <w:lang w:val="es-CL"/>
        </w:rPr>
        <w:t xml:space="preserve">La segunda es de reversión y proviene de la teoría de provisión de liquidez. Grossman y Miller (1988) modelan el precio de la inmediatez; Campbell, Grossman y Wang (1993) muestran que los movimientos con alto volumen y sin contenido informativo tienden a revertirse, porque remuneran al proveedor de liquidez; Nagel (2012) interpreta el retorno de las reversiones de corto plazo como ese pago. Una orden stop es forzada y no informada: el precio debería volver dentro del rango. La heurística apuesta, sin explicitarlo, a este mecanismo.</w:t>
      </w:r>
    </w:p>
    <w:p>
      <w:pPr>
        <w:jc w:val="both"/>
      </w:pPr>
      <w:r>
        <w:rPr>
          <w:rFonts w:ascii="Times New Roman" w:hAnsi="Times New Roman" w:cs="Times New Roman"/>
          <w:sz w:val="24"/>
          <w:szCs w:val="24"/>
          <w:lang w:val="es-CL"/>
        </w:rPr>
        <w:t xml:space="preserve">Falta el reloj. La estacionalidad intradía de volatilidad y actividad está documentada desde Andersen y Bollerslev (1997, 1998) y, en divisas, por Ito y Hashimoto (2006); Breedon y Ranaldo (2013) reportan además efectos de hora del día sobre los retornos. De ahí una exigencia: cada franja debe compararse consigo misma en otros días, porque una franja comprimida seguida de una expansiva puede ser sólo el patrón normal de la jornada. Las sorpresas macroeconómicas, a su vez, producen saltos inmediatos del tipo de cambio (Andersen, Bollerslev, Diebold y Vega, 2003), de modo que las rupturas con y sin anuncios no deberían comportarse igual.</w:t>
      </w:r>
    </w:p>
    <w:p>
      <w:pPr>
        <w:jc w:val="both"/>
      </w:pPr>
      <w:r>
        <w:rPr>
          <w:rFonts w:ascii="Times New Roman" w:hAnsi="Times New Roman" w:cs="Times New Roman"/>
          <w:sz w:val="24"/>
          <w:szCs w:val="24"/>
          <w:lang w:val="es-CL"/>
        </w:rPr>
        <w:t xml:space="preserve">El mercado es el EUR/USD, el par más transado del mundo, con el Reino Unido concentrando el 38% del volumen global (BIS, 2025). La evidencia fundacional sobre stops proviene de órdenes en este mismo par, la estructura de sesiones es propia de las divisas y existen cerca de veinte años de datos intradía, lo que permite reservar años sin analizar. El mercado impone cautela: las ganancias de las reglas técnicas clásicas se desvanecieron (Neely, Weller y Ulrich, 2009) y el trading algorítmico redujo la autocorrelación de los retornos (Chaboud, Chiquoine, Hjalmarsson y Vega, 2014).</w:t>
      </w:r>
    </w:p>
    <w:p>
      <w:pPr>
        <w:jc w:val="both"/>
      </w:pPr>
      <w:r>
        <w:rPr>
          <w:rFonts w:ascii="Times New Roman" w:hAnsi="Times New Roman" w:cs="Times New Roman"/>
          <w:sz w:val="24"/>
          <w:szCs w:val="24"/>
          <w:lang w:val="es-CL"/>
        </w:rPr>
        <w:t xml:space="preserve">La contribución es triple. Metodológica: convertir una heurística de uso masivo en definiciones observables y probarla, en la tradición de Brock, Lakonishok y LeBaron (1992) y de Lo, Mamaysky y Wang (2000); su uso extendido entre profesionales justifica estudiarla (Menkhoff y Taylor, 2007). Empírica: contrastar dos mecanismos rivales con veinte años de datos, frente a los ocho meses de órdenes de un banco del trabajo seminal. De protocolo: pre-registro con fecha verificable, un tramo sellado que se abre una sola vez y corrección por pruebas múltiples, como reclama Harvey (2017). Un antecedente propio lo explica: una versión anterior en criptomonedas resultó atractiva hasta que una auditoría reveló que dos fugas de información futura explicaban el 89% del desempeño.</w:t>
      </w:r>
    </w:p>
    <w:p>
      <w:pPr>
        <w:jc w:val="both"/>
      </w:pPr>
      <w:r>
        <w:rPr>
          <w:rFonts w:ascii="Times New Roman" w:hAnsi="Times New Roman" w:cs="Times New Roman"/>
          <w:b/>
          <w:sz w:val="24"/>
          <w:szCs w:val="24"/>
          <w:lang w:val="es-CL"/>
        </w:rPr>
        <w:t xml:space="preserve">Objetivo general.</w:t>
      </w:r>
      <w:r>
        <w:rPr>
          <w:rFonts w:ascii="Times New Roman" w:hAnsi="Times New Roman" w:cs="Times New Roman"/>
          <w:sz w:val="24"/>
          <w:szCs w:val="24"/>
          <w:lang w:val="es-CL"/>
        </w:rPr>
        <w:t xml:space="preserve"> Determinar si, tras la ruptura del extremo del rango de la franja horaria previa en EUR/USD, el precio muestra continuación o reversión, establecer de qué condiciones depende y evaluar si ese comportamiento sobrevive a los costos de ejecución.</w:t>
      </w:r>
    </w:p>
    <w:p>
      <w:pPr>
        <w:jc w:val="both"/>
      </w:pPr>
      <w:r>
        <w:rPr>
          <w:rFonts w:ascii="Times New Roman" w:hAnsi="Times New Roman" w:cs="Times New Roman"/>
          <w:b/>
          <w:sz w:val="24"/>
          <w:szCs w:val="24"/>
          <w:lang w:val="es-CL"/>
        </w:rPr>
        <w:t xml:space="preserve">Objetivos específicos.</w:t>
      </w:r>
      <w:r>
        <w:rPr>
          <w:rFonts w:ascii="Times New Roman" w:hAnsi="Times New Roman" w:cs="Times New Roman"/>
          <w:sz w:val="24"/>
          <w:szCs w:val="24"/>
          <w:lang w:val="es-CL"/>
        </w:rPr>
        <w:t xml:space="preserve"> (1) Caracterizar el patrón horario del par y validar los datos contra una segunda fuente. (2) Medir, con un estudio de eventos, el retorno posterior a rupturas con y sin reingreso, a varios horizontes, contra una nula emparejada. (3) Evaluar los moderadores: números redondos, extremos del día previo, compresión previa y anuncios macroeconómicos. (4) Estimar el costo de equilibrio y, sólo si el efecto lo supera, evaluar una regla simple con deflación por ensayos. (5) Confirmar los resultados en un tramo sellado.</w:t>
      </w:r>
    </w:p>
    <w:p>
      <w:pPr>
        <w:jc w:val="both"/>
      </w:pPr>
      <w:r>
        <w:rPr>
          <w:rFonts w:ascii="Times New Roman" w:hAnsi="Times New Roman" w:cs="Times New Roman"/>
          <w:b/>
          <w:sz w:val="24"/>
          <w:szCs w:val="24"/>
          <w:lang w:val="es-CL"/>
        </w:rPr>
        <w:t xml:space="preserve">Hipótesis.</w:t>
      </w:r>
      <w:r>
        <w:rPr>
          <w:rFonts w:ascii="Times New Roman" w:hAnsi="Times New Roman" w:cs="Times New Roman"/>
          <w:sz w:val="24"/>
          <w:szCs w:val="24"/>
          <w:lang w:val="es-CL"/>
        </w:rPr>
        <w:t xml:space="preserve"> H1, continuación: tras una ruptura sin reingreso el retorno posterior tiene el signo de la ruptura. H2, reversión: con reingreso, tiene signo contrario. H3, moderadores: ambos efectos se intensifican donde se espera acumulación de órdenes. H4, información: con anuncios domina la continuación y sin ellos la reversión. H5, explotabilidad: la regla derivada mantiene resultado neto positivo tras costos en el tramo sellado, con Deflated Sharpe superior a 0,95.</w:t>
      </w:r>
    </w:p>
    <w:p/>
    <w:p w14:paraId="2F5E7DCD" w14:textId="31ABBEFF" w:rsidR="00291EA6" w:rsidRDefault="00291EA6" w:rsidP="00EC2A60">
      <w:pPr>
        <w:jc w:val="both"/>
      </w:pPr>
      <w:r>
        <w:t>Metodología: Explicar los modelos, proceso y/o herramientas a utilizar para cumplir con los objetivos</w:t>
      </w:r>
      <w:r w:rsidR="009A260B">
        <w:t xml:space="preserve">. Recuerde que para el programa es necesario que su metodología incluya técnicas relacionadas de </w:t>
      </w:r>
      <w:r w:rsidR="00814AEC">
        <w:t>finanzas cuantitativas</w:t>
      </w:r>
      <w:r w:rsidR="00A67B90">
        <w:t>.</w:t>
      </w:r>
      <w:r w:rsidR="00814AEC">
        <w:t xml:space="preserve"> Incluya referencias bibliográficas que sustenten la elección de su metodología </w:t>
      </w:r>
      <w:r w:rsidRPr="00291EA6">
        <w:rPr>
          <w:i/>
          <w:color w:val="767171" w:themeColor="background2" w:themeShade="80"/>
        </w:rPr>
        <w:t>(</w:t>
      </w:r>
      <w:r w:rsidR="00EC2A60" w:rsidRPr="00291EA6">
        <w:rPr>
          <w:i/>
          <w:color w:val="767171" w:themeColor="background2" w:themeShade="80"/>
        </w:rPr>
        <w:t>máx.</w:t>
      </w:r>
      <w:r w:rsidRPr="00291EA6">
        <w:rPr>
          <w:i/>
          <w:color w:val="767171" w:themeColor="background2" w:themeShade="80"/>
        </w:rPr>
        <w:t xml:space="preserve"> </w:t>
      </w:r>
      <w:r w:rsidR="00231CFA">
        <w:rPr>
          <w:i/>
          <w:color w:val="767171" w:themeColor="background2" w:themeShade="80"/>
        </w:rPr>
        <w:t>750</w:t>
      </w:r>
      <w:r>
        <w:rPr>
          <w:i/>
          <w:color w:val="767171" w:themeColor="background2" w:themeShade="80"/>
        </w:rPr>
        <w:t xml:space="preserve"> </w:t>
      </w:r>
      <w:r w:rsidRPr="00291EA6">
        <w:rPr>
          <w:i/>
          <w:color w:val="767171" w:themeColor="background2" w:themeShade="80"/>
        </w:rPr>
        <w:t>palabras)</w:t>
      </w:r>
    </w:p>
    <w:p>
      <w:pPr>
        <w:jc w:val="both"/>
      </w:pPr>
      <w:r>
        <w:rPr>
          <w:rFonts w:ascii="Times New Roman" w:hAnsi="Times New Roman" w:cs="Times New Roman"/>
          <w:b/>
          <w:sz w:val="24"/>
          <w:szCs w:val="24"/>
          <w:lang w:val="es-CL"/>
        </w:rPr>
        <w:t xml:space="preserve">Datos.</w:t>
      </w:r>
      <w:r>
        <w:rPr>
          <w:rFonts w:ascii="Times New Roman" w:hAnsi="Times New Roman" w:cs="Times New Roman"/>
          <w:sz w:val="24"/>
          <w:szCs w:val="24"/>
          <w:lang w:val="es-CL"/>
        </w:rPr>
        <w:t xml:space="preserve"> Velas de un minuto de EUR/USD con precios bid y ask de Dukascopy, desde el inicio disponible del par hasta agosto de 2026. HistData se emplea como segunda fuente de control. Como el mercado de divisas es descentralizado, los extremos de cada franja dependen del proveedor: por eso todo el análisis se ejecuta en ambas fuentes y la coincidencia de las rupturas detectadas se reporta como prueba de robustez. El control de calidad cubre huecos, apertura dominical, cambios de horario de verano y comportamiento del spread en el cierre de Nueva York. Los anuncios macroeconómicos se toman de calendarios oficiales de la Reserva Federal, la Oficina de Estadísticas Laborales y el Banco Central Europeo.</w:t>
      </w:r>
    </w:p>
    <w:p>
      <w:pPr>
        <w:jc w:val="both"/>
      </w:pPr>
      <w:r>
        <w:rPr>
          <w:rFonts w:ascii="Times New Roman" w:hAnsi="Times New Roman" w:cs="Times New Roman"/>
          <w:b/>
          <w:sz w:val="24"/>
          <w:szCs w:val="24"/>
          <w:lang w:val="es-CL"/>
        </w:rPr>
        <w:t xml:space="preserve">Definiciones operativas.</w:t>
      </w:r>
      <w:r>
        <w:rPr>
          <w:rFonts w:ascii="Times New Roman" w:hAnsi="Times New Roman" w:cs="Times New Roman"/>
          <w:sz w:val="24"/>
          <w:szCs w:val="24"/>
          <w:lang w:val="es-CL"/>
        </w:rPr>
        <w:t xml:space="preserve"> El día se divide en cuatro franjas de seis horas en hora de Londres, plaza que concentra el mayor volumen (BIS, 2025), de modo que el horario de verano queda incorporado; la partición fija en UTC se conserva como prueba de robustez. Para cada franja se registra el rango de la franja anterior. Hay ruptura cuando el precio medio supera ese extremo por un umbral fijado a priori, y reingreso cuando vuelve a cruzarlo hacia adentro. La compresión previa se mide comparando el rango de la franja con el de esa misma franja en los veinte días hábiles anteriores, procedimiento que descuenta la periodicidad intradía (Andersen y Bollerslev, 1997). La variable dependiente es el retorno desde el evento a treinta minutos, una hora, dos horas y cierre de franja, normalizado por la volatilidad típica de esa franja.</w:t>
      </w:r>
    </w:p>
    <w:p>
      <w:pPr>
        <w:jc w:val="both"/>
      </w:pPr>
      <w:r>
        <w:rPr>
          <w:rFonts w:ascii="Times New Roman" w:hAnsi="Times New Roman" w:cs="Times New Roman"/>
          <w:b/>
          <w:sz w:val="24"/>
          <w:szCs w:val="24"/>
          <w:lang w:val="es-CL"/>
        </w:rPr>
        <w:t xml:space="preserve">Estudio de eventos e inferencia.</w:t>
      </w:r>
      <w:r>
        <w:rPr>
          <w:rFonts w:ascii="Times New Roman" w:hAnsi="Times New Roman" w:cs="Times New Roman"/>
          <w:sz w:val="24"/>
          <w:szCs w:val="24"/>
          <w:lang w:val="es-CL"/>
        </w:rPr>
        <w:t xml:space="preserve"> El contraste central sigue el esquema estándar de estudio de eventos (MacKinlay, 1997). Cada evento se compara con una hipótesis nula emparejada: instantes aleatorios de la misma franja, el mismo día de la semana y un decil de volatilidad equivalente, con p-valores obtenidos por remuestreo, en la línea de Brock, Lakonishok y LeBaron (1992). En paralelo se estima una regresión del retorno sobre indicadores de reingreso, cercanía a números redondos, compresión y anuncios, con controles de franja, día y año, y errores estándar robustos a heterocedasticidad y autocorrelación (Newey y West, 1987). La familia completa de contrastes —horizontes, tipos de evento y condiciones— se declara antes de estimar y se corrige por multiplicidad (White, 2000; Romano y Wolf, 2005). Dado el elevado número de eventos, se exige además relevancia económica: el efecto debe superar el costo de ida y vuelta medido con el bid/ask observado.</w:t>
      </w:r>
    </w:p>
    <w:p>
      <w:pPr>
        <w:jc w:val="both"/>
      </w:pPr>
      <w:r>
        <w:rPr>
          <w:rFonts w:ascii="Times New Roman" w:hAnsi="Times New Roman" w:cs="Times New Roman"/>
          <w:b/>
          <w:sz w:val="24"/>
          <w:szCs w:val="24"/>
          <w:lang w:val="es-CL"/>
        </w:rPr>
        <w:t xml:space="preserve">Evaluación como estrategia.</w:t>
      </w:r>
      <w:r>
        <w:rPr>
          <w:rFonts w:ascii="Times New Roman" w:hAnsi="Times New Roman" w:cs="Times New Roman"/>
          <w:sz w:val="24"/>
          <w:szCs w:val="24"/>
          <w:lang w:val="es-CL"/>
        </w:rPr>
        <w:t xml:space="preserve"> Sólo si el efecto supera ese umbral se construye una regla de operación con el mínimo de parámetros: entrada en el evento y salida por horizonte fijo o en el extremo barrido. La ejecución se simula con el spread observado, comisión de intermediación y una vela de latencia, y se reporta la sensibilidad al costo por lado. El desempeño se resume con retorno por unidad de riesgo, ratio de Sharpe con intervalo de confianza (Lo, 2002) y contraste robusto frente a comprar y mantener (Ledoit y Wolf, 2008). La búsqueda se penaliza con el Deflated Sharpe Ratio y la probabilidad de sobreajuste (Bailey y López de Prado, 2014; Bailey et al., 2017), con walk-forward purgado (López de Prado, 2018) y remuestreo por bloques.</w:t>
      </w:r>
    </w:p>
    <w:p>
      <w:pPr>
        <w:jc w:val="both"/>
      </w:pPr>
      <w:r>
        <w:rPr>
          <w:rFonts w:ascii="Times New Roman" w:hAnsi="Times New Roman" w:cs="Times New Roman"/>
          <w:b/>
          <w:sz w:val="24"/>
          <w:szCs w:val="24"/>
          <w:lang w:val="es-CL"/>
        </w:rPr>
        <w:t xml:space="preserve">Protocolo contra el autoengaño.</w:t>
      </w:r>
      <w:r>
        <w:rPr>
          <w:rFonts w:ascii="Times New Roman" w:hAnsi="Times New Roman" w:cs="Times New Roman"/>
          <w:sz w:val="24"/>
          <w:szCs w:val="24"/>
          <w:lang w:val="es-CL"/>
        </w:rPr>
        <w:t xml:space="preserve"> Toda decisión emplea únicamente barras cerradas antes del instante de decisión, y la ausencia de sesgo de anticipación se verifica truncando la muestra en fechas y horas aleatorias y exigiendo señales idénticas. La muestra se divide en desarrollo, hasta 2016; validación, entre 2017 y 2020; y un tramo sellado, desde 2021, que no se descarga hasta la etapa final y se analiza una sola vez. Antes de descargar cualquier dato se registra, con fecha verificable, la pregunta, las definiciones, los contrastes, los cortes y los criterios de éxito (Nosek, Ebersole, DeHaven y Mellor, 2018), junto con un cálculo previo de potencia que fija el tamaño de efecto detectable (Bailey y López de Prado, 2012). Cada configuración probada se contabiliza y el Deflated Sharpe deflacta por ese número.</w:t>
      </w:r>
    </w:p>
    <w:p>
      <w:pPr>
        <w:jc w:val="both"/>
      </w:pPr>
      <w:r>
        <w:rPr>
          <w:rFonts w:ascii="Times New Roman" w:hAnsi="Times New Roman" w:cs="Times New Roman"/>
          <w:b/>
          <w:sz w:val="24"/>
          <w:szCs w:val="24"/>
          <w:lang w:val="es-CL"/>
        </w:rPr>
        <w:t xml:space="preserve">Robustez y herramientas.</w:t>
      </w:r>
      <w:r>
        <w:rPr>
          <w:rFonts w:ascii="Times New Roman" w:hAnsi="Times New Roman" w:cs="Times New Roman"/>
          <w:sz w:val="24"/>
          <w:szCs w:val="24"/>
          <w:lang w:val="es-CL"/>
        </w:rPr>
        <w:t xml:space="preserve"> Los resultados se replican con la segunda fuente, con la partición fija en UTC, excluyendo días de anuncios y por subperíodos, para contrastar el desgaste asociado al avance del trading algorítmico (Chaboud, Chiquoine, Hjalmarsson y Vega, 2014). El desarrollo se realiza en Python, en módulos versionados y cuadernos reproducibles que se entregan con cada informe; el motor causal y la suite de validación ya construidos por el grupo se reutilizan, adaptando la carga de datos y el modelo de costos.</w:t>
      </w:r>
    </w:p>
    <w:p/>
    <w:p w14:paraId="4D93FD2A" w14:textId="77777777" w:rsidR="00291EA6" w:rsidRDefault="00291EA6"/>
    <w:p w14:paraId="41641D88" w14:textId="77777777" w:rsidR="00291EA6" w:rsidRPr="00291EA6" w:rsidRDefault="00291EA6" w:rsidP="00587DA4">
      <w:pPr>
        <w:jc w:val="both"/>
      </w:pPr>
      <w:r w:rsidRPr="00291EA6">
        <w:t>Planificación de trabajo</w:t>
      </w:r>
      <w:r>
        <w:t>: Defina las etapas, fechas y</w:t>
      </w:r>
      <w:r w:rsidRPr="00291EA6">
        <w:t xml:space="preserve"> plazos con los cuales se espera desarrollar la metodología</w:t>
      </w:r>
      <w:r w:rsidR="00EC2A60">
        <w:t xml:space="preserve"> descrita</w:t>
      </w:r>
      <w:r>
        <w:t>. Puede utilizar herramientas gráficas si lo estima conveniente</w:t>
      </w:r>
    </w:p>
    <w:p>
      <w:pPr>
        <w:jc w:val="both"/>
      </w:pPr>
      <w:r>
        <w:rPr>
          <w:rFonts w:ascii="Times New Roman" w:hAnsi="Times New Roman" w:cs="Times New Roman"/>
          <w:b/>
          <w:sz w:val="24"/>
          <w:szCs w:val="24"/>
          <w:lang w:val="es-CL"/>
        </w:rPr>
        <w:t xml:space="preserve">Punto de partida (16 de septiembre de 2026).</w:t>
      </w:r>
      <w:r>
        <w:rPr>
          <w:rFonts w:ascii="Times New Roman" w:hAnsi="Times New Roman" w:cs="Times New Roman"/>
          <w:sz w:val="24"/>
          <w:szCs w:val="24"/>
          <w:lang w:val="es-CL"/>
        </w:rPr>
        <w:t xml:space="preserve"> El grupo cuenta con un motor causal auditado, la suite de validación estadística y la experiencia de una aplicación previa en criptomonedas. Los datos de EUR/USD aún no se han descargado, lo que permite pre-registrar el diseño antes de observar cualquier resultado.</w:t>
      </w:r>
    </w:p>
    <w:p>
      <w:pPr>
        <w:jc w:val="both"/>
      </w:pPr>
      <w:r>
        <w:rPr>
          <w:rFonts w:ascii="Times New Roman" w:hAnsi="Times New Roman" w:cs="Times New Roman"/>
          <w:b/>
          <w:sz w:val="24"/>
          <w:szCs w:val="24"/>
          <w:lang w:val="es-CL"/>
        </w:rPr>
        <w:t xml:space="preserve">16 al 25 de septiembre. Etapa 1.</w:t>
      </w:r>
      <w:r>
        <w:rPr>
          <w:rFonts w:ascii="Times New Roman" w:hAnsi="Times New Roman" w:cs="Times New Roman"/>
          <w:sz w:val="24"/>
          <w:szCs w:val="24"/>
          <w:lang w:val="es-CL"/>
        </w:rPr>
        <w:t xml:space="preserve"> Revisión de la literatura núcleo y redacción del pre-registro: pregunta, definiciones operativas, contrastes, cortes muestrales, criterios de éxito y cálculo de potencia. Registro con fecha verificable antes de descargar datos.</w:t>
      </w:r>
    </w:p>
    <w:p>
      <w:pPr>
        <w:jc w:val="both"/>
      </w:pPr>
      <w:r>
        <w:rPr>
          <w:rFonts w:ascii="Times New Roman" w:hAnsi="Times New Roman" w:cs="Times New Roman"/>
          <w:b/>
          <w:sz w:val="24"/>
          <w:szCs w:val="24"/>
          <w:lang w:val="es-CL"/>
        </w:rPr>
        <w:t xml:space="preserve">21 de septiembre al 1 de octubre. Etapa 2.</w:t>
      </w:r>
      <w:r>
        <w:rPr>
          <w:rFonts w:ascii="Times New Roman" w:hAnsi="Times New Roman" w:cs="Times New Roman"/>
          <w:sz w:val="24"/>
          <w:szCs w:val="24"/>
          <w:lang w:val="es-CL"/>
        </w:rPr>
        <w:t xml:space="preserve"> Descarga de los datos hasta 2020 en ambas fuentes y control de calidad: huecos, apertura dominical, horario de verano, spreads y coincidencia de extremos entre proveedores. Estadística descriptiva del patrón horario, que debe reproducir los hechos ya documentados en la literatura.</w:t>
      </w:r>
    </w:p>
    <w:p>
      <w:pPr>
        <w:jc w:val="both"/>
      </w:pPr>
      <w:r>
        <w:rPr>
          <w:rFonts w:ascii="Times New Roman" w:hAnsi="Times New Roman" w:cs="Times New Roman"/>
          <w:b/>
          <w:sz w:val="24"/>
          <w:szCs w:val="24"/>
          <w:lang w:val="es-CL"/>
        </w:rPr>
        <w:t xml:space="preserve">Entrega N1: viernes 2 de octubre de 2026.</w:t>
      </w:r>
      <w:r>
        <w:rPr>
          <w:rFonts w:ascii="Times New Roman" w:hAnsi="Times New Roman" w:cs="Times New Roman"/>
          <w:sz w:val="24"/>
          <w:szCs w:val="24"/>
          <w:lang w:val="es-CL"/>
        </w:rPr>
        <w:t xml:space="preserve"> Pregunta, marco teórico, hipótesis, pre-registro, datos y control de calidad.</w:t>
      </w:r>
    </w:p>
    <w:p>
      <w:pPr>
        <w:jc w:val="both"/>
      </w:pPr>
      <w:r>
        <w:rPr>
          <w:rFonts w:ascii="Times New Roman" w:hAnsi="Times New Roman" w:cs="Times New Roman"/>
          <w:b/>
          <w:sz w:val="24"/>
          <w:szCs w:val="24"/>
          <w:lang w:val="es-CL"/>
        </w:rPr>
        <w:t xml:space="preserve">5 al 23 de octubre. Etapa 3.</w:t>
      </w:r>
      <w:r>
        <w:rPr>
          <w:rFonts w:ascii="Times New Roman" w:hAnsi="Times New Roman" w:cs="Times New Roman"/>
          <w:sz w:val="24"/>
          <w:szCs w:val="24"/>
          <w:lang w:val="es-CL"/>
        </w:rPr>
        <w:t xml:space="preserve"> Estudio de eventos sobre la muestra de desarrollo y confirmación en la de validación: hipótesis nulas emparejadas, regresiones con controles y corrección por pruebas múltiples. Al cierre de la etapa se decide, con el criterio escrito de antemano, si el efecto supera el costo de ida y vuelta.</w:t>
      </w:r>
    </w:p>
    <w:p>
      <w:pPr>
        <w:jc w:val="both"/>
      </w:pPr>
      <w:r>
        <w:rPr>
          <w:rFonts w:ascii="Times New Roman" w:hAnsi="Times New Roman" w:cs="Times New Roman"/>
          <w:b/>
          <w:sz w:val="24"/>
          <w:szCs w:val="24"/>
          <w:lang w:val="es-CL"/>
        </w:rPr>
        <w:t xml:space="preserve">26 de octubre al 13 de noviembre. Etapa 4.</w:t>
      </w:r>
      <w:r>
        <w:rPr>
          <w:rFonts w:ascii="Times New Roman" w:hAnsi="Times New Roman" w:cs="Times New Roman"/>
          <w:sz w:val="24"/>
          <w:szCs w:val="24"/>
          <w:lang w:val="es-CL"/>
        </w:rPr>
        <w:t xml:space="preserve"> Si el efecto supera el umbral, construcción y evaluación de la regla de operación con costos, latencia, Deflated Sharpe, probabilidad de sobreajuste y walk-forward purgado. Si no lo supera, acotación del tamaño máximo de efecto compatible con los datos y refuerzo de la robustez del resultado nulo.</w:t>
      </w:r>
    </w:p>
    <w:p>
      <w:pPr>
        <w:jc w:val="both"/>
      </w:pPr>
      <w:r>
        <w:rPr>
          <w:rFonts w:ascii="Times New Roman" w:hAnsi="Times New Roman" w:cs="Times New Roman"/>
          <w:b/>
          <w:sz w:val="24"/>
          <w:szCs w:val="24"/>
          <w:lang w:val="es-CL"/>
        </w:rPr>
        <w:t xml:space="preserve">16 al 20 de noviembre. Etapa 5.</w:t>
      </w:r>
      <w:r>
        <w:rPr>
          <w:rFonts w:ascii="Times New Roman" w:hAnsi="Times New Roman" w:cs="Times New Roman"/>
          <w:sz w:val="24"/>
          <w:szCs w:val="24"/>
          <w:lang w:val="es-CL"/>
        </w:rPr>
        <w:t xml:space="preserve"> Descarga y apertura única del tramo sellado, ejecutando exactamente lo pre-registrado. Robustez con la segunda fuente, con la partición en UTC, excluyendo días de anuncios y por subperíodos.</w:t>
      </w:r>
    </w:p>
    <w:p>
      <w:pPr>
        <w:jc w:val="both"/>
      </w:pPr>
      <w:r>
        <w:rPr>
          <w:rFonts w:ascii="Times New Roman" w:hAnsi="Times New Roman" w:cs="Times New Roman"/>
          <w:b/>
          <w:sz w:val="24"/>
          <w:szCs w:val="24"/>
          <w:lang w:val="es-CL"/>
        </w:rPr>
        <w:t xml:space="preserve">23 de noviembre al 3 de diciembre. Etapa 6.</w:t>
      </w:r>
      <w:r>
        <w:rPr>
          <w:rFonts w:ascii="Times New Roman" w:hAnsi="Times New Roman" w:cs="Times New Roman"/>
          <w:sz w:val="24"/>
          <w:szCs w:val="24"/>
          <w:lang w:val="es-CL"/>
        </w:rPr>
        <w:t xml:space="preserve"> Consolidación de resultados, redacción del informe final y entrega del código reproducible.</w:t>
      </w:r>
    </w:p>
    <w:p>
      <w:pPr>
        <w:jc w:val="both"/>
      </w:pPr>
      <w:r>
        <w:rPr>
          <w:rFonts w:ascii="Times New Roman" w:hAnsi="Times New Roman" w:cs="Times New Roman"/>
          <w:b/>
          <w:sz w:val="24"/>
          <w:szCs w:val="24"/>
          <w:lang w:val="es-CL"/>
        </w:rPr>
        <w:t xml:space="preserve">Entrega N2: viernes 4 de diciembre de 2026.</w:t>
      </w:r>
    </w:p>
    <w:p>
      <w:pPr>
        <w:jc w:val="both"/>
      </w:pPr>
      <w:r>
        <w:rPr>
          <w:rFonts w:ascii="Times New Roman" w:hAnsi="Times New Roman" w:cs="Times New Roman"/>
          <w:b/>
          <w:sz w:val="24"/>
          <w:szCs w:val="24"/>
          <w:lang w:val="es-CL"/>
        </w:rPr>
        <w:t xml:space="preserve">Diciembre a enero. Etapa 7.</w:t>
      </w:r>
      <w:r>
        <w:rPr>
          <w:rFonts w:ascii="Times New Roman" w:hAnsi="Times New Roman" w:cs="Times New Roman"/>
          <w:sz w:val="24"/>
          <w:szCs w:val="24"/>
          <w:lang w:val="es-CL"/>
        </w:rPr>
        <w:t xml:space="preserve"> Preparación y ensayo de la defensa ante la comisión (N3). Como anexo opcional, y sólo si el calendario lo permite, se replica el mismo estudio de eventos en futuros perpetuos de bitcoin, con los datos que el grupo ya posee, a modo de comparación entre mercados.</w:t>
      </w:r>
    </w:p>
    <w:p>
      <w:pPr>
        <w:jc w:val="both"/>
      </w:pPr>
      <w:r>
        <w:rPr>
          <w:rFonts w:ascii="Times New Roman" w:hAnsi="Times New Roman" w:cs="Times New Roman"/>
          <w:sz w:val="24"/>
          <w:szCs w:val="24"/>
          <w:lang w:val="es-CL"/>
        </w:rPr>
        <w:t xml:space="preserve">Se mantienen reuniones semanales de seguimiento con el profesor guía, con acta breve de acuerdos. Ante cualquier atraso se recorta en este orden: anexo comparativo en bitcoin, evaluación como estrategia y moderadores secundarios. El núcleo inamovible es el estudio de eventos pre-registrado y la apertura del tramo sellado.</w:t>
      </w:r>
    </w:p>
    <w:p/>
    <w:p w14:paraId="0C638F25" w14:textId="7A8386E6" w:rsidR="00A67B90" w:rsidRDefault="00A170F3" w:rsidP="00587DA4">
      <w:pPr>
        <w:ind w:left="-426" w:firstLine="426"/>
        <w:rPr>
          <w:b/>
          <w:bCs/>
        </w:rPr>
      </w:pPr>
      <w:r>
        <w:rPr>
          <w:b/>
          <w:bCs/>
        </w:rPr>
        <w:t>Bibliografía</w:t>
      </w:r>
    </w:p>
    <w:p>
      <w:pPr>
        <w:ind w:left="567" w:hanging="567"/>
        <w:jc w:val="both"/>
      </w:pPr>
      <w:r>
        <w:rPr>
          <w:rFonts w:ascii="Times New Roman" w:hAnsi="Times New Roman" w:cs="Times New Roman"/>
          <w:sz w:val="24"/>
          <w:szCs w:val="24"/>
          <w:lang w:val="es-CL"/>
        </w:rPr>
        <w:t xml:space="preserve">Andersen, T. G., y Bollerslev, T. (1997). Intraday periodicity and volatility persistence in financial markets. Journal of Empirical Finance, 4(2-3), 115-158.</w:t>
      </w:r>
    </w:p>
    <w:p>
      <w:pPr>
        <w:ind w:left="567" w:hanging="567"/>
        <w:jc w:val="both"/>
      </w:pPr>
      <w:r>
        <w:rPr>
          <w:rFonts w:ascii="Times New Roman" w:hAnsi="Times New Roman" w:cs="Times New Roman"/>
          <w:sz w:val="24"/>
          <w:szCs w:val="24"/>
          <w:lang w:val="es-CL"/>
        </w:rPr>
        <w:t xml:space="preserve">Andersen, T. G., y Bollerslev, T. (1998). Deutsche Mark-Dollar volatility: Intraday activity patterns, macroeconomic announcements, and longer run dependencies. The Journal of Finance, 53(1), 219-265.</w:t>
      </w:r>
    </w:p>
    <w:p>
      <w:pPr>
        <w:ind w:left="567" w:hanging="567"/>
        <w:jc w:val="both"/>
      </w:pPr>
      <w:r>
        <w:rPr>
          <w:rFonts w:ascii="Times New Roman" w:hAnsi="Times New Roman" w:cs="Times New Roman"/>
          <w:sz w:val="24"/>
          <w:szCs w:val="24"/>
          <w:lang w:val="es-CL"/>
        </w:rPr>
        <w:t xml:space="preserve">Andersen, T. G., Bollerslev, T., Diebold, F. X., y Vega, C. (2003). Micro effects of macro announcements: Real-time price discovery in foreign exchange. American Economic Review, 93(1), 38-62.</w:t>
      </w:r>
    </w:p>
    <w:p>
      <w:pPr>
        <w:ind w:left="567" w:hanging="567"/>
        <w:jc w:val="both"/>
      </w:pPr>
      <w:r>
        <w:rPr>
          <w:rFonts w:ascii="Times New Roman" w:hAnsi="Times New Roman" w:cs="Times New Roman"/>
          <w:sz w:val="24"/>
          <w:szCs w:val="24"/>
          <w:lang w:val="es-CL"/>
        </w:rPr>
        <w:t xml:space="preserve">Bailey, D. H., Borwein, J. M., López de Prado, M., y Zhu, Q. J. (2017). The probability of backtest overfitting. Journal of Computational Finance, 20(4), 39-70.</w:t>
      </w:r>
    </w:p>
    <w:p>
      <w:pPr>
        <w:ind w:left="567" w:hanging="567"/>
        <w:jc w:val="both"/>
      </w:pPr>
      <w:r>
        <w:rPr>
          <w:rFonts w:ascii="Times New Roman" w:hAnsi="Times New Roman" w:cs="Times New Roman"/>
          <w:sz w:val="24"/>
          <w:szCs w:val="24"/>
          <w:lang w:val="es-CL"/>
        </w:rPr>
        <w:t xml:space="preserve">Bailey, D. H., y López de Prado, M. (2012). The Sharpe ratio efficient frontier. Journal of Risk, 15(2), 3-44.</w:t>
      </w:r>
    </w:p>
    <w:p>
      <w:pPr>
        <w:ind w:left="567" w:hanging="567"/>
        <w:jc w:val="both"/>
      </w:pPr>
      <w:r>
        <w:rPr>
          <w:rFonts w:ascii="Times New Roman" w:hAnsi="Times New Roman" w:cs="Times New Roman"/>
          <w:sz w:val="24"/>
          <w:szCs w:val="24"/>
          <w:lang w:val="es-CL"/>
        </w:rPr>
        <w:t xml:space="preserve">Bailey, D. H., y López de Prado, M. (2014). The deflated Sharpe ratio: Correcting for selection bias, backtest overfitting, and non-normality. The Journal of Portfolio Management, 40(5), 94-107.</w:t>
      </w:r>
    </w:p>
    <w:p>
      <w:pPr>
        <w:ind w:left="567" w:hanging="567"/>
        <w:jc w:val="both"/>
      </w:pPr>
      <w:r>
        <w:rPr>
          <w:rFonts w:ascii="Times New Roman" w:hAnsi="Times New Roman" w:cs="Times New Roman"/>
          <w:sz w:val="24"/>
          <w:szCs w:val="24"/>
          <w:lang w:val="es-CL"/>
        </w:rPr>
        <w:t xml:space="preserve">Bank for International Settlements (2025). Triennial Central Bank Survey: OTC foreign exchange turnover in April 2025. Basilea: BIS.</w:t>
      </w:r>
    </w:p>
    <w:p>
      <w:pPr>
        <w:ind w:left="567" w:hanging="567"/>
        <w:jc w:val="both"/>
      </w:pPr>
      <w:r>
        <w:rPr>
          <w:rFonts w:ascii="Times New Roman" w:hAnsi="Times New Roman" w:cs="Times New Roman"/>
          <w:sz w:val="24"/>
          <w:szCs w:val="24"/>
          <w:lang w:val="es-CL"/>
        </w:rPr>
        <w:t xml:space="preserve">Breedon, F., y Ranaldo, A. (2013). Intraday patterns in FX returns and order flow. Journal of Money, Credit and Banking, 45(5), 953-965.</w:t>
      </w:r>
    </w:p>
    <w:p>
      <w:pPr>
        <w:ind w:left="567" w:hanging="567"/>
        <w:jc w:val="both"/>
      </w:pPr>
      <w:r>
        <w:rPr>
          <w:rFonts w:ascii="Times New Roman" w:hAnsi="Times New Roman" w:cs="Times New Roman"/>
          <w:sz w:val="24"/>
          <w:szCs w:val="24"/>
          <w:lang w:val="es-CL"/>
        </w:rPr>
        <w:t xml:space="preserve">Brock, W., Lakonishok, J., y LeBaron, B. (1992). Simple technical trading rules and the stochastic properties of stock returns. The Journal of Finance, 47(5), 1731-1764.</w:t>
      </w:r>
    </w:p>
    <w:p>
      <w:pPr>
        <w:ind w:left="567" w:hanging="567"/>
        <w:jc w:val="both"/>
      </w:pPr>
      <w:r>
        <w:rPr>
          <w:rFonts w:ascii="Times New Roman" w:hAnsi="Times New Roman" w:cs="Times New Roman"/>
          <w:sz w:val="24"/>
          <w:szCs w:val="24"/>
          <w:lang w:val="es-CL"/>
        </w:rPr>
        <w:t xml:space="preserve">Campbell, J. Y., Grossman, S. J., y Wang, J. (1993). Trading volume and serial correlation in stock returns. The Quarterly Journal of Economics, 108(4), 905-939.</w:t>
      </w:r>
    </w:p>
    <w:p>
      <w:pPr>
        <w:ind w:left="567" w:hanging="567"/>
        <w:jc w:val="both"/>
      </w:pPr>
      <w:r>
        <w:rPr>
          <w:rFonts w:ascii="Times New Roman" w:hAnsi="Times New Roman" w:cs="Times New Roman"/>
          <w:sz w:val="24"/>
          <w:szCs w:val="24"/>
          <w:lang w:val="es-CL"/>
        </w:rPr>
        <w:t xml:space="preserve">Chaboud, A. P., Chiquoine, B., Hjalmarsson, E., y Vega, C. (2014). Rise of the machines: Algorithmic trading in the foreign exchange market. The Journal of Finance, 69(5), 2045-2084.</w:t>
      </w:r>
    </w:p>
    <w:p>
      <w:pPr>
        <w:ind w:left="567" w:hanging="567"/>
        <w:jc w:val="both"/>
      </w:pPr>
      <w:r>
        <w:rPr>
          <w:rFonts w:ascii="Times New Roman" w:hAnsi="Times New Roman" w:cs="Times New Roman"/>
          <w:sz w:val="24"/>
          <w:szCs w:val="24"/>
          <w:lang w:val="es-CL"/>
        </w:rPr>
        <w:t xml:space="preserve">Grossman, S. J., y Miller, M. H. (1988). Liquidity and market structure. The Journal of Finance, 43(3), 617-633.</w:t>
      </w:r>
    </w:p>
    <w:p>
      <w:pPr>
        <w:ind w:left="567" w:hanging="567"/>
        <w:jc w:val="both"/>
      </w:pPr>
      <w:r>
        <w:rPr>
          <w:rFonts w:ascii="Times New Roman" w:hAnsi="Times New Roman" w:cs="Times New Roman"/>
          <w:sz w:val="24"/>
          <w:szCs w:val="24"/>
          <w:lang w:val="es-CL"/>
        </w:rPr>
        <w:t xml:space="preserve">Harvey, C. R. (2017). Presidential address: The scientific outlook in financial economics. The Journal of Finance, 72(4), 1399-1440.</w:t>
      </w:r>
    </w:p>
    <w:p>
      <w:pPr>
        <w:ind w:left="567" w:hanging="567"/>
        <w:jc w:val="both"/>
      </w:pPr>
      <w:r>
        <w:rPr>
          <w:rFonts w:ascii="Times New Roman" w:hAnsi="Times New Roman" w:cs="Times New Roman"/>
          <w:sz w:val="24"/>
          <w:szCs w:val="24"/>
          <w:lang w:val="es-CL"/>
        </w:rPr>
        <w:t xml:space="preserve">Ito, T., y Hashimoto, Y. (2006). Intraday seasonality in activities of the foreign exchange markets: Evidence from the electronic broking system. Journal of the Japanese and International Economies, 20(4), 637-664.</w:t>
      </w:r>
    </w:p>
    <w:p>
      <w:pPr>
        <w:ind w:left="567" w:hanging="567"/>
        <w:jc w:val="both"/>
      </w:pPr>
      <w:r>
        <w:rPr>
          <w:rFonts w:ascii="Times New Roman" w:hAnsi="Times New Roman" w:cs="Times New Roman"/>
          <w:sz w:val="24"/>
          <w:szCs w:val="24"/>
          <w:lang w:val="es-CL"/>
        </w:rPr>
        <w:t xml:space="preserve">Kavajecz, K. A., y Odders-White, E. R. (2004). Technical analysis and liquidity provision. The Review of Financial Studies, 17(4), 1043-1071.</w:t>
      </w:r>
    </w:p>
    <w:p>
      <w:pPr>
        <w:ind w:left="567" w:hanging="567"/>
        <w:jc w:val="both"/>
      </w:pPr>
      <w:r>
        <w:rPr>
          <w:rFonts w:ascii="Times New Roman" w:hAnsi="Times New Roman" w:cs="Times New Roman"/>
          <w:sz w:val="24"/>
          <w:szCs w:val="24"/>
          <w:lang w:val="es-CL"/>
        </w:rPr>
        <w:t xml:space="preserve">Ledoit, O., y Wolf, M. (2008). Robust performance hypothesis testing with the Sharpe ratio. Journal of Empirical Finance, 15(5), 850-859.</w:t>
      </w:r>
    </w:p>
    <w:p>
      <w:pPr>
        <w:ind w:left="567" w:hanging="567"/>
        <w:jc w:val="both"/>
      </w:pPr>
      <w:r>
        <w:rPr>
          <w:rFonts w:ascii="Times New Roman" w:hAnsi="Times New Roman" w:cs="Times New Roman"/>
          <w:sz w:val="24"/>
          <w:szCs w:val="24"/>
          <w:lang w:val="es-CL"/>
        </w:rPr>
        <w:t xml:space="preserve">Lo, A. W. (2002). The statistics of Sharpe ratios. Financial Analysts Journal, 58(4), 36-52.</w:t>
      </w:r>
    </w:p>
    <w:p>
      <w:pPr>
        <w:ind w:left="567" w:hanging="567"/>
        <w:jc w:val="both"/>
      </w:pPr>
      <w:r>
        <w:rPr>
          <w:rFonts w:ascii="Times New Roman" w:hAnsi="Times New Roman" w:cs="Times New Roman"/>
          <w:sz w:val="24"/>
          <w:szCs w:val="24"/>
          <w:lang w:val="es-CL"/>
        </w:rPr>
        <w:t xml:space="preserve">Lo, A. W., Mamaysky, H., y Wang, J. (2000). Foundations of technical analysis: Computational algorithms, statistical inference, and empirical implementation. The Journal of Finance, 55(4), 1705-1765.</w:t>
      </w:r>
    </w:p>
    <w:p>
      <w:pPr>
        <w:ind w:left="567" w:hanging="567"/>
        <w:jc w:val="both"/>
      </w:pPr>
      <w:r>
        <w:rPr>
          <w:rFonts w:ascii="Times New Roman" w:hAnsi="Times New Roman" w:cs="Times New Roman"/>
          <w:sz w:val="24"/>
          <w:szCs w:val="24"/>
          <w:lang w:val="es-CL"/>
        </w:rPr>
        <w:t xml:space="preserve">López de Prado, M. (2018). Advances in financial machine learning. Hoboken, NJ: Wiley.</w:t>
      </w:r>
    </w:p>
    <w:p>
      <w:pPr>
        <w:ind w:left="567" w:hanging="567"/>
        <w:jc w:val="both"/>
      </w:pPr>
      <w:r>
        <w:rPr>
          <w:rFonts w:ascii="Times New Roman" w:hAnsi="Times New Roman" w:cs="Times New Roman"/>
          <w:sz w:val="24"/>
          <w:szCs w:val="24"/>
          <w:lang w:val="es-CL"/>
        </w:rPr>
        <w:t xml:space="preserve">MacKinlay, A. C. (1997). Event studies in economics and finance. Journal of Economic Literature, 35(1), 13-39.</w:t>
      </w:r>
    </w:p>
    <w:p>
      <w:pPr>
        <w:ind w:left="567" w:hanging="567"/>
        <w:jc w:val="both"/>
      </w:pPr>
      <w:r>
        <w:rPr>
          <w:rFonts w:ascii="Times New Roman" w:hAnsi="Times New Roman" w:cs="Times New Roman"/>
          <w:sz w:val="24"/>
          <w:szCs w:val="24"/>
          <w:lang w:val="es-CL"/>
        </w:rPr>
        <w:t xml:space="preserve">Menkhoff, L., y Taylor, M. P. (2007). The obstinate passion of foreign exchange professionals: Technical analysis. Journal of Economic Literature, 45(4), 936-972.</w:t>
      </w:r>
    </w:p>
    <w:p>
      <w:pPr>
        <w:ind w:left="567" w:hanging="567"/>
        <w:jc w:val="both"/>
      </w:pPr>
      <w:r>
        <w:rPr>
          <w:rFonts w:ascii="Times New Roman" w:hAnsi="Times New Roman" w:cs="Times New Roman"/>
          <w:sz w:val="24"/>
          <w:szCs w:val="24"/>
          <w:lang w:val="es-CL"/>
        </w:rPr>
        <w:t xml:space="preserve">Nagel, S. (2012). Evaporating liquidity. The Review of Financial Studies, 25(7), 2005-2039.</w:t>
      </w:r>
    </w:p>
    <w:p>
      <w:pPr>
        <w:ind w:left="567" w:hanging="567"/>
        <w:jc w:val="both"/>
      </w:pPr>
      <w:r>
        <w:rPr>
          <w:rFonts w:ascii="Times New Roman" w:hAnsi="Times New Roman" w:cs="Times New Roman"/>
          <w:sz w:val="24"/>
          <w:szCs w:val="24"/>
          <w:lang w:val="es-CL"/>
        </w:rPr>
        <w:t xml:space="preserve">Neely, C. J., Weller, P. A., y Ulrich, J. M. (2009). The adaptive markets hypothesis: Evidence from the foreign exchange market. Journal of Financial and Quantitative Analysis, 44(2), 467-488.</w:t>
      </w:r>
    </w:p>
    <w:p>
      <w:pPr>
        <w:ind w:left="567" w:hanging="567"/>
        <w:jc w:val="both"/>
      </w:pPr>
      <w:r>
        <w:rPr>
          <w:rFonts w:ascii="Times New Roman" w:hAnsi="Times New Roman" w:cs="Times New Roman"/>
          <w:sz w:val="24"/>
          <w:szCs w:val="24"/>
          <w:lang w:val="es-CL"/>
        </w:rPr>
        <w:t xml:space="preserve">Newey, W. K., y West, K. D. (1987). A simple, positive semi-definite, heteroskedasticity and autocorrelation consistent covariance matrix. Econometrica, 55(3), 703-708.</w:t>
      </w:r>
    </w:p>
    <w:p>
      <w:pPr>
        <w:ind w:left="567" w:hanging="567"/>
        <w:jc w:val="both"/>
      </w:pPr>
      <w:r>
        <w:rPr>
          <w:rFonts w:ascii="Times New Roman" w:hAnsi="Times New Roman" w:cs="Times New Roman"/>
          <w:sz w:val="24"/>
          <w:szCs w:val="24"/>
          <w:lang w:val="es-CL"/>
        </w:rPr>
        <w:t xml:space="preserve">Nosek, B. A., Ebersole, C. R., DeHaven, A. C., y Mellor, D. T. (2018). The preregistration revolution. Proceedings of the National Academy of Sciences, 115(11), 2600-2606.</w:t>
      </w:r>
    </w:p>
    <w:p>
      <w:pPr>
        <w:ind w:left="567" w:hanging="567"/>
        <w:jc w:val="both"/>
      </w:pPr>
      <w:r>
        <w:rPr>
          <w:rFonts w:ascii="Times New Roman" w:hAnsi="Times New Roman" w:cs="Times New Roman"/>
          <w:sz w:val="24"/>
          <w:szCs w:val="24"/>
          <w:lang w:val="es-CL"/>
        </w:rPr>
        <w:t xml:space="preserve">Osler, C. L. (2003). Currency orders and exchange rate dynamics: An explanation for the predictive success of technical analysis. The Journal of Finance, 58(5), 1791-1819.</w:t>
      </w:r>
    </w:p>
    <w:p>
      <w:pPr>
        <w:ind w:left="567" w:hanging="567"/>
        <w:jc w:val="both"/>
      </w:pPr>
      <w:r>
        <w:rPr>
          <w:rFonts w:ascii="Times New Roman" w:hAnsi="Times New Roman" w:cs="Times New Roman"/>
          <w:sz w:val="24"/>
          <w:szCs w:val="24"/>
          <w:lang w:val="es-CL"/>
        </w:rPr>
        <w:t xml:space="preserve">Osler, C. L. (2005). Stop-loss orders and price cascades in currency markets. Journal of International Money and Finance, 24(2), 219-241.</w:t>
      </w:r>
    </w:p>
    <w:p>
      <w:pPr>
        <w:ind w:left="567" w:hanging="567"/>
        <w:jc w:val="both"/>
      </w:pPr>
      <w:r>
        <w:rPr>
          <w:rFonts w:ascii="Times New Roman" w:hAnsi="Times New Roman" w:cs="Times New Roman"/>
          <w:sz w:val="24"/>
          <w:szCs w:val="24"/>
          <w:lang w:val="es-CL"/>
        </w:rPr>
        <w:t xml:space="preserve">Romano, J. P., y Wolf, M. (2005). Stepwise multiple testing as formalized data snooping. Econometrica, 73(4), 1237-1282.</w:t>
      </w:r>
    </w:p>
    <w:p>
      <w:pPr>
        <w:ind w:left="567" w:hanging="567"/>
        <w:jc w:val="both"/>
      </w:pPr>
      <w:r>
        <w:rPr>
          <w:rFonts w:ascii="Times New Roman" w:hAnsi="Times New Roman" w:cs="Times New Roman"/>
          <w:sz w:val="24"/>
          <w:szCs w:val="24"/>
          <w:lang w:val="es-CL"/>
        </w:rPr>
        <w:t xml:space="preserve">White, H. (2000). A reality check for data snooping. Econometrica, 68(5), 1097-1126.</w:t>
      </w:r>
    </w:p>
    <w:p/>
    <w:p>
      <w:pPr>
        <w:jc w:val="both"/>
      </w:pPr>
      <w:r>
        <w:rPr>
          <w:rFonts w:ascii="Times New Roman" w:hAnsi="Times New Roman" w:cs="Times New Roman"/>
          <w:sz w:val="24"/>
          <w:szCs w:val="24"/>
          <w:lang w:val="es-CL"/>
        </w:rPr>
        <w:t xml:space="preserve">Santiago, a 16 de septiembre de 2026</w:t>
      </w:r>
    </w:p>
    <w:sectPr w:rsidR="00291EA6" w:rsidRPr="00291EA6" w:rsidSect="00657F16">
      <w:headerReference w:type="default" r:id="rId8"/>
      <w:pgSz w:w="12240" w:h="15840"/>
      <w:pgMar w:top="1418" w:right="1134" w:bottom="1418"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BD158E" w14:textId="77777777" w:rsidR="008605D2" w:rsidRDefault="008605D2" w:rsidP="00291EA6">
      <w:pPr>
        <w:spacing w:after="0" w:line="240" w:lineRule="auto"/>
      </w:pPr>
      <w:r>
        <w:separator/>
      </w:r>
    </w:p>
  </w:endnote>
  <w:endnote w:type="continuationSeparator" w:id="0">
    <w:p w14:paraId="0E79801C" w14:textId="77777777" w:rsidR="008605D2" w:rsidRDefault="008605D2" w:rsidP="00291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C9CAF" w14:textId="77777777" w:rsidR="008605D2" w:rsidRDefault="008605D2" w:rsidP="00291EA6">
      <w:pPr>
        <w:spacing w:after="0" w:line="240" w:lineRule="auto"/>
      </w:pPr>
      <w:r>
        <w:separator/>
      </w:r>
    </w:p>
  </w:footnote>
  <w:footnote w:type="continuationSeparator" w:id="0">
    <w:p w14:paraId="685BA1FC" w14:textId="77777777" w:rsidR="008605D2" w:rsidRDefault="008605D2" w:rsidP="00291EA6">
      <w:pPr>
        <w:spacing w:after="0" w:line="240" w:lineRule="auto"/>
      </w:pPr>
      <w:r>
        <w:continuationSeparator/>
      </w:r>
    </w:p>
  </w:footnote>
  <w:footnote w:id="1">
    <w:p w14:paraId="11AFA3A2" w14:textId="19359358" w:rsidR="00657F16" w:rsidRPr="00657F16" w:rsidRDefault="00657F16" w:rsidP="00657F16">
      <w:pPr>
        <w:pStyle w:val="Textonotapie"/>
        <w:jc w:val="both"/>
        <w:rPr>
          <w:lang w:val="en-US"/>
        </w:rPr>
      </w:pPr>
      <w:r>
        <w:rPr>
          <w:rStyle w:val="Refdenotaalpie"/>
        </w:rPr>
        <w:footnoteRef/>
      </w:r>
      <w:r>
        <w:t xml:space="preserve"> Aquí escriba las referencias con autor y año: Ejemplo, Black and Scholes (1973). La referencia completa se agrega en la </w:t>
      </w:r>
      <w:r w:rsidR="00587DA4">
        <w:t>sección Bibliografía. Siguiendo el ejemplo, eso sería:</w:t>
      </w:r>
      <w:r>
        <w:t xml:space="preserve"> </w:t>
      </w:r>
      <w:r w:rsidRPr="00657F16">
        <w:t xml:space="preserve">Black, F., &amp; Scholes, M. (1973). </w:t>
      </w:r>
      <w:proofErr w:type="gramStart"/>
      <w:r w:rsidRPr="00657F16">
        <w:rPr>
          <w:lang w:val="en-US"/>
        </w:rPr>
        <w:t>The pricing</w:t>
      </w:r>
      <w:proofErr w:type="gramEnd"/>
      <w:r w:rsidRPr="00657F16">
        <w:rPr>
          <w:lang w:val="en-US"/>
        </w:rPr>
        <w:t xml:space="preserve"> of options and corporate liabilities. </w:t>
      </w:r>
      <w:r w:rsidRPr="00657F16">
        <w:rPr>
          <w:i/>
          <w:iCs/>
          <w:lang w:val="en-US"/>
        </w:rPr>
        <w:t>Journal of political economy</w:t>
      </w:r>
      <w:r w:rsidRPr="00657F16">
        <w:rPr>
          <w:lang w:val="en-US"/>
        </w:rPr>
        <w:t>, </w:t>
      </w:r>
      <w:r w:rsidRPr="00657F16">
        <w:rPr>
          <w:i/>
          <w:iCs/>
          <w:lang w:val="en-US"/>
        </w:rPr>
        <w:t>81</w:t>
      </w:r>
      <w:r w:rsidRPr="00657F16">
        <w:rPr>
          <w:lang w:val="en-US"/>
        </w:rPr>
        <w:t>(3), 637-654.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6FD74" w14:textId="77777777" w:rsidR="00291EA6" w:rsidRDefault="00291EA6">
    <w:pPr>
      <w:pStyle w:val="Encabezado"/>
    </w:pPr>
    <w:r>
      <w:rPr>
        <w:noProof/>
        <w:lang w:eastAsia="es-CL"/>
      </w:rPr>
      <w:drawing>
        <wp:anchor distT="0" distB="0" distL="114300" distR="114300" simplePos="0" relativeHeight="251659264" behindDoc="0" locked="0" layoutInCell="1" allowOverlap="1" wp14:anchorId="3956BAAC" wp14:editId="526C7929">
          <wp:simplePos x="0" y="0"/>
          <wp:positionH relativeFrom="column">
            <wp:posOffset>2192020</wp:posOffset>
          </wp:positionH>
          <wp:positionV relativeFrom="paragraph">
            <wp:posOffset>-1905</wp:posOffset>
          </wp:positionV>
          <wp:extent cx="1710000" cy="352800"/>
          <wp:effectExtent l="0" t="0" r="5080" b="952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EADER WORD 2.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10000" cy="3528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A76"/>
    <w:multiLevelType w:val="hybridMultilevel"/>
    <w:tmpl w:val="78F25A0A"/>
    <w:lvl w:ilvl="0" w:tplc="340A000F">
      <w:start w:val="1"/>
      <w:numFmt w:val="decimal"/>
      <w:lvlText w:val="%1."/>
      <w:lvlJc w:val="left"/>
      <w:pPr>
        <w:ind w:left="360" w:hanging="360"/>
      </w:p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num w:numId="1" w16cid:durableId="2881743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EA6"/>
    <w:rsid w:val="00015B64"/>
    <w:rsid w:val="000654C4"/>
    <w:rsid w:val="000E5B92"/>
    <w:rsid w:val="000F07E6"/>
    <w:rsid w:val="00152007"/>
    <w:rsid w:val="001C248B"/>
    <w:rsid w:val="001E68FC"/>
    <w:rsid w:val="00222F20"/>
    <w:rsid w:val="00231CFA"/>
    <w:rsid w:val="00244834"/>
    <w:rsid w:val="00291EA6"/>
    <w:rsid w:val="002C1187"/>
    <w:rsid w:val="003504BB"/>
    <w:rsid w:val="00364A9C"/>
    <w:rsid w:val="004140C9"/>
    <w:rsid w:val="00587DA4"/>
    <w:rsid w:val="00657F16"/>
    <w:rsid w:val="006E4744"/>
    <w:rsid w:val="007B6CBD"/>
    <w:rsid w:val="008063C6"/>
    <w:rsid w:val="00814AEC"/>
    <w:rsid w:val="00814DB9"/>
    <w:rsid w:val="00833F65"/>
    <w:rsid w:val="008605D2"/>
    <w:rsid w:val="00970F62"/>
    <w:rsid w:val="009A260B"/>
    <w:rsid w:val="009D1D91"/>
    <w:rsid w:val="009D331E"/>
    <w:rsid w:val="009D4D8E"/>
    <w:rsid w:val="00A170F3"/>
    <w:rsid w:val="00A67B90"/>
    <w:rsid w:val="00B23E6E"/>
    <w:rsid w:val="00B63446"/>
    <w:rsid w:val="00CB6663"/>
    <w:rsid w:val="00EC2A60"/>
    <w:rsid w:val="00F2177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BA960"/>
  <w15:chartTrackingRefBased/>
  <w15:docId w15:val="{7AB120C6-D96F-4F27-9CE6-74D0395E2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semiHidden/>
    <w:unhideWhenUsed/>
    <w:rsid w:val="00291EA6"/>
    <w:pPr>
      <w:spacing w:after="0" w:line="240" w:lineRule="auto"/>
    </w:pPr>
    <w:rPr>
      <w:rFonts w:ascii="Calibri" w:hAnsi="Calibri"/>
      <w:szCs w:val="21"/>
    </w:rPr>
  </w:style>
  <w:style w:type="character" w:customStyle="1" w:styleId="TextosinformatoCar">
    <w:name w:val="Texto sin formato Car"/>
    <w:basedOn w:val="Fuentedeprrafopredeter"/>
    <w:link w:val="Textosinformato"/>
    <w:uiPriority w:val="99"/>
    <w:semiHidden/>
    <w:rsid w:val="00291EA6"/>
    <w:rPr>
      <w:rFonts w:ascii="Calibri" w:hAnsi="Calibri"/>
      <w:szCs w:val="21"/>
    </w:rPr>
  </w:style>
  <w:style w:type="paragraph" w:styleId="Encabezado">
    <w:name w:val="header"/>
    <w:basedOn w:val="Normal"/>
    <w:link w:val="EncabezadoCar"/>
    <w:uiPriority w:val="99"/>
    <w:unhideWhenUsed/>
    <w:rsid w:val="00291E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91EA6"/>
  </w:style>
  <w:style w:type="paragraph" w:styleId="Piedepgina">
    <w:name w:val="footer"/>
    <w:basedOn w:val="Normal"/>
    <w:link w:val="PiedepginaCar"/>
    <w:uiPriority w:val="99"/>
    <w:unhideWhenUsed/>
    <w:rsid w:val="00291E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91EA6"/>
  </w:style>
  <w:style w:type="paragraph" w:styleId="Prrafodelista">
    <w:name w:val="List Paragraph"/>
    <w:basedOn w:val="Normal"/>
    <w:uiPriority w:val="34"/>
    <w:qFormat/>
    <w:rsid w:val="00291EA6"/>
    <w:pPr>
      <w:ind w:left="720"/>
      <w:contextualSpacing/>
    </w:pPr>
  </w:style>
  <w:style w:type="table" w:styleId="Tablaconcuadrcula">
    <w:name w:val="Table Grid"/>
    <w:basedOn w:val="Tablanormal"/>
    <w:uiPriority w:val="39"/>
    <w:rsid w:val="00291EA6"/>
    <w:pPr>
      <w:spacing w:after="0" w:line="240" w:lineRule="auto"/>
    </w:pPr>
    <w:rPr>
      <w:sz w:val="24"/>
      <w:szCs w:val="24"/>
      <w:lang w:val="es-ES_tradn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657F16"/>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7F16"/>
    <w:rPr>
      <w:sz w:val="20"/>
      <w:szCs w:val="20"/>
    </w:rPr>
  </w:style>
  <w:style w:type="character" w:styleId="Refdenotaalpie">
    <w:name w:val="footnote reference"/>
    <w:basedOn w:val="Fuentedeprrafopredeter"/>
    <w:uiPriority w:val="99"/>
    <w:semiHidden/>
    <w:unhideWhenUsed/>
    <w:rsid w:val="00657F16"/>
    <w:rPr>
      <w:vertAlign w:val="superscript"/>
    </w:rPr>
  </w:style>
  <w:style w:type="paragraph" w:styleId="NormalWeb">
    <w:name w:val="Normal (Web)"/>
    <w:basedOn w:val="Normal"/>
    <w:uiPriority w:val="99"/>
    <w:unhideWhenUsed/>
    <w:rsid w:val="00657F1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363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8183F-3D9A-49CB-9FF6-1E7BCC874D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3</Pages>
  <Words>879</Words>
  <Characters>4836</Characters>
  <Application>Microsoft Office Word</Application>
  <DocSecurity>0</DocSecurity>
  <Lines>40</Lines>
  <Paragraphs>11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Reus Heredia</dc:creator>
  <cp:keywords/>
  <dc:description/>
  <cp:lastModifiedBy>Joel Ignacio Vasquez Sanchez</cp:lastModifiedBy>
  <cp:revision>6</cp:revision>
  <dcterms:created xsi:type="dcterms:W3CDTF">2025-07-11T14:22:00Z</dcterms:created>
  <dcterms:modified xsi:type="dcterms:W3CDTF">2026-08-19T02:59:00Z</dcterms:modified>
</cp:coreProperties>
</file>