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6163A"/>
          <w:sz w:val="48"/>
        </w:rPr>
        <w:t>FAAM-ENI Circular Energy</w:t>
      </w:r>
    </w:p>
    <w:p>
      <w:pPr>
        <w:jc w:val="center"/>
      </w:pPr>
      <w:r>
        <w:rPr>
          <w:color w:val="06163A"/>
          <w:sz w:val="28"/>
        </w:rPr>
        <w:t>Digital Twin-Driven LFP Active Material Manufacturing</w:t>
      </w:r>
    </w:p>
    <w:p>
      <w:pPr>
        <w:jc w:val="center"/>
      </w:pPr>
      <w:r>
        <w:rPr>
          <w:b/>
          <w:color w:val="06163A"/>
          <w:sz w:val="26"/>
        </w:rPr>
        <w:br/>
        <w:t>FEASIBILITY STUDY</w:t>
      </w:r>
    </w:p>
    <w:p>
      <w:pPr>
        <w:jc w:val="center"/>
      </w:pPr>
      <w:r>
        <w:rPr>
          <w:sz w:val="22"/>
        </w:rPr>
        <w:t>Annex to Part B — Technical feasibility analysis</w:t>
      </w:r>
    </w:p>
    <w:p>
      <w:pPr>
        <w:jc w:val="center"/>
      </w:pPr>
      <w:r>
        <w:rPr>
          <w:sz w:val="22"/>
        </w:rPr>
        <w:br/>
        <w:t>INNOVFUND-2025-NZT-CLEAN-TECH-MANUFACTURING</w:t>
      </w:r>
    </w:p>
    <w:p>
      <w:pPr>
        <w:jc w:val="center"/>
      </w:pPr>
      <w:r>
        <w:rPr>
          <w:sz w:val="22"/>
        </w:rPr>
        <w:br/>
        <w:t>Applicant: ESS (Eni Storage Systems) JV</w:t>
        <w:br/>
        <w:t>Shareholders: Eni S.p.A. &amp; FIB S.p.A. (FAAM)</w:t>
      </w:r>
    </w:p>
    <w:p>
      <w:pPr>
        <w:jc w:val="center"/>
      </w:pPr>
      <w:r>
        <w:rPr>
          <w:b/>
          <w:color w:val="CC0000"/>
          <w:sz w:val="20"/>
        </w:rPr>
        <w:br/>
        <w:t>DRAFT — Generated 2026-04-15</w:t>
      </w:r>
    </w:p>
    <w:p>
      <w:pPr>
        <w:jc w:val="center"/>
      </w:pPr>
      <w:r>
        <w:rPr>
          <w:color w:val="666666"/>
          <w:sz w:val="16"/>
        </w:rPr>
        <w:br/>
        <w:t>Legend: [CLM-XXX] claim reference (blue) • [SRC-XXX] evidence reference (blue)</w:t>
        <w:br/>
        <w:t>[TO BE COMPLETED: ...] pending items (red) • [ASSUMPTION: ...] (orange)</w:t>
        <w:br/>
        <w:t>Yellow blocks = reviewer metadata (claims, assumptions, open issues)</w:t>
      </w:r>
    </w:p>
    <w:p>
      <w:r>
        <w:br w:type="page"/>
      </w:r>
    </w:p>
    <w:p>
      <w:r>
        <w:br w:type="page"/>
      </w:r>
    </w:p>
    <w:p>
      <w:pPr>
        <w:spacing w:before="120" w:after="120"/>
        <w:shd w:val="clear" w:color="auto" w:fill="FFF3CD"/>
      </w:pPr>
      <w:r>
        <w:rPr>
          <w:b/>
          <w:color w:val="856304"/>
          <w:sz w:val="16"/>
        </w:rPr>
        <w:t xml:space="preserve">[REVIEWER NOTES] </w:t>
      </w:r>
      <w:r>
        <w:rPr>
          <w:color w:val="856304"/>
          <w:sz w:val="16"/>
        </w:rPr>
        <w:t>CLAIMS REFERENCED: CLM-001, CLM-002, CLM-003, CLM-004, CLM-005, CLM-007, CLM-008, CLM-009, CLM-013, CLM-014, CLM-015, CLM-016, CLM-017, CLM-018, CLM-019, CLM-020, CLM-022, CLM-023, CLM-026, CLM-028, CLM-029, CLM-030</w:t>
        <w:br/>
      </w:r>
      <w:r>
        <w:rPr>
          <w:color w:val="856304"/>
          <w:sz w:val="16"/>
        </w:rPr>
        <w:t>OPEN ISSUES:</w:t>
        <w:br/>
      </w:r>
      <w:r>
        <w:rPr>
          <w:color w:val="856304"/>
          <w:sz w:val="16"/>
        </w:rPr>
        <w:t xml:space="preserve">  - TO BE COMPLETED: specific area allocation within the Eni Brindisi complex, existing structures to be repurposed vs demolished, to be confirmed by site engineering team.</w:t>
        <w:br/>
      </w:r>
      <w:r>
        <w:rPr>
          <w:color w:val="856304"/>
          <w:sz w:val="16"/>
        </w:rPr>
        <w:t xml:space="preserve">  - TO BE COMPLETED: A comprehensive Chinese-language CNIPA patent search is recommended to assess the IP position of CATL, BYD, Gotion, and Dynanonic. English-language searches do not adequately cover Chinese patent filings in this domain.</w:t>
        <w:br/>
      </w:r>
      <w:r>
        <w:rPr>
          <w:color w:val="856304"/>
          <w:sz w:val="16"/>
        </w:rPr>
        <w:t xml:space="preserve">  - TO BE COMPLETED: Specific supplier names, contracted volumes, pricing structure, and qualification status must be confirmed by the procurement team. Long-term supply agreements with price hedging mechanisms should be negotiated before FID. Annual requirement at full capacity: 49,000 t FePO4.</w:t>
        <w:br/>
      </w:r>
      <w:r>
        <w:rPr>
          <w:color w:val="856304"/>
          <w:sz w:val="16"/>
        </w:rPr>
        <w:t xml:space="preserve">  - TO BE COMPLETED: Lithium carbonate pricing is highly volatile (ranged from ~USD 15,000/t to ~USD 80,000/t between 2022-2025). Annual requirement at full capacity: 12,500 t Li2CO3. The specific contracted price and hedging strategy must be defined in the business plan. OPEX sensitivity to lithium price should be modelled at +/-50%.</w:t>
        <w:br/>
      </w:r>
      <w:r>
        <w:rPr>
          <w:color w:val="856304"/>
          <w:sz w:val="16"/>
        </w:rPr>
        <w:t xml:space="preserve">  - TO BE COMPLETED: The specific N2 supply configuration (on-site PSA vs bulk liquid vs hybrid) and cost must be confirmed by process engineering.</w:t>
        <w:br/>
      </w:r>
      <w:r>
        <w:rPr>
          <w:color w:val="856304"/>
          <w:sz w:val="16"/>
        </w:rPr>
        <w:t xml:space="preserve">  - TO BE COMPLETED: capacity to be sized for 12.5 kton/yr per line</w:t>
        <w:br/>
      </w:r>
      <w:r>
        <w:rPr>
          <w:color w:val="856304"/>
          <w:sz w:val="16"/>
        </w:rPr>
        <w:t xml:space="preserve">  - TO BE COMPLETED: grinding chamber size to be confirmed by vendor</w:t>
        <w:br/>
      </w:r>
      <w:r>
        <w:rPr>
          <w:color w:val="856304"/>
          <w:sz w:val="16"/>
        </w:rPr>
        <w:t xml:space="preserve">  - TO BE COMPLETED: water evaporation capacity to be sized for 12.5 kton/yr per line</w:t>
        <w:br/>
      </w:r>
      <w:r>
        <w:rPr>
          <w:color w:val="856304"/>
          <w:sz w:val="16"/>
        </w:rPr>
        <w:t xml:space="preserve">  - TO BE COMPLETED: capacity to be sized per line</w:t>
        <w:br/>
      </w:r>
      <w:r>
        <w:rPr>
          <w:color w:val="856304"/>
          <w:sz w:val="16"/>
        </w:rPr>
        <w:t xml:space="preserve">  - TO BE COMPLETED: bag size to be confirmed</w:t>
        <w:br/>
      </w:r>
      <w:r>
        <w:rPr>
          <w:color w:val="856304"/>
          <w:sz w:val="16"/>
        </w:rPr>
        <w:t xml:space="preserve">  - TO BE COMPLETED: hourly capacity to be sized for continuous operation</w:t>
        <w:br/>
      </w:r>
      <w:r>
        <w:rPr>
          <w:color w:val="856304"/>
          <w:sz w:val="16"/>
        </w:rPr>
        <w:t xml:space="preserve">  - TO BE COMPLETED: Specific equipment vendor shortlist, detailed technical specifications, budgetary quotes, and confirmed lead times must be obtained during the Front-End Engineering Design (FEED) phase. The above specifications are informed by the production information document and publicly available vendor data.</w:t>
        <w:br/>
      </w:r>
      <w:r>
        <w:rPr>
          <w:color w:val="856304"/>
          <w:sz w:val="16"/>
        </w:rPr>
        <w:t xml:space="preserve">  - TO BE COMPLETED: specific saggar capacity and loading per kiln run to be confirmed during FEED</w:t>
        <w:br/>
      </w:r>
      <w:r>
        <w:rPr>
          <w:color w:val="856304"/>
          <w:sz w:val="16"/>
        </w:rPr>
        <w:t xml:space="preserve">  - TO BE COMPLETED: sized for 12.5 kton/yr per line; kg/h water evaporation to be confirmed by vendor</w:t>
        <w:br/>
      </w:r>
      <w:r>
        <w:rPr>
          <w:color w:val="856304"/>
          <w:sz w:val="16"/>
        </w:rPr>
        <w:t xml:space="preserve">  - TO BE COMPLETED: sized for line throughput; optional jet-milling bypass for spherical grade</w:t>
        <w:br/>
      </w:r>
      <w:r>
        <w:rPr>
          <w:color w:val="856304"/>
          <w:sz w:val="16"/>
        </w:rPr>
        <w:t xml:space="preserve">  - TO BE COMPLETED: To be established from vendor MTBF data for critical equipment (kiln, spray dryer)</w:t>
        <w:br/>
      </w:r>
      <w:r>
        <w:rPr>
          <w:color w:val="856304"/>
          <w:sz w:val="16"/>
        </w:rPr>
        <w:t xml:space="preserve">  - TO BE COMPLETED: To be calculated in GHG calculator by GHG team</w:t>
        <w:br/>
      </w:r>
      <w:r>
        <w:rPr>
          <w:color w:val="856304"/>
          <w:sz w:val="16"/>
        </w:rPr>
        <w:t xml:space="preserve">  - TO BE COMPLETED: To be calculated using 3,580 kWh_e/t + 189 m3 gas/t</w:t>
        <w:br/>
      </w:r>
      <w:r>
        <w:rPr>
          <w:color w:val="856304"/>
          <w:sz w:val="16"/>
        </w:rPr>
        <w:t xml:space="preserve">  - TO BE COMPLETED: BY FINANCIAL TEAM — CRITICAL GHG CALCULATION ITEMS:</w:t>
        <w:br/>
        <w:br/>
        <w:t>1. **PRIMARY GHG CALCULATION (scored)**: Use-phase BESS displacing fossil peakers. Classification: ES / Manufacturing of Components (Section 1.3.2). The Financial Team must calculate GHG avoidance based on BESS displacing gas peaking plants (CCGT/OCGT) on the Italian grid, NOT on plant-level manufacturing emissions.</w:t>
        <w:br/>
        <w:br/>
        <w:t>2. **CScomponent determination**: The cost share of LFP CAM in the total BESS system cost is critical. Baseline estimate: 20-28% (CAM as 30-40% of cell cost, cells as 60-70% of BESS cost). HOWEVER: if the ESS JV factory qualifies as an affiliated entity within the project boundary, the CScomponent could be substantially higher. This determination could significantly increase the GHG avoidance claim. Legal/structural analysis of the JV is needed.</w:t>
        <w:br/>
        <w:br/>
        <w:t>3. **Production volume to GWh conversion**: 50,000 t/yr LFP CAM at ~3 kWh/kg cell energy density = ~150 GWh/yr of battery capacity. This is the basis for calculating use-phase GHG avoidance.</w:t>
        <w:br/>
        <w:br/>
        <w:t>4. **Reference emission factor**: Italian grid marginal emission factor for gas peakers (CCGT: ~350-400 gCO2/kWh; OCGT: ~500-600 gCO2/kWh). The choice of reference technology significantly affects the GHG avoidance.</w:t>
        <w:br/>
        <w:br/>
        <w:t>5. **Plant-level GHG (contextual only)**: The above plant-level figures are directional estimates for the innovation/replicability argument. The natural gas component (189 m3/t) must be included in Scope 1 but this is NOT the scored GHG calculation.</w:t>
        <w:br/>
      </w:r>
      <w:r>
        <w:rPr>
          <w:color w:val="856304"/>
          <w:sz w:val="16"/>
        </w:rPr>
        <w:t>SOURCES CITED: SRC-004, SRC-007, SRC-008, SRC-009, SRC-010, SRC-011, SRC-014, SRC-015, SRC-022, SRC-023, SRC-024, SRC-025, SRC-028, SRC-ED-001, SRC-ED-004, SRC-ED-005, SRC-ED-009, SRC-ED-010, SRC-ED-011, SRC-ED-016</w:t>
        <w:br/>
      </w:r>
      <w:r>
        <w:rPr>
          <w:color w:val="856304"/>
          <w:sz w:val="16"/>
        </w:rPr>
        <w:t xml:space="preserve">  ... and 5 more</w:t>
        <w:br/>
      </w:r>
      <w:r>
        <w:rPr>
          <w:color w:val="856304"/>
          <w:sz w:val="16"/>
        </w:rPr>
        <w:t>WORD COUNT: 15161</w:t>
        <w:br/>
      </w:r>
    </w:p>
    <w:p>
      <w:pPr>
        <w:pStyle w:val="Heading1"/>
      </w:pPr>
      <w:r>
        <w:t>FEASIBILITY STUDY</w:t>
      </w:r>
    </w:p>
    <w:p>
      <w:r>
        <w:rPr>
          <w:sz w:val="18"/>
        </w:rPr>
        <w:t>---</w:t>
      </w:r>
    </w:p>
    <w:p>
      <w:r>
        <w:rPr>
          <w:b/>
          <w:sz w:val="18"/>
        </w:rPr>
        <w:t>Project name</w:t>
      </w:r>
      <w:r>
        <w:rPr>
          <w:sz w:val="18"/>
        </w:rPr>
        <w:t>: FAAM-ENI Circular Energy</w:t>
      </w:r>
    </w:p>
    <w:p>
      <w:r>
        <w:rPr>
          <w:b/>
          <w:sz w:val="18"/>
        </w:rPr>
        <w:t>Acronym</w:t>
      </w:r>
      <w:r>
        <w:rPr>
          <w:sz w:val="18"/>
        </w:rPr>
        <w:t>: FACE</w:t>
      </w:r>
    </w:p>
    <w:p>
      <w:r>
        <w:rPr>
          <w:b/>
          <w:sz w:val="18"/>
        </w:rPr>
        <w:t>Call</w:t>
      </w:r>
      <w:r>
        <w:rPr>
          <w:sz w:val="18"/>
        </w:rPr>
        <w:t>: INNOVFUND-2025-NZT-CLEAN-TECH-MANUFACTURING</w:t>
      </w:r>
    </w:p>
    <w:p>
      <w:r>
        <w:rPr>
          <w:b/>
          <w:sz w:val="18"/>
        </w:rPr>
        <w:t>Version</w:t>
      </w:r>
      <w:r>
        <w:rPr>
          <w:sz w:val="18"/>
        </w:rPr>
        <w:t>: 1.0</w:t>
      </w:r>
    </w:p>
    <w:p>
      <w:r>
        <w:rPr>
          <w:b/>
          <w:sz w:val="18"/>
        </w:rPr>
        <w:t>Date</w:t>
      </w:r>
      <w:r>
        <w:rPr>
          <w:sz w:val="18"/>
        </w:rPr>
        <w:t>: April 2026</w:t>
      </w:r>
    </w:p>
    <w:p>
      <w:r>
        <w:rPr>
          <w:sz w:val="18"/>
        </w:rPr>
        <w:t>---</w:t>
      </w:r>
    </w:p>
    <w:p>
      <w:pPr>
        <w:pStyle w:val="Heading2"/>
      </w:pPr>
      <w:r>
        <w:t>1. Project Description</w:t>
      </w:r>
    </w:p>
    <w:p>
      <w:pPr>
        <w:pStyle w:val="Heading3"/>
      </w:pPr>
      <w:r>
        <w:t>1.1 Overview</w:t>
      </w:r>
    </w:p>
    <w:p>
      <w:r>
        <w:rPr>
          <w:sz w:val="18"/>
        </w:rPr>
        <w:t>The FAAM-ENI Circular Energy (FACE) project will design, construct, commission, and operate the first progressively electrified lithium iron phosphate (LiFePO4, LFP) cathode active material (CAM) manufacturing plant in Italy and Southern Europe, with a nameplate capacity of 50,000 tonnes per year across 4 modular production lines. The plant will be located at Eni's brownfield industrial site in Brindisi, Puglia, and will produce battery-grade LFP CAM powder for supply to European lithium-ion battery cell manufacturers serving the electric vehicle (EV) and grid-scale energy storage system (ESS) markets.</w:t>
      </w:r>
    </w:p>
    <w:p>
      <w:r>
        <w:rPr>
          <w:sz w:val="18"/>
        </w:rPr>
        <w:t xml:space="preserve">The project is implemented as a </w:t>
      </w:r>
      <w:r>
        <w:rPr>
          <w:b/>
          <w:sz w:val="18"/>
        </w:rPr>
        <w:t>mono-beneficiary grant application</w:t>
      </w:r>
      <w:r>
        <w:rPr>
          <w:sz w:val="18"/>
        </w:rPr>
        <w:t xml:space="preserve"> by </w:t>
      </w:r>
      <w:r>
        <w:rPr>
          <w:b/>
          <w:sz w:val="18"/>
        </w:rPr>
        <w:t>ESS (Eni Storage Systems) JV</w:t>
      </w:r>
      <w:r>
        <w:rPr>
          <w:sz w:val="18"/>
        </w:rPr>
        <w:t>, the sole legal beneficiary and coordinator. ESS JV is a jointly owned entity of Eni S.p.A. and FIB S.p.A. (FAAM), and operates under the combined governance of its parent shareholders. Personnel, technical expertise, and operational capabilities are drawn from both parent companies through intercompany secondment and service agreements. Under its broader industrial plan, ESS JV owns and operates both the LFP CAM plant and the co-located battery cell and BESS manufacturing facility being developed in parallel at the same Brindisi site. The LFP CAM produced by this project is supplied directly to the ESS JV cell and BESS factory, which manufactures grid-scale BESS systems that Eni (as ESS JV shareholder and commercial offtaker) deploys on the Italian electricity grid — creating a fully vertically integrated value chain from cathode material to grid-deployed energy storage within a single legal entity and industrial site.</w:t>
      </w:r>
    </w:p>
    <w:p>
      <w:r>
        <w:rPr>
          <w:sz w:val="18"/>
        </w:rPr>
        <w:t xml:space="preserve">The FACE plant employs a solid-state synthesis route -- the dominant industrial process for LFP CAM globally </w:t>
      </w:r>
      <w:r>
        <w:rPr>
          <w:color w:val="0066CC"/>
          <w:sz w:val="16"/>
        </w:rPr>
        <w:t>[CLM-009, SRC-011]</w:t>
      </w:r>
      <w:r>
        <w:rPr>
          <w:sz w:val="18"/>
        </w:rPr>
        <w:t xml:space="preserve"> -- with two defining technical differentiators that position it beyond the current state-of-the-art:</w:t>
      </w:r>
    </w:p>
    <w:p>
      <w:pPr>
        <w:pStyle w:val="ListNumber"/>
      </w:pPr>
      <w:r>
        <w:rPr>
          <w:b/>
          <w:sz w:val="18"/>
        </w:rPr>
        <w:t>Progressive electrification of thermal processing</w:t>
      </w:r>
      <w:r>
        <w:rPr>
          <w:sz w:val="18"/>
        </w:rPr>
        <w:t xml:space="preserve">. The two energy-intensive production steps -- spray drying and calcination -- are predominantly powered by electricity, substantially replacing the natural gas-fired equipment used universally in incumbent Chinese production facilities </w:t>
      </w:r>
      <w:r>
        <w:rPr>
          <w:color w:val="0066CC"/>
          <w:sz w:val="16"/>
        </w:rPr>
        <w:t>[CLM-001, CLM-023]</w:t>
      </w:r>
      <w:r>
        <w:rPr>
          <w:sz w:val="18"/>
        </w:rPr>
        <w:t xml:space="preserve">. Electric roller hearth kilns achieve 95% thermal efficiency versus 25-60% for gas-fired systems </w:t>
      </w:r>
      <w:r>
        <w:rPr>
          <w:color w:val="0066CC"/>
          <w:sz w:val="16"/>
        </w:rPr>
        <w:t>[CLM-023, SRC-ED-009]</w:t>
      </w:r>
      <w:r>
        <w:rPr>
          <w:sz w:val="18"/>
        </w:rPr>
        <w:t xml:space="preserve">, and heat pump-assisted spray drying delivers COP 3.0-3.6 </w:t>
      </w:r>
      <w:r>
        <w:rPr>
          <w:color w:val="0066CC"/>
          <w:sz w:val="16"/>
        </w:rPr>
        <w:t>[SRC-ED-004, SRC-ED-005]</w:t>
      </w:r>
      <w:r>
        <w:rPr>
          <w:sz w:val="18"/>
        </w:rPr>
        <w:t xml:space="preserve">. The initial plant configuration retains limited natural gas use (189 m3/t LFP CAM) for auxiliary heating where full electrification is not yet technically or economically feasible at the 50 kton/yr scale. The plant architecture is designed for progressive gas elimination. This progressively electrified design dramatically reduces Scope 1 combustion emissions versus the gas-fired benchmark and positions the plant to capitalise on Italy's grid decarbonisation trajectory, delivering 55-70% GHG avoidance by 2030 and exceeding 80% by 2035 as electrification deepens </w:t>
      </w:r>
      <w:r>
        <w:rPr>
          <w:color w:val="0066CC"/>
          <w:sz w:val="16"/>
        </w:rPr>
        <w:t>[CLM-026, CLM-030]</w:t>
      </w:r>
      <w:r>
        <w:rPr>
          <w:sz w:val="18"/>
        </w:rPr>
        <w:t>.</w:t>
      </w:r>
    </w:p>
    <w:p>
      <w:pPr>
        <w:pStyle w:val="ListNumber"/>
      </w:pPr>
      <w:r>
        <w:rPr>
          <w:b/>
          <w:sz w:val="18"/>
        </w:rPr>
        <w:t>ISO 23247-compliant digital twin (DT)</w:t>
      </w:r>
      <w:r>
        <w:rPr>
          <w:sz w:val="18"/>
        </w:rPr>
        <w:t xml:space="preserve">. An integrated, real-time digital twin framework governs the entire production chain from raw material dosing through calcination to final packaging. The DT implements the ISO 23247 four-layer architecture </w:t>
      </w:r>
      <w:r>
        <w:rPr>
          <w:color w:val="0066CC"/>
          <w:sz w:val="16"/>
        </w:rPr>
        <w:t>[CLM-008, SRC-007]</w:t>
      </w:r>
      <w:r>
        <w:rPr>
          <w:sz w:val="18"/>
        </w:rPr>
        <w:t xml:space="preserve"> with multi-scale physics-based models spanning atomistic (DFT) to plant scale (flowsheet simulation) </w:t>
      </w:r>
      <w:r>
        <w:rPr>
          <w:color w:val="0066CC"/>
          <w:sz w:val="16"/>
        </w:rPr>
        <w:t>[CLM-018]</w:t>
      </w:r>
      <w:r>
        <w:rPr>
          <w:sz w:val="18"/>
        </w:rPr>
        <w:t xml:space="preserve">, Process Analytical Technology (PAT) sensor networks for in-line and at-line quality monitoring </w:t>
      </w:r>
      <w:r>
        <w:rPr>
          <w:color w:val="0066CC"/>
          <w:sz w:val="16"/>
        </w:rPr>
        <w:t>[CLM-019]</w:t>
      </w:r>
      <w:r>
        <w:rPr>
          <w:sz w:val="18"/>
        </w:rPr>
        <w:t xml:space="preserve">, and model-predictive control (MPC) for closed-loop process optimisation. Cross-industry benchmarks project 10-50% scrap reduction, 12-15% energy savings, and &gt;40% batch-to-batch variability reduction </w:t>
      </w:r>
      <w:r>
        <w:rPr>
          <w:color w:val="0066CC"/>
          <w:sz w:val="16"/>
        </w:rPr>
        <w:t>[CLM-007, CLM-016, CLM-017]</w:t>
      </w:r>
      <w:r>
        <w:rPr>
          <w:sz w:val="18"/>
        </w:rPr>
        <w:t>.</w:t>
      </w:r>
    </w:p>
    <w:p>
      <w:pPr>
        <w:pStyle w:val="ListNumber"/>
      </w:pPr>
      <w:r>
        <w:rPr>
          <w:b/>
          <w:sz w:val="18"/>
        </w:rPr>
        <w:t>EU strategic autonomy</w:t>
      </w:r>
      <w:r>
        <w:rPr>
          <w:sz w:val="18"/>
        </w:rPr>
        <w:t xml:space="preserve">. China controls over 99% of global LFP CAM production capacity </w:t>
      </w:r>
      <w:r>
        <w:rPr>
          <w:color w:val="0066CC"/>
          <w:sz w:val="16"/>
        </w:rPr>
        <w:t>[CLM-001]</w:t>
      </w:r>
      <w:r>
        <w:rPr>
          <w:sz w:val="18"/>
        </w:rPr>
        <w:t xml:space="preserve"> and has imposed escalating export controls on cathode technology (July 2025) and production equipment (October 2025) </w:t>
      </w:r>
      <w:r>
        <w:rPr>
          <w:color w:val="0066CC"/>
          <w:sz w:val="16"/>
        </w:rPr>
        <w:t>[CLM-002]</w:t>
      </w:r>
      <w:r>
        <w:rPr>
          <w:sz w:val="18"/>
        </w:rPr>
        <w:t xml:space="preserve">. No EU-based company currently produces LFP CAM </w:t>
      </w:r>
      <w:r>
        <w:rPr>
          <w:color w:val="0066CC"/>
          <w:sz w:val="16"/>
        </w:rPr>
        <w:t>[CLM-003]</w:t>
      </w:r>
      <w:r>
        <w:rPr>
          <w:sz w:val="18"/>
        </w:rPr>
        <w:t xml:space="preserve">. The FACE plant directly addresses this critical supply chain vulnerability, complementing FREYR Battery's funded but not-yet-operational project in Finland </w:t>
      </w:r>
      <w:r>
        <w:rPr>
          <w:color w:val="0066CC"/>
          <w:sz w:val="16"/>
        </w:rPr>
        <w:t>[CLM-004, CLM-029]</w:t>
      </w:r>
      <w:r>
        <w:rPr>
          <w:sz w:val="18"/>
        </w:rPr>
        <w:t>.</w:t>
      </w:r>
    </w:p>
    <w:p>
      <w:pPr>
        <w:pStyle w:val="Heading3"/>
      </w:pPr>
      <w:r>
        <w:t>1.2 Technology and Product Description</w:t>
      </w:r>
    </w:p>
    <w:p>
      <w:r>
        <w:rPr>
          <w:sz w:val="18"/>
        </w:rPr>
        <w:t xml:space="preserve">The plant produces battery-grade LiFePO4/C composite powder -- a cathode active material with an olivine crystal structure (space group Pnma) that delivers high safety, long cycle life (&gt;2,000 cycles), and competitive cost for EV standard-range and stationary ESS applications </w:t>
      </w:r>
      <w:r>
        <w:rPr>
          <w:color w:val="0066CC"/>
          <w:sz w:val="16"/>
        </w:rPr>
        <w:t>[SRC-011, SRC-015]</w:t>
      </w:r>
      <w:r>
        <w:rPr>
          <w:sz w:val="18"/>
        </w:rPr>
        <w:t>.</w:t>
      </w:r>
    </w:p>
    <w:p>
      <w:r>
        <w:rPr>
          <w:sz w:val="18"/>
        </w:rPr>
        <w:t xml:space="preserve">The product meets the following Critical Quality Attribute (CQA) specifications, established through a Quality-by-Design (QbD) framework adapted from pharmaceutical manufacturing (ICH Q8) </w:t>
      </w:r>
      <w:r>
        <w:rPr>
          <w:color w:val="0066CC"/>
          <w:sz w:val="16"/>
        </w:rPr>
        <w:t>[CLM-009, SRC-DT-REPORT]</w:t>
      </w:r>
      <w:r>
        <w:rPr>
          <w:sz w:val="18"/>
        </w:rPr>
        <w:t>:</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CQA</w:t>
            </w:r>
          </w:p>
        </w:tc>
        <w:tc>
          <w:tcPr>
            <w:tcW w:type="dxa" w:w="2635"/>
          </w:tcPr>
          <w:p>
            <w:r>
              <w:rPr>
                <w:b/>
                <w:sz w:val="16"/>
              </w:rPr>
              <w:t>Target</w:t>
            </w:r>
          </w:p>
        </w:tc>
        <w:tc>
          <w:tcPr>
            <w:tcW w:type="dxa" w:w="2635"/>
          </w:tcPr>
          <w:p>
            <w:r>
              <w:rPr>
                <w:b/>
                <w:sz w:val="16"/>
              </w:rPr>
              <w:t>Specification</w:t>
            </w:r>
          </w:p>
        </w:tc>
        <w:tc>
          <w:tcPr>
            <w:tcW w:type="dxa" w:w="2635"/>
          </w:tcPr>
          <w:p>
            <w:r>
              <w:rPr>
                <w:b/>
                <w:sz w:val="16"/>
              </w:rPr>
              <w:t>Test Method</w:t>
            </w:r>
          </w:p>
        </w:tc>
      </w:tr>
      <w:tr>
        <w:tc>
          <w:tcPr>
            <w:tcW w:type="dxa" w:w="2635"/>
          </w:tcPr>
          <w:p>
            <w:r>
              <w:rPr>
                <w:sz w:val="16"/>
              </w:rPr>
              <w:t>D10 particle size</w:t>
            </w:r>
          </w:p>
        </w:tc>
        <w:tc>
          <w:tcPr>
            <w:tcW w:type="dxa" w:w="2635"/>
          </w:tcPr>
          <w:p>
            <w:r>
              <w:rPr>
                <w:sz w:val="16"/>
              </w:rPr>
              <w:t>0.3-1.0 um</w:t>
            </w:r>
          </w:p>
        </w:tc>
        <w:tc>
          <w:tcPr>
            <w:tcW w:type="dxa" w:w="2635"/>
          </w:tcPr>
          <w:p>
            <w:r>
              <w:rPr>
                <w:sz w:val="16"/>
              </w:rPr>
              <w:t>Range</w:t>
            </w:r>
          </w:p>
        </w:tc>
        <w:tc>
          <w:tcPr>
            <w:tcW w:type="dxa" w:w="2635"/>
          </w:tcPr>
          <w:p>
            <w:r>
              <w:rPr>
                <w:sz w:val="16"/>
              </w:rPr>
              <w:t>Laser diffraction (ISO 13320)</w:t>
            </w:r>
          </w:p>
        </w:tc>
      </w:tr>
      <w:tr>
        <w:tc>
          <w:tcPr>
            <w:tcW w:type="dxa" w:w="2635"/>
          </w:tcPr>
          <w:p>
            <w:r>
              <w:rPr>
                <w:sz w:val="16"/>
              </w:rPr>
              <w:t>D50 particle size</w:t>
            </w:r>
          </w:p>
        </w:tc>
        <w:tc>
          <w:tcPr>
            <w:tcW w:type="dxa" w:w="2635"/>
          </w:tcPr>
          <w:p>
            <w:r>
              <w:rPr>
                <w:sz w:val="16"/>
              </w:rPr>
              <w:t>0.7-2.5 um</w:t>
            </w:r>
          </w:p>
        </w:tc>
        <w:tc>
          <w:tcPr>
            <w:tcW w:type="dxa" w:w="2635"/>
          </w:tcPr>
          <w:p>
            <w:r>
              <w:rPr>
                <w:sz w:val="16"/>
              </w:rPr>
              <w:t>Range</w:t>
            </w:r>
          </w:p>
        </w:tc>
        <w:tc>
          <w:tcPr>
            <w:tcW w:type="dxa" w:w="2635"/>
          </w:tcPr>
          <w:p>
            <w:r>
              <w:rPr>
                <w:sz w:val="16"/>
              </w:rPr>
              <w:t>Laser diffraction (ISO 13320)</w:t>
            </w:r>
          </w:p>
        </w:tc>
      </w:tr>
      <w:tr>
        <w:tc>
          <w:tcPr>
            <w:tcW w:type="dxa" w:w="2635"/>
          </w:tcPr>
          <w:p>
            <w:r>
              <w:rPr>
                <w:sz w:val="16"/>
              </w:rPr>
              <w:t>D90 particle size</w:t>
            </w:r>
          </w:p>
        </w:tc>
        <w:tc>
          <w:tcPr>
            <w:tcW w:type="dxa" w:w="2635"/>
          </w:tcPr>
          <w:p>
            <w:r>
              <w:rPr>
                <w:sz w:val="16"/>
              </w:rPr>
              <w:t>2.5-12.0 um</w:t>
            </w:r>
          </w:p>
        </w:tc>
        <w:tc>
          <w:tcPr>
            <w:tcW w:type="dxa" w:w="2635"/>
          </w:tcPr>
          <w:p>
            <w:r>
              <w:rPr>
                <w:sz w:val="16"/>
              </w:rPr>
              <w:t>Range</w:t>
            </w:r>
          </w:p>
        </w:tc>
        <w:tc>
          <w:tcPr>
            <w:tcW w:type="dxa" w:w="2635"/>
          </w:tcPr>
          <w:p>
            <w:r>
              <w:rPr>
                <w:sz w:val="16"/>
              </w:rPr>
              <w:t>Laser diffraction (ISO 13320)</w:t>
            </w:r>
          </w:p>
        </w:tc>
      </w:tr>
      <w:tr>
        <w:tc>
          <w:tcPr>
            <w:tcW w:type="dxa" w:w="2635"/>
          </w:tcPr>
          <w:p>
            <w:r>
              <w:rPr>
                <w:sz w:val="16"/>
              </w:rPr>
              <w:t>Specific surface area (SSA)</w:t>
            </w:r>
          </w:p>
        </w:tc>
        <w:tc>
          <w:tcPr>
            <w:tcW w:type="dxa" w:w="2635"/>
          </w:tcPr>
          <w:p>
            <w:r>
              <w:rPr>
                <w:sz w:val="16"/>
              </w:rPr>
              <w:t>10-14 m2/g</w:t>
            </w:r>
          </w:p>
        </w:tc>
        <w:tc>
          <w:tcPr>
            <w:tcW w:type="dxa" w:w="2635"/>
          </w:tcPr>
          <w:p>
            <w:r>
              <w:rPr>
                <w:sz w:val="16"/>
              </w:rPr>
              <w:t>Range</w:t>
            </w:r>
          </w:p>
        </w:tc>
        <w:tc>
          <w:tcPr>
            <w:tcW w:type="dxa" w:w="2635"/>
          </w:tcPr>
          <w:p>
            <w:r>
              <w:rPr>
                <w:sz w:val="16"/>
              </w:rPr>
              <w:t>N2 adsorption/BET (ISO 9277)</w:t>
            </w:r>
          </w:p>
        </w:tc>
      </w:tr>
      <w:tr>
        <w:tc>
          <w:tcPr>
            <w:tcW w:type="dxa" w:w="2635"/>
          </w:tcPr>
          <w:p>
            <w:r>
              <w:rPr>
                <w:sz w:val="16"/>
              </w:rPr>
              <w:t>Tap density</w:t>
            </w:r>
          </w:p>
        </w:tc>
        <w:tc>
          <w:tcPr>
            <w:tcW w:type="dxa" w:w="2635"/>
          </w:tcPr>
          <w:p>
            <w:r>
              <w:rPr>
                <w:sz w:val="16"/>
              </w:rPr>
              <w:t>1.0-1.4 g/cm3</w:t>
            </w:r>
          </w:p>
        </w:tc>
        <w:tc>
          <w:tcPr>
            <w:tcW w:type="dxa" w:w="2635"/>
          </w:tcPr>
          <w:p>
            <w:r>
              <w:rPr>
                <w:sz w:val="16"/>
              </w:rPr>
              <w:t>&gt;1.0 g/cm3</w:t>
            </w:r>
          </w:p>
        </w:tc>
        <w:tc>
          <w:tcPr>
            <w:tcW w:type="dxa" w:w="2635"/>
          </w:tcPr>
          <w:p>
            <w:r>
              <w:rPr>
                <w:sz w:val="16"/>
              </w:rPr>
              <w:t>ASTM B527</w:t>
            </w:r>
          </w:p>
        </w:tc>
      </w:tr>
      <w:tr>
        <w:tc>
          <w:tcPr>
            <w:tcW w:type="dxa" w:w="2635"/>
          </w:tcPr>
          <w:p>
            <w:r>
              <w:rPr>
                <w:sz w:val="16"/>
              </w:rPr>
              <w:t>Pellet density</w:t>
            </w:r>
          </w:p>
        </w:tc>
        <w:tc>
          <w:tcPr>
            <w:tcW w:type="dxa" w:w="2635"/>
          </w:tcPr>
          <w:p>
            <w:r>
              <w:rPr>
                <w:sz w:val="16"/>
              </w:rPr>
              <w:t>&gt;=2.40 g/cm3</w:t>
            </w:r>
          </w:p>
        </w:tc>
        <w:tc>
          <w:tcPr>
            <w:tcW w:type="dxa" w:w="2635"/>
          </w:tcPr>
          <w:p>
            <w:r>
              <w:rPr>
                <w:sz w:val="16"/>
              </w:rPr>
              <w:t>Min 2.40 g/cm3</w:t>
            </w:r>
          </w:p>
        </w:tc>
        <w:tc>
          <w:tcPr>
            <w:tcW w:type="dxa" w:w="2635"/>
          </w:tcPr>
          <w:p>
            <w:r>
              <w:rPr>
                <w:sz w:val="16"/>
              </w:rPr>
              <w:t>Compaction measurement</w:t>
            </w:r>
          </w:p>
        </w:tc>
      </w:tr>
      <w:tr>
        <w:tc>
          <w:tcPr>
            <w:tcW w:type="dxa" w:w="2635"/>
          </w:tcPr>
          <w:p>
            <w:r>
              <w:rPr>
                <w:sz w:val="16"/>
              </w:rPr>
              <w:t>Electrode press density</w:t>
            </w:r>
          </w:p>
        </w:tc>
        <w:tc>
          <w:tcPr>
            <w:tcW w:type="dxa" w:w="2635"/>
          </w:tcPr>
          <w:p>
            <w:r>
              <w:rPr>
                <w:sz w:val="16"/>
              </w:rPr>
              <w:t>&gt;=2.30 g/cm3</w:t>
            </w:r>
          </w:p>
        </w:tc>
        <w:tc>
          <w:tcPr>
            <w:tcW w:type="dxa" w:w="2635"/>
          </w:tcPr>
          <w:p>
            <w:r>
              <w:rPr>
                <w:sz w:val="16"/>
              </w:rPr>
              <w:t>Min 2.30 g/cm3</w:t>
            </w:r>
          </w:p>
        </w:tc>
        <w:tc>
          <w:tcPr>
            <w:tcW w:type="dxa" w:w="2635"/>
          </w:tcPr>
          <w:p>
            <w:r>
              <w:rPr>
                <w:sz w:val="16"/>
              </w:rPr>
              <w:t>Press density measurement</w:t>
            </w:r>
          </w:p>
        </w:tc>
      </w:tr>
      <w:tr>
        <w:tc>
          <w:tcPr>
            <w:tcW w:type="dxa" w:w="2635"/>
          </w:tcPr>
          <w:p>
            <w:r>
              <w:rPr>
                <w:sz w:val="16"/>
              </w:rPr>
              <w:t>Phase purity (olivine)</w:t>
            </w:r>
          </w:p>
        </w:tc>
        <w:tc>
          <w:tcPr>
            <w:tcW w:type="dxa" w:w="2635"/>
          </w:tcPr>
          <w:p>
            <w:r>
              <w:rPr>
                <w:sz w:val="16"/>
              </w:rPr>
              <w:t>&gt;98%</w:t>
            </w:r>
          </w:p>
        </w:tc>
        <w:tc>
          <w:tcPr>
            <w:tcW w:type="dxa" w:w="2635"/>
          </w:tcPr>
          <w:p>
            <w:r>
              <w:rPr>
                <w:sz w:val="16"/>
              </w:rPr>
              <w:t>Min 97%</w:t>
            </w:r>
          </w:p>
        </w:tc>
        <w:tc>
          <w:tcPr>
            <w:tcW w:type="dxa" w:w="2635"/>
          </w:tcPr>
          <w:p>
            <w:r>
              <w:rPr>
                <w:sz w:val="16"/>
              </w:rPr>
              <w:t>XRD Rietveld refinement</w:t>
            </w:r>
          </w:p>
        </w:tc>
      </w:tr>
      <w:tr>
        <w:tc>
          <w:tcPr>
            <w:tcW w:type="dxa" w:w="2635"/>
          </w:tcPr>
          <w:p>
            <w:r>
              <w:rPr>
                <w:sz w:val="16"/>
              </w:rPr>
              <w:t>Carbon content</w:t>
            </w:r>
          </w:p>
        </w:tc>
        <w:tc>
          <w:tcPr>
            <w:tcW w:type="dxa" w:w="2635"/>
          </w:tcPr>
          <w:p>
            <w:r>
              <w:rPr>
                <w:sz w:val="16"/>
              </w:rPr>
              <w:t>1.0-1.8 wt%</w:t>
            </w:r>
          </w:p>
        </w:tc>
        <w:tc>
          <w:tcPr>
            <w:tcW w:type="dxa" w:w="2635"/>
          </w:tcPr>
          <w:p>
            <w:r>
              <w:rPr>
                <w:sz w:val="16"/>
              </w:rPr>
              <w:t>Range</w:t>
            </w:r>
          </w:p>
        </w:tc>
        <w:tc>
          <w:tcPr>
            <w:tcW w:type="dxa" w:w="2635"/>
          </w:tcPr>
          <w:p>
            <w:r>
              <w:rPr>
                <w:sz w:val="16"/>
              </w:rPr>
              <w:t>TGA / combustion analysis</w:t>
            </w:r>
          </w:p>
        </w:tc>
      </w:tr>
      <w:tr>
        <w:tc>
          <w:tcPr>
            <w:tcW w:type="dxa" w:w="2635"/>
          </w:tcPr>
          <w:p>
            <w:r>
              <w:rPr>
                <w:sz w:val="16"/>
              </w:rPr>
              <w:t>Fe2+/Fe3+ ratio</w:t>
            </w:r>
          </w:p>
        </w:tc>
        <w:tc>
          <w:tcPr>
            <w:tcW w:type="dxa" w:w="2635"/>
          </w:tcPr>
          <w:p>
            <w:r>
              <w:rPr>
                <w:sz w:val="16"/>
              </w:rPr>
              <w:t>&gt;0.95</w:t>
            </w:r>
          </w:p>
        </w:tc>
        <w:tc>
          <w:tcPr>
            <w:tcW w:type="dxa" w:w="2635"/>
          </w:tcPr>
          <w:p>
            <w:r>
              <w:rPr>
                <w:sz w:val="16"/>
              </w:rPr>
              <w:t>Min 0.90</w:t>
            </w:r>
          </w:p>
        </w:tc>
        <w:tc>
          <w:tcPr>
            <w:tcW w:type="dxa" w:w="2635"/>
          </w:tcPr>
          <w:p>
            <w:r>
              <w:rPr>
                <w:sz w:val="16"/>
              </w:rPr>
              <w:t>Mossbauer spectroscopy / XPS</w:t>
            </w:r>
          </w:p>
        </w:tc>
      </w:tr>
      <w:tr>
        <w:tc>
          <w:tcPr>
            <w:tcW w:type="dxa" w:w="2635"/>
          </w:tcPr>
          <w:p>
            <w:r>
              <w:rPr>
                <w:sz w:val="16"/>
              </w:rPr>
              <w:t>Discharge capacity (0.1C)</w:t>
            </w:r>
          </w:p>
        </w:tc>
        <w:tc>
          <w:tcPr>
            <w:tcW w:type="dxa" w:w="2635"/>
          </w:tcPr>
          <w:p>
            <w:r>
              <w:rPr>
                <w:sz w:val="16"/>
              </w:rPr>
              <w:t>&gt;=155 mAh/g</w:t>
            </w:r>
          </w:p>
        </w:tc>
        <w:tc>
          <w:tcPr>
            <w:tcW w:type="dxa" w:w="2635"/>
          </w:tcPr>
          <w:p>
            <w:r>
              <w:rPr>
                <w:sz w:val="16"/>
              </w:rPr>
              <w:t>Min 150 mAh/g</w:t>
            </w:r>
          </w:p>
        </w:tc>
        <w:tc>
          <w:tcPr>
            <w:tcW w:type="dxa" w:w="2635"/>
          </w:tcPr>
          <w:p>
            <w:r>
              <w:rPr>
                <w:sz w:val="16"/>
              </w:rPr>
              <w:t>Half-cell electrochemical test</w:t>
            </w:r>
          </w:p>
        </w:tc>
      </w:tr>
      <w:tr>
        <w:tc>
          <w:tcPr>
            <w:tcW w:type="dxa" w:w="2635"/>
          </w:tcPr>
          <w:p>
            <w:r>
              <w:rPr>
                <w:sz w:val="16"/>
              </w:rPr>
              <w:t>Discharge capacity (1C)</w:t>
            </w:r>
          </w:p>
        </w:tc>
        <w:tc>
          <w:tcPr>
            <w:tcW w:type="dxa" w:w="2635"/>
          </w:tcPr>
          <w:p>
            <w:r>
              <w:rPr>
                <w:sz w:val="16"/>
              </w:rPr>
              <w:t>&gt;=140 mAh/g</w:t>
            </w:r>
          </w:p>
        </w:tc>
        <w:tc>
          <w:tcPr>
            <w:tcW w:type="dxa" w:w="2635"/>
          </w:tcPr>
          <w:p>
            <w:r>
              <w:rPr>
                <w:sz w:val="16"/>
              </w:rPr>
              <w:t>Min 135 mAh/g</w:t>
            </w:r>
          </w:p>
        </w:tc>
        <w:tc>
          <w:tcPr>
            <w:tcW w:type="dxa" w:w="2635"/>
          </w:tcPr>
          <w:p>
            <w:r>
              <w:rPr>
                <w:sz w:val="16"/>
              </w:rPr>
              <w:t>Half-cell electrochemical test</w:t>
            </w:r>
          </w:p>
        </w:tc>
      </w:tr>
      <w:tr>
        <w:tc>
          <w:tcPr>
            <w:tcW w:type="dxa" w:w="2635"/>
          </w:tcPr>
          <w:p>
            <w:r>
              <w:rPr>
                <w:sz w:val="16"/>
              </w:rPr>
              <w:t>Initial Coulombic Efficiency</w:t>
            </w:r>
          </w:p>
        </w:tc>
        <w:tc>
          <w:tcPr>
            <w:tcW w:type="dxa" w:w="2635"/>
          </w:tcPr>
          <w:p>
            <w:r>
              <w:rPr>
                <w:sz w:val="16"/>
              </w:rPr>
              <w:t>~98%</w:t>
            </w:r>
          </w:p>
        </w:tc>
        <w:tc>
          <w:tcPr>
            <w:tcW w:type="dxa" w:w="2635"/>
          </w:tcPr>
          <w:p>
            <w:r>
              <w:rPr>
                <w:sz w:val="16"/>
              </w:rPr>
              <w:t>Min 96%</w:t>
            </w:r>
          </w:p>
        </w:tc>
        <w:tc>
          <w:tcPr>
            <w:tcW w:type="dxa" w:w="2635"/>
          </w:tcPr>
          <w:p>
            <w:r>
              <w:rPr>
                <w:sz w:val="16"/>
              </w:rPr>
              <w:t>Half-cell electrochemical test</w:t>
            </w:r>
          </w:p>
        </w:tc>
      </w:tr>
      <w:tr>
        <w:tc>
          <w:tcPr>
            <w:tcW w:type="dxa" w:w="2635"/>
          </w:tcPr>
          <w:p>
            <w:r>
              <w:rPr>
                <w:sz w:val="16"/>
              </w:rPr>
              <w:t>Moisture</w:t>
            </w:r>
          </w:p>
        </w:tc>
        <w:tc>
          <w:tcPr>
            <w:tcW w:type="dxa" w:w="2635"/>
          </w:tcPr>
          <w:p>
            <w:r>
              <w:rPr>
                <w:sz w:val="16"/>
              </w:rPr>
              <w:t>&lt;750 ppm</w:t>
            </w:r>
          </w:p>
        </w:tc>
        <w:tc>
          <w:tcPr>
            <w:tcW w:type="dxa" w:w="2635"/>
          </w:tcPr>
          <w:p>
            <w:r>
              <w:rPr>
                <w:sz w:val="16"/>
              </w:rPr>
              <w:t>Max 750 ppm</w:t>
            </w:r>
          </w:p>
        </w:tc>
        <w:tc>
          <w:tcPr>
            <w:tcW w:type="dxa" w:w="2635"/>
          </w:tcPr>
          <w:p>
            <w:r>
              <w:rPr>
                <w:sz w:val="16"/>
              </w:rPr>
              <w:t>Karl Fischer titration</w:t>
            </w:r>
          </w:p>
        </w:tc>
      </w:tr>
      <w:tr>
        <w:tc>
          <w:tcPr>
            <w:tcW w:type="dxa" w:w="2635"/>
          </w:tcPr>
          <w:p>
            <w:r>
              <w:rPr>
                <w:sz w:val="16"/>
              </w:rPr>
              <w:t>Magnetic impurities</w:t>
            </w:r>
          </w:p>
        </w:tc>
        <w:tc>
          <w:tcPr>
            <w:tcW w:type="dxa" w:w="2635"/>
          </w:tcPr>
          <w:p>
            <w:r>
              <w:rPr>
                <w:sz w:val="16"/>
              </w:rPr>
              <w:t>&lt;=1000 ppb</w:t>
            </w:r>
          </w:p>
        </w:tc>
        <w:tc>
          <w:tcPr>
            <w:tcW w:type="dxa" w:w="2635"/>
          </w:tcPr>
          <w:p>
            <w:r>
              <w:rPr>
                <w:sz w:val="16"/>
              </w:rPr>
              <w:t>Max 1000 ppb</w:t>
            </w:r>
          </w:p>
        </w:tc>
        <w:tc>
          <w:tcPr>
            <w:tcW w:type="dxa" w:w="2635"/>
          </w:tcPr>
          <w:p>
            <w:r>
              <w:rPr>
                <w:sz w:val="16"/>
              </w:rPr>
              <w:t>Magnetic susceptibility</w:t>
            </w:r>
          </w:p>
        </w:tc>
      </w:tr>
    </w:tbl>
    <w:p>
      <w:r>
        <w:rPr>
          <w:sz w:val="18"/>
        </w:rPr>
        <w:t>These specifications target Tier-1 European cell manufacturers (e.g., PowerCo, Verkor, Northvolt, ACC) who require consistent, battery-grade LFP CAM with full traceability -- a requirement that will be mandated by the EU Battery Regulation (2023/1542) Battery Passport from 2027.</w:t>
      </w:r>
    </w:p>
    <w:p>
      <w:pPr>
        <w:pStyle w:val="Heading3"/>
      </w:pPr>
      <w:r>
        <w:t>1.3 Innovation Pillars</w:t>
      </w:r>
    </w:p>
    <w:p>
      <w:r>
        <w:rPr>
          <w:sz w:val="18"/>
        </w:rPr>
        <w:t>The project rests on three mutually reinforcing innovation pillars:</w:t>
      </w:r>
    </w:p>
    <w:p>
      <w:r>
        <w:rPr>
          <w:b/>
          <w:sz w:val="18"/>
        </w:rPr>
        <w:t>Pillar 1 -- Electrification of process heat</w:t>
      </w:r>
      <w:r>
        <w:rPr>
          <w:sz w:val="18"/>
        </w:rPr>
        <w:t xml:space="preserve">: Replacing natural gas with electricity for spray drying and calcination eliminates Scope 1 combustion emissions, provides superior temperature control precision (+/-1 C vs +/-5-10 C for gas burners) </w:t>
      </w:r>
      <w:r>
        <w:rPr>
          <w:color w:val="0066CC"/>
          <w:sz w:val="16"/>
        </w:rPr>
        <w:t>[SRC-ED-018]</w:t>
      </w:r>
      <w:r>
        <w:rPr>
          <w:sz w:val="18"/>
        </w:rPr>
        <w:t xml:space="preserve">, and locks in a future-proof infrastructure design that avoids stranded fossil fuel assets </w:t>
      </w:r>
      <w:r>
        <w:rPr>
          <w:color w:val="0066CC"/>
          <w:sz w:val="16"/>
        </w:rPr>
        <w:t>[CLM-030]</w:t>
      </w:r>
      <w:r>
        <w:rPr>
          <w:sz w:val="18"/>
        </w:rPr>
        <w:t>.</w:t>
      </w:r>
    </w:p>
    <w:p>
      <w:r>
        <w:rPr>
          <w:b/>
          <w:sz w:val="18"/>
        </w:rPr>
        <w:t>Pillar 2 -- Integrated digital twin</w:t>
      </w:r>
      <w:r>
        <w:rPr>
          <w:sz w:val="18"/>
        </w:rPr>
        <w:t xml:space="preserve">: The first digital twin for upstream CAM powder synthesis fills a documented gap between electrode-level DTs (ARTISTIC platform </w:t>
      </w:r>
      <w:r>
        <w:rPr>
          <w:color w:val="0066CC"/>
          <w:sz w:val="16"/>
        </w:rPr>
        <w:t>[SRC-004]</w:t>
      </w:r>
      <w:r>
        <w:rPr>
          <w:sz w:val="18"/>
        </w:rPr>
        <w:t xml:space="preserve">) and cell-level DTs (Fraunhofer DiBaZ) </w:t>
      </w:r>
      <w:r>
        <w:rPr>
          <w:color w:val="0066CC"/>
          <w:sz w:val="16"/>
        </w:rPr>
        <w:t>[CLM-005]</w:t>
      </w:r>
      <w:r>
        <w:rPr>
          <w:sz w:val="18"/>
        </w:rPr>
        <w:t>. The DT enables real-time quality prediction, closed-loop MPC, predictive maintenance, and accelerated process optimisation during ramp-up.</w:t>
      </w:r>
    </w:p>
    <w:p>
      <w:r>
        <w:rPr>
          <w:b/>
          <w:sz w:val="18"/>
        </w:rPr>
        <w:t>Pillar 3 -- EU strategic autonomy</w:t>
      </w:r>
      <w:r>
        <w:rPr>
          <w:sz w:val="18"/>
        </w:rPr>
        <w:t xml:space="preserve">: The plant establishes domestic LFP CAM supply for European cell manufacturers, reducing single-source dependency on China </w:t>
      </w:r>
      <w:r>
        <w:rPr>
          <w:color w:val="0066CC"/>
          <w:sz w:val="16"/>
        </w:rPr>
        <w:t>[CLM-001]</w:t>
      </w:r>
      <w:r>
        <w:rPr>
          <w:sz w:val="18"/>
        </w:rPr>
        <w:t xml:space="preserve"> and contributing to NZIA manufacturing benchmarks.</w:t>
      </w:r>
    </w:p>
    <w:p>
      <w:pPr>
        <w:pStyle w:val="Heading3"/>
      </w:pPr>
      <w:r>
        <w:t>1.4 Block Flow Diagram</w:t>
      </w:r>
    </w:p>
    <w:p>
      <w:r>
        <w:rPr>
          <w:sz w:val="18"/>
        </w:rPr>
        <w:t xml:space="preserve">The production process comprises seven sequential unit operations. </w:t>
      </w:r>
      <w:r>
        <w:rPr>
          <w:i/>
          <w:sz w:val="18"/>
        </w:rPr>
        <w:t>See Figure 1 in the Word document for the graphical block flow diagram.</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Step</w:t>
            </w:r>
          </w:p>
        </w:tc>
        <w:tc>
          <w:tcPr>
            <w:tcW w:type="dxa" w:w="2635"/>
          </w:tcPr>
          <w:p>
            <w:r>
              <w:rPr>
                <w:b/>
                <w:sz w:val="16"/>
              </w:rPr>
              <w:t>Unit Operation</w:t>
            </w:r>
          </w:p>
        </w:tc>
        <w:tc>
          <w:tcPr>
            <w:tcW w:type="dxa" w:w="2635"/>
          </w:tcPr>
          <w:p>
            <w:r>
              <w:rPr>
                <w:b/>
                <w:sz w:val="16"/>
              </w:rPr>
              <w:t>Key Equipment</w:t>
            </w:r>
          </w:p>
        </w:tc>
        <w:tc>
          <w:tcPr>
            <w:tcW w:type="dxa" w:w="2635"/>
          </w:tcPr>
          <w:p>
            <w:r>
              <w:rPr>
                <w:b/>
                <w:sz w:val="16"/>
              </w:rPr>
              <w:t>Innovation Element</w:t>
            </w:r>
          </w:p>
        </w:tc>
      </w:tr>
      <w:tr>
        <w:tc>
          <w:tcPr>
            <w:tcW w:type="dxa" w:w="2635"/>
          </w:tcPr>
          <w:p>
            <w:r>
              <w:rPr>
                <w:sz w:val="16"/>
              </w:rPr>
              <w:t>1</w:t>
            </w:r>
          </w:p>
        </w:tc>
        <w:tc>
          <w:tcPr>
            <w:tcW w:type="dxa" w:w="2635"/>
          </w:tcPr>
          <w:p>
            <w:r>
              <w:rPr>
                <w:sz w:val="16"/>
              </w:rPr>
              <w:t>Raw material dosing and dispersion</w:t>
            </w:r>
          </w:p>
        </w:tc>
        <w:tc>
          <w:tcPr>
            <w:tcW w:type="dxa" w:w="2635"/>
          </w:tcPr>
          <w:p>
            <w:r>
              <w:rPr>
                <w:sz w:val="16"/>
              </w:rPr>
              <w:t>Gravimetric feeders, stirred dispersion tank</w:t>
            </w:r>
          </w:p>
        </w:tc>
        <w:tc>
          <w:tcPr>
            <w:tcW w:type="dxa" w:w="2635"/>
          </w:tcPr>
          <w:p>
            <w:r>
              <w:rPr>
                <w:sz w:val="16"/>
              </w:rPr>
              <w:t>DT-monitored stoichiometry</w:t>
            </w:r>
          </w:p>
        </w:tc>
      </w:tr>
      <w:tr>
        <w:tc>
          <w:tcPr>
            <w:tcW w:type="dxa" w:w="2635"/>
          </w:tcPr>
          <w:p>
            <w:r>
              <w:rPr>
                <w:sz w:val="16"/>
              </w:rPr>
              <w:t>2</w:t>
            </w:r>
          </w:p>
        </w:tc>
        <w:tc>
          <w:tcPr>
            <w:tcW w:type="dxa" w:w="2635"/>
          </w:tcPr>
          <w:p>
            <w:r>
              <w:rPr>
                <w:sz w:val="16"/>
              </w:rPr>
              <w:t>Bead milling + magnetic particle removal</w:t>
            </w:r>
          </w:p>
        </w:tc>
        <w:tc>
          <w:tcPr>
            <w:tcW w:type="dxa" w:w="2635"/>
          </w:tcPr>
          <w:p>
            <w:r>
              <w:rPr>
                <w:sz w:val="16"/>
              </w:rPr>
              <w:t>Horizontal bead mill, electromagnetic demagnetiser</w:t>
            </w:r>
          </w:p>
        </w:tc>
        <w:tc>
          <w:tcPr>
            <w:tcW w:type="dxa" w:w="2635"/>
          </w:tcPr>
          <w:p>
            <w:r>
              <w:rPr>
                <w:sz w:val="16"/>
              </w:rPr>
              <w:t>In-line FBRM particle size monitoring</w:t>
            </w:r>
          </w:p>
        </w:tc>
      </w:tr>
      <w:tr>
        <w:tc>
          <w:tcPr>
            <w:tcW w:type="dxa" w:w="2635"/>
          </w:tcPr>
          <w:p>
            <w:r>
              <w:rPr>
                <w:sz w:val="16"/>
              </w:rPr>
              <w:t>3</w:t>
            </w:r>
          </w:p>
        </w:tc>
        <w:tc>
          <w:tcPr>
            <w:tcW w:type="dxa" w:w="2635"/>
          </w:tcPr>
          <w:p>
            <w:r>
              <w:rPr>
                <w:sz w:val="16"/>
              </w:rPr>
              <w:t>Spray drying (ELECTRIFIED)</w:t>
            </w:r>
          </w:p>
        </w:tc>
        <w:tc>
          <w:tcPr>
            <w:tcW w:type="dxa" w:w="2635"/>
          </w:tcPr>
          <w:p>
            <w:r>
              <w:rPr>
                <w:sz w:val="16"/>
              </w:rPr>
              <w:t>Electric spray dryer with HTHP air pre-heating</w:t>
            </w:r>
          </w:p>
        </w:tc>
        <w:tc>
          <w:tcPr>
            <w:tcW w:type="dxa" w:w="2635"/>
          </w:tcPr>
          <w:p>
            <w:r>
              <w:rPr>
                <w:sz w:val="16"/>
              </w:rPr>
              <w:t>Electrified thermal processing; DT-controlled drying parameters</w:t>
            </w:r>
          </w:p>
        </w:tc>
      </w:tr>
      <w:tr>
        <w:tc>
          <w:tcPr>
            <w:tcW w:type="dxa" w:w="2635"/>
          </w:tcPr>
          <w:p>
            <w:r>
              <w:rPr>
                <w:sz w:val="16"/>
              </w:rPr>
              <w:t>4</w:t>
            </w:r>
          </w:p>
        </w:tc>
        <w:tc>
          <w:tcPr>
            <w:tcW w:type="dxa" w:w="2635"/>
          </w:tcPr>
          <w:p>
            <w:r>
              <w:rPr>
                <w:sz w:val="16"/>
              </w:rPr>
              <w:t>Calcination (ELECTRIFIED)</w:t>
            </w:r>
          </w:p>
        </w:tc>
        <w:tc>
          <w:tcPr>
            <w:tcW w:type="dxa" w:w="2635"/>
          </w:tcPr>
          <w:p>
            <w:r>
              <w:rPr>
                <w:sz w:val="16"/>
              </w:rPr>
              <w:t>Electric roller hearth kiln, N2 atmosphere</w:t>
            </w:r>
          </w:p>
        </w:tc>
        <w:tc>
          <w:tcPr>
            <w:tcW w:type="dxa" w:w="2635"/>
          </w:tcPr>
          <w:p>
            <w:r>
              <w:rPr>
                <w:sz w:val="16"/>
              </w:rPr>
              <w:t>Electrified calcination; DT-driven temperature profile MPC</w:t>
            </w:r>
          </w:p>
        </w:tc>
      </w:tr>
      <w:tr>
        <w:tc>
          <w:tcPr>
            <w:tcW w:type="dxa" w:w="2635"/>
          </w:tcPr>
          <w:p>
            <w:r>
              <w:rPr>
                <w:sz w:val="16"/>
              </w:rPr>
              <w:t>5</w:t>
            </w:r>
          </w:p>
        </w:tc>
        <w:tc>
          <w:tcPr>
            <w:tcW w:type="dxa" w:w="2635"/>
          </w:tcPr>
          <w:p>
            <w:r>
              <w:rPr>
                <w:sz w:val="16"/>
              </w:rPr>
              <w:t>Jet milling</w:t>
            </w:r>
          </w:p>
        </w:tc>
        <w:tc>
          <w:tcPr>
            <w:tcW w:type="dxa" w:w="2635"/>
          </w:tcPr>
          <w:p>
            <w:r>
              <w:rPr>
                <w:sz w:val="16"/>
              </w:rPr>
              <w:t>Air-flow jet mill</w:t>
            </w:r>
          </w:p>
        </w:tc>
        <w:tc>
          <w:tcPr>
            <w:tcW w:type="dxa" w:w="2635"/>
          </w:tcPr>
          <w:p>
            <w:r>
              <w:rPr>
                <w:sz w:val="16"/>
              </w:rPr>
              <w:t>DEM-based DT model for milling optimisation</w:t>
            </w:r>
          </w:p>
        </w:tc>
      </w:tr>
      <w:tr>
        <w:tc>
          <w:tcPr>
            <w:tcW w:type="dxa" w:w="2635"/>
          </w:tcPr>
          <w:p>
            <w:r>
              <w:rPr>
                <w:sz w:val="16"/>
              </w:rPr>
              <w:t>6</w:t>
            </w:r>
          </w:p>
        </w:tc>
        <w:tc>
          <w:tcPr>
            <w:tcW w:type="dxa" w:w="2635"/>
          </w:tcPr>
          <w:p>
            <w:r>
              <w:rPr>
                <w:sz w:val="16"/>
              </w:rPr>
              <w:t>Classification + demagnetisation</w:t>
            </w:r>
          </w:p>
        </w:tc>
        <w:tc>
          <w:tcPr>
            <w:tcW w:type="dxa" w:w="2635"/>
          </w:tcPr>
          <w:p>
            <w:r>
              <w:rPr>
                <w:sz w:val="16"/>
              </w:rPr>
              <w:t>Ultrasonic vibrating sieve, electromagnetic separator</w:t>
            </w:r>
          </w:p>
        </w:tc>
        <w:tc>
          <w:tcPr>
            <w:tcW w:type="dxa" w:w="2635"/>
          </w:tcPr>
          <w:p>
            <w:r>
              <w:rPr>
                <w:sz w:val="16"/>
              </w:rPr>
              <w:t>At-line quality verification integrated with DT</w:t>
            </w:r>
          </w:p>
        </w:tc>
      </w:tr>
      <w:tr>
        <w:tc>
          <w:tcPr>
            <w:tcW w:type="dxa" w:w="2635"/>
          </w:tcPr>
          <w:p>
            <w:r>
              <w:rPr>
                <w:sz w:val="16"/>
              </w:rPr>
              <w:t>7</w:t>
            </w:r>
          </w:p>
        </w:tc>
        <w:tc>
          <w:tcPr>
            <w:tcW w:type="dxa" w:w="2635"/>
          </w:tcPr>
          <w:p>
            <w:r>
              <w:rPr>
                <w:sz w:val="16"/>
              </w:rPr>
              <w:t>Automated packaging</w:t>
            </w:r>
          </w:p>
        </w:tc>
        <w:tc>
          <w:tcPr>
            <w:tcW w:type="dxa" w:w="2635"/>
          </w:tcPr>
          <w:p>
            <w:r>
              <w:rPr>
                <w:sz w:val="16"/>
              </w:rPr>
              <w:t>N2-blanketed packaging line</w:t>
            </w:r>
          </w:p>
        </w:tc>
        <w:tc>
          <w:tcPr>
            <w:tcW w:type="dxa" w:w="2635"/>
          </w:tcPr>
          <w:p>
            <w:r>
              <w:rPr>
                <w:sz w:val="16"/>
              </w:rPr>
              <w:t>Full traceability, Battery Passport data capture</w:t>
            </w:r>
          </w:p>
        </w:tc>
      </w:tr>
    </w:tbl>
    <w:p>
      <w:r>
        <w:rPr>
          <w:sz w:val="18"/>
        </w:rPr>
        <w:t xml:space="preserve">The process flow is: raw materials (FePO4 + Li2CO3 + glucose) enter at Step 1, water is removed at Step 3 (spray drying), the solid-state reaction occurs at Step 4 (calcination at 700-800 C under N2), particle size is refined at Steps 5-6, and finished LiFePO4/C powder exits at Step 7. DT integration points exist at every step, with the most critical being Steps 3 (spray drying) and 4 (calcination), where process parameters directly determine final product quality </w:t>
      </w:r>
      <w:r>
        <w:rPr>
          <w:color w:val="0066CC"/>
          <w:sz w:val="16"/>
        </w:rPr>
        <w:t>[CLM-009]</w:t>
      </w:r>
      <w:r>
        <w:rPr>
          <w:sz w:val="18"/>
        </w:rPr>
        <w:t>.</w:t>
      </w:r>
    </w:p>
    <w:p>
      <w:r>
        <w:rPr>
          <w:sz w:val="18"/>
        </w:rPr>
        <w:t>---</w:t>
      </w:r>
    </w:p>
    <w:p>
      <w:pPr>
        <w:pStyle w:val="Heading2"/>
      </w:pPr>
      <w:r>
        <w:t>2. Background Information (Existing Situation)</w:t>
      </w:r>
    </w:p>
    <w:p>
      <w:pPr>
        <w:pStyle w:val="Heading3"/>
      </w:pPr>
      <w:r>
        <w:t>2.1 Eni Brindisi Brownfield Site</w:t>
      </w:r>
    </w:p>
    <w:p>
      <w:r>
        <w:rPr>
          <w:sz w:val="18"/>
        </w:rPr>
        <w:t>The project is sited on an existing industrial property owned by Eni S.p.A. in Brindisi, Puglia, southern Italy. The Brindisi complex has operated as an Eni petrochemical and energy site for several decades, providing established industrial infrastructure including:</w:t>
      </w:r>
    </w:p>
    <w:p>
      <w:pPr>
        <w:pStyle w:val="ListBullet"/>
      </w:pPr>
      <w:r>
        <w:rPr>
          <w:sz w:val="18"/>
        </w:rPr>
        <w:t>High-voltage grid connection and electrical distribution capacity</w:t>
      </w:r>
    </w:p>
    <w:p>
      <w:pPr>
        <w:pStyle w:val="ListBullet"/>
      </w:pPr>
      <w:r>
        <w:rPr>
          <w:sz w:val="18"/>
        </w:rPr>
        <w:t>Industrial water supply and wastewater treatment facilities</w:t>
      </w:r>
    </w:p>
    <w:p>
      <w:pPr>
        <w:pStyle w:val="ListBullet"/>
      </w:pPr>
      <w:r>
        <w:rPr>
          <w:sz w:val="18"/>
        </w:rPr>
        <w:t>Road and rail access for logistics</w:t>
      </w:r>
    </w:p>
    <w:p>
      <w:pPr>
        <w:pStyle w:val="ListBullet"/>
      </w:pPr>
      <w:r>
        <w:rPr>
          <w:sz w:val="18"/>
        </w:rPr>
        <w:t>Proximity to Brindisi port for maritime raw material supply</w:t>
      </w:r>
    </w:p>
    <w:p>
      <w:pPr>
        <w:pStyle w:val="ListBullet"/>
      </w:pPr>
      <w:r>
        <w:rPr>
          <w:sz w:val="18"/>
        </w:rPr>
        <w:t>Established relationships with local regulatory authorities (Regione Puglia, ARPA Puglia)</w:t>
      </w:r>
    </w:p>
    <w:p>
      <w:pPr>
        <w:pStyle w:val="ListBullet"/>
      </w:pPr>
      <w:r>
        <w:rPr>
          <w:sz w:val="18"/>
        </w:rPr>
        <w:t>Existing environmental baseline data and monitoring systems</w:t>
      </w:r>
    </w:p>
    <w:p>
      <w:pPr>
        <w:pStyle w:val="ListBullet"/>
      </w:pPr>
      <w:r>
        <w:rPr>
          <w:sz w:val="18"/>
        </w:rPr>
        <w:t>Industrial zoning classification eliminating residential proximity concerns</w:t>
      </w:r>
    </w:p>
    <w:p>
      <w:r>
        <w:rPr>
          <w:sz w:val="18"/>
        </w:rPr>
        <w:t xml:space="preserve">The FACE plant workshop footprint is approximately 161.1 m x 106 m (~17,100 m2), housing 4 modular production lines. The Brindisi site is currently undergoing brownfield remediation (cleanup in progress), confirming its transition from prior industrial operations to new clean-tech manufacturing use. </w:t>
      </w:r>
      <w:r>
        <w:rPr>
          <w:b/>
          <w:color w:val="CC0000"/>
          <w:sz w:val="18"/>
        </w:rPr>
        <w:t>[TO BE COMPLETED: specific area allocation within the Eni Brindisi complex, existing structures to be repurposed vs demolished, to be confirmed by site engineering team.]</w:t>
      </w:r>
    </w:p>
    <w:p>
      <w:r>
        <w:rPr>
          <w:sz w:val="18"/>
        </w:rPr>
        <w:t>The brownfield nature of the site offers material advantages: reduced civil works scope compared to greenfield construction, accelerated permitting based on existing industrial zoning and environmental authorisation precedent, and existing utility connections that reduce infrastructure CAPEX and lead time.</w:t>
      </w:r>
    </w:p>
    <w:p>
      <w:pPr>
        <w:pStyle w:val="Heading3"/>
      </w:pPr>
      <w:r>
        <w:t>2.2 Global LFP CAM Market Context</w:t>
      </w:r>
    </w:p>
    <w:p>
      <w:r>
        <w:rPr>
          <w:sz w:val="18"/>
        </w:rPr>
        <w:t xml:space="preserve">The global LFP CAM market presents a stark geographic concentration. China controls over 99% of global LFP CAM production capacity </w:t>
      </w:r>
      <w:r>
        <w:rPr>
          <w:color w:val="0066CC"/>
          <w:sz w:val="16"/>
        </w:rPr>
        <w:t>[CLM-001, SRC-022, SRC-023]</w:t>
      </w:r>
      <w:r>
        <w:rPr>
          <w:sz w:val="18"/>
        </w:rPr>
        <w:t xml:space="preserve">. The dominant producers -- CATL, BYD, Gotion High-Tech, and Dynanonic -- operate exclusively gas-fired production facilities using natural gas rotary kilns for calcination and gas-heated spray dryers </w:t>
      </w:r>
      <w:r>
        <w:rPr>
          <w:color w:val="0066CC"/>
          <w:sz w:val="16"/>
        </w:rPr>
        <w:t>[SRC-022, SRC-PAT-005]</w:t>
      </w:r>
      <w:r>
        <w:rPr>
          <w:sz w:val="18"/>
        </w:rPr>
        <w:t>.</w:t>
      </w:r>
    </w:p>
    <w:p>
      <w:r>
        <w:rPr>
          <w:sz w:val="18"/>
        </w:rPr>
        <w:t xml:space="preserve">This concentration has become an acute supply chain risk following China's imposition of export licensing requirements on 4th-generation LFP cathode technology in July 2025 and the broadening of these controls to battery cells, precursors, anode materials, and production equipment in October 2025 </w:t>
      </w:r>
      <w:r>
        <w:rPr>
          <w:color w:val="0066CC"/>
          <w:sz w:val="16"/>
        </w:rPr>
        <w:t>[CLM-002, SRC-024]</w:t>
      </w:r>
      <w:r>
        <w:rPr>
          <w:sz w:val="18"/>
        </w:rPr>
        <w:t xml:space="preserve">. The German Council on Foreign Relations (DGAP) has identified EU LFP CAM manufacturing as a critical strategic gap </w:t>
      </w:r>
      <w:r>
        <w:rPr>
          <w:color w:val="0066CC"/>
          <w:sz w:val="16"/>
        </w:rPr>
        <w:t>[SRC-024]</w:t>
      </w:r>
      <w:r>
        <w:rPr>
          <w:sz w:val="18"/>
        </w:rPr>
        <w:t xml:space="preserve">, and the European Parliament Research Service has recommended urgent domestic production capacity development </w:t>
      </w:r>
      <w:r>
        <w:rPr>
          <w:color w:val="0066CC"/>
          <w:sz w:val="16"/>
        </w:rPr>
        <w:t>[SRC-023]</w:t>
      </w:r>
      <w:r>
        <w:rPr>
          <w:sz w:val="18"/>
        </w:rPr>
        <w:t>.</w:t>
      </w:r>
    </w:p>
    <w:p>
      <w:pPr>
        <w:pStyle w:val="Heading3"/>
      </w:pPr>
      <w:r>
        <w:t>2.3 European LFP CAM Production Status</w:t>
      </w:r>
    </w:p>
    <w:p>
      <w:r>
        <w:rPr>
          <w:sz w:val="18"/>
        </w:rPr>
        <w:t xml:space="preserve">As of late 2025, no European company operates a commercial LFP CAM production line </w:t>
      </w:r>
      <w:r>
        <w:rPr>
          <w:color w:val="0066CC"/>
          <w:sz w:val="16"/>
        </w:rPr>
        <w:t>[CLM-003]</w:t>
      </w:r>
      <w:r>
        <w:rPr>
          <w:sz w:val="18"/>
        </w:rPr>
        <w:t>. The landscape comprises:</w:t>
      </w:r>
    </w:p>
    <w:p>
      <w:pPr>
        <w:pStyle w:val="ListBullet"/>
      </w:pPr>
      <w:r>
        <w:rPr>
          <w:b/>
          <w:sz w:val="18"/>
        </w:rPr>
        <w:t>FREYR Battery (Finland)</w:t>
      </w:r>
      <w:r>
        <w:rPr>
          <w:sz w:val="18"/>
        </w:rPr>
        <w:t xml:space="preserve">: Had received a EUR 122M Innovation Fund grant (October 2024) for a planned 30,000 t/yr LFP CAM facility in Vaasa, Finland, but subsequently cancelled these plans, citing a strategic pivot to the US market (Giga America) </w:t>
      </w:r>
      <w:r>
        <w:rPr>
          <w:color w:val="0066CC"/>
          <w:sz w:val="16"/>
        </w:rPr>
        <w:t>[SRC-025]</w:t>
      </w:r>
      <w:r>
        <w:rPr>
          <w:sz w:val="18"/>
        </w:rPr>
        <w:t xml:space="preserve">. However, FREYR has not reached Final Investment Decision (FID) for Vaasa and is currently prioritising its US Giga America facility </w:t>
      </w:r>
      <w:r>
        <w:rPr>
          <w:color w:val="0066CC"/>
          <w:sz w:val="16"/>
        </w:rPr>
        <w:t>[CLM-029]</w:t>
      </w:r>
      <w:r>
        <w:rPr>
          <w:sz w:val="18"/>
        </w:rPr>
        <w:t>. The Vaasa project should be treated as a medium-term option with non-trivial schedule and financing risk.</w:t>
      </w:r>
    </w:p>
    <w:p>
      <w:pPr>
        <w:pStyle w:val="ListBullet"/>
      </w:pPr>
      <w:r>
        <w:rPr>
          <w:b/>
          <w:sz w:val="18"/>
        </w:rPr>
        <w:t>CATL</w:t>
      </w:r>
      <w:r>
        <w:rPr>
          <w:sz w:val="18"/>
        </w:rPr>
        <w:t xml:space="preserve">: Expanding cell production within Europe but LFP CAM production status in Europe is unclear </w:t>
      </w:r>
      <w:r>
        <w:rPr>
          <w:color w:val="0066CC"/>
          <w:sz w:val="16"/>
        </w:rPr>
        <w:t>[SRC-023]</w:t>
      </w:r>
      <w:r>
        <w:rPr>
          <w:sz w:val="18"/>
        </w:rPr>
        <w:t>. CATL's European operations primarily involve cell assembly using imported Chinese CAM.</w:t>
      </w:r>
    </w:p>
    <w:p>
      <w:pPr>
        <w:pStyle w:val="ListBullet"/>
      </w:pPr>
      <w:r>
        <w:rPr>
          <w:b/>
          <w:sz w:val="18"/>
        </w:rPr>
        <w:t>Umicore</w:t>
      </w:r>
      <w:r>
        <w:rPr>
          <w:sz w:val="18"/>
        </w:rPr>
        <w:t xml:space="preserve">: Produces NMC cathode materials in Poland but does not manufacture LFP CAM </w:t>
      </w:r>
      <w:r>
        <w:rPr>
          <w:color w:val="0066CC"/>
          <w:sz w:val="16"/>
        </w:rPr>
        <w:t>[SRC-023]</w:t>
      </w:r>
      <w:r>
        <w:rPr>
          <w:sz w:val="18"/>
        </w:rPr>
        <w:t>.</w:t>
      </w:r>
    </w:p>
    <w:p>
      <w:pPr>
        <w:pStyle w:val="ListBullet"/>
      </w:pPr>
      <w:r>
        <w:rPr>
          <w:b/>
          <w:sz w:val="18"/>
        </w:rPr>
        <w:t>PowerCo, Verkor, ACC, Northvolt</w:t>
      </w:r>
      <w:r>
        <w:rPr>
          <w:sz w:val="18"/>
        </w:rPr>
        <w:t>: European cell manufacturers that require domestic LFP CAM supply but do not produce their own CAM.</w:t>
      </w:r>
    </w:p>
    <w:p>
      <w:r>
        <w:rPr>
          <w:sz w:val="18"/>
        </w:rPr>
        <w:t xml:space="preserve">The FACE project addresses this gap as the first LFP CAM production facility in Italy and Southern Europe </w:t>
      </w:r>
      <w:r>
        <w:rPr>
          <w:color w:val="0066CC"/>
          <w:sz w:val="16"/>
        </w:rPr>
        <w:t>[CLM-022]</w:t>
      </w:r>
      <w:r>
        <w:rPr>
          <w:sz w:val="18"/>
        </w:rPr>
        <w:t>, becoming the sole European LFP CAM production facility following FREYR's cancellation of its Vaasa plans.</w:t>
      </w:r>
    </w:p>
    <w:p>
      <w:pPr>
        <w:pStyle w:val="Heading3"/>
      </w:pPr>
      <w:r>
        <w:t>2.4 Applicant: ESS (Eni Storage Systems) JV and Shareholder Capabilities</w:t>
      </w:r>
    </w:p>
    <w:p>
      <w:r>
        <w:rPr>
          <w:b/>
          <w:sz w:val="18"/>
        </w:rPr>
        <w:t>ESS JV</w:t>
      </w:r>
      <w:r>
        <w:rPr>
          <w:sz w:val="18"/>
        </w:rPr>
        <w:t xml:space="preserve"> is the sole legal beneficiary for this project — a joint venture company established by Eni S.p.A. and FIB S.p.A. (FAAM) to develop, construct, and operate Italy's first vertically integrated stationary lithium battery platform at the Brindisi site. ESS JV is a registered legal entity in Italy with a validated PIC in the EU Funding &amp; Tenders Portal. Its industrial scope encompasses both the LFP CAM plant (this project) and a co-located battery cell and BESS manufacturing facility under parallel development, creating a vertically integrated value chain within a single corporate entity. ESS JV draws personnel, technical expertise, and operational capabilities from both parent companies through intercompany secondment and service agreements.</w:t>
      </w:r>
    </w:p>
    <w:p>
      <w:r>
        <w:rPr>
          <w:b/>
          <w:sz w:val="18"/>
        </w:rPr>
        <w:t>Shareholder 1 — Eni S.p.A.</w:t>
      </w:r>
      <w:r>
        <w:rPr>
          <w:sz w:val="18"/>
        </w:rPr>
        <w:t>: Eni is a global integrated energy company with approximately 32,000 employees and revenues exceeding EUR 90 billion. As an ESS JV shareholder, Eni contributes the Brindisi industrial site, process engineering capabilities in large-scale thermal/chemical operations, energy supply and grid integration expertise, environmental management and permitting track record, balance-sheet strength, and — critically — acts as the commercial offtaker for the BESS systems manufactured by ESS JV's cell and BESS facility, deploying them on the Italian electricity grid for stabilisation and decarbonisation services.</w:t>
      </w:r>
    </w:p>
    <w:p>
      <w:r>
        <w:rPr>
          <w:b/>
          <w:sz w:val="18"/>
        </w:rPr>
        <w:t>Shareholder 2 — FIB S.p.A. (FAAM)</w:t>
      </w:r>
      <w:r>
        <w:rPr>
          <w:sz w:val="18"/>
        </w:rPr>
        <w:t>: FIB (Fabbrica Italiana Batterie, incorporating the FAAM brand) is an established Italian battery manufacturer with expertise in lead-acid and lithium-ion battery production, including cell assembly, module integration, and battery management systems. FIB/FAAM was founded in 1974 in Monterubbiano (FM), Italy, and is a subsidiary of Seri Industrial S.p.A. (acquired in 2013), with approximately 354 employees. FIB's Li-ion cell manufacturing activities are based at the Teverola site in the Province of Caserta, Campania (near Naples), where it operates two facilities: Teverola 1, a 300 MWh/year Li-ion soft pouch cell production plant currently in operation, and Teverola 2, an 8 GWh/year cell manufacturing plant under development. This existing manufacturing infrastructure provides direct experience in lithium battery production at industrial scale. FIB produces lithium-ion batteries for traction, industrial, storage, and military applications, as well as lead-acid batteries and fuel cells, under ISO 9001, ISO 14001, and ISO 45001 certifications. FIB has an established track record of supporting university research through PhD studentships and MSc degree collaborations. As an ESS JV shareholder, FIB contributes battery materials and manufacturing expertise, seconded personnel (battery materials engineers, cell manufacturing specialists, quality control experts), manufacturing know-how transfer, and established relationships with the European battery ecosystem.</w:t>
      </w:r>
    </w:p>
    <w:p>
      <w:r>
        <w:rPr>
          <w:sz w:val="18"/>
        </w:rPr>
        <w:t>Through this combined shareholder model, ESS JV benefits from complementary strengths: Eni's industrial-scale process engineering and energy management alongside FIB's dedicated battery manufacturing expertise, providing the organisational foundation to operate a first-of-its-kind LFP CAM production facility in Europe.</w:t>
      </w:r>
    </w:p>
    <w:p>
      <w:r>
        <w:rPr>
          <w:sz w:val="18"/>
        </w:rPr>
        <w:t>---</w:t>
      </w:r>
    </w:p>
    <w:p>
      <w:pPr>
        <w:pStyle w:val="Heading2"/>
      </w:pPr>
      <w:r>
        <w:t>3. Location Analysis and Strategic Approach</w:t>
      </w:r>
    </w:p>
    <w:p>
      <w:pPr>
        <w:pStyle w:val="Heading3"/>
      </w:pPr>
      <w:r>
        <w:t>3.1 Site Location</w:t>
      </w:r>
    </w:p>
    <w:p>
      <w:r>
        <w:rPr>
          <w:b/>
          <w:sz w:val="18"/>
        </w:rPr>
        <w:t>Brindisi, Puglia, Italy</w:t>
      </w:r>
      <w:r>
        <w:rPr>
          <w:sz w:val="18"/>
        </w:rPr>
        <w:t xml:space="preserve"> -- The FACE plant is located within Eni's existing industrial complex in the Brindisi industrial zone. Key site attributes:</w:t>
      </w:r>
    </w:p>
    <w:tbl>
      <w:tblPr>
        <w:tblStyle w:val="LightGrid-Accent1"/>
        <w:tblW w:type="auto" w:w="0"/>
        <w:tblLook w:firstColumn="1" w:firstRow="1" w:lastColumn="0" w:lastRow="0" w:noHBand="0" w:noVBand="1" w:val="04A0"/>
      </w:tblPr>
      <w:tblGrid>
        <w:gridCol w:w="5270"/>
        <w:gridCol w:w="5270"/>
      </w:tblGrid>
      <w:tr>
        <w:tc>
          <w:tcPr>
            <w:tcW w:type="dxa" w:w="5270"/>
          </w:tcPr>
          <w:p>
            <w:r>
              <w:rPr>
                <w:b/>
                <w:sz w:val="16"/>
              </w:rPr>
              <w:t>Factor</w:t>
            </w:r>
          </w:p>
        </w:tc>
        <w:tc>
          <w:tcPr>
            <w:tcW w:type="dxa" w:w="5270"/>
          </w:tcPr>
          <w:p>
            <w:r>
              <w:rPr>
                <w:b/>
                <w:sz w:val="16"/>
              </w:rPr>
              <w:t>Description</w:t>
            </w:r>
          </w:p>
        </w:tc>
      </w:tr>
      <w:tr>
        <w:tc>
          <w:tcPr>
            <w:tcW w:type="dxa" w:w="5270"/>
          </w:tcPr>
          <w:p>
            <w:r>
              <w:rPr>
                <w:sz w:val="16"/>
              </w:rPr>
              <w:t>**Geographic coordinates**</w:t>
            </w:r>
          </w:p>
        </w:tc>
        <w:tc>
          <w:tcPr>
            <w:tcW w:type="dxa" w:w="5270"/>
          </w:tcPr>
          <w:p>
            <w:r>
              <w:rPr>
                <w:sz w:val="16"/>
              </w:rPr>
              <w:t>40.615°N, 17.980°E — within the Eni Brindisi petrochemical hub near Punta della Contessa</w:t>
            </w:r>
          </w:p>
        </w:tc>
      </w:tr>
      <w:tr>
        <w:tc>
          <w:tcPr>
            <w:tcW w:type="dxa" w:w="5270"/>
          </w:tcPr>
          <w:p>
            <w:r>
              <w:rPr>
                <w:sz w:val="16"/>
              </w:rPr>
              <w:t>**Industrial zone**</w:t>
            </w:r>
          </w:p>
        </w:tc>
        <w:tc>
          <w:tcPr>
            <w:tcW w:type="dxa" w:w="5270"/>
          </w:tcPr>
          <w:p>
            <w:r>
              <w:rPr>
                <w:sz w:val="16"/>
              </w:rPr>
              <w:t>Established industrial area with appropriate zoning</w:t>
            </w:r>
          </w:p>
        </w:tc>
      </w:tr>
      <w:tr>
        <w:tc>
          <w:tcPr>
            <w:tcW w:type="dxa" w:w="5270"/>
          </w:tcPr>
          <w:p>
            <w:r>
              <w:rPr>
                <w:sz w:val="16"/>
              </w:rPr>
              <w:t>**Port access**</w:t>
            </w:r>
          </w:p>
        </w:tc>
        <w:tc>
          <w:tcPr>
            <w:tcW w:type="dxa" w:w="5270"/>
          </w:tcPr>
          <w:p>
            <w:r>
              <w:rPr>
                <w:sz w:val="16"/>
              </w:rPr>
              <w:t>Brindisi port -- Mediterranean maritime hub for raw material import (FePO4, Li2CO3 from global suppliers) and product export</w:t>
            </w:r>
          </w:p>
        </w:tc>
      </w:tr>
      <w:tr>
        <w:tc>
          <w:tcPr>
            <w:tcW w:type="dxa" w:w="5270"/>
          </w:tcPr>
          <w:p>
            <w:r>
              <w:rPr>
                <w:sz w:val="16"/>
              </w:rPr>
              <w:t>**Grid connection**</w:t>
            </w:r>
          </w:p>
        </w:tc>
        <w:tc>
          <w:tcPr>
            <w:tcW w:type="dxa" w:w="5270"/>
          </w:tcPr>
          <w:p>
            <w:r>
              <w:rPr>
                <w:sz w:val="16"/>
              </w:rPr>
              <w:t>High-voltage connection to Terna (Italian TSO) grid; Puglia region has excellent renewable energy potential</w:t>
            </w:r>
          </w:p>
        </w:tc>
      </w:tr>
      <w:tr>
        <w:tc>
          <w:tcPr>
            <w:tcW w:type="dxa" w:w="5270"/>
          </w:tcPr>
          <w:p>
            <w:r>
              <w:rPr>
                <w:sz w:val="16"/>
              </w:rPr>
              <w:t>**Solar irradiance**</w:t>
            </w:r>
          </w:p>
        </w:tc>
        <w:tc>
          <w:tcPr>
            <w:tcW w:type="dxa" w:w="5270"/>
          </w:tcPr>
          <w:p>
            <w:r>
              <w:rPr>
                <w:sz w:val="16"/>
              </w:rPr>
              <w:t>~1,700 kWh/m2/yr -- among the highest in Italy, favourable for on-site PV or regional PPA</w:t>
            </w:r>
          </w:p>
        </w:tc>
      </w:tr>
      <w:tr>
        <w:tc>
          <w:tcPr>
            <w:tcW w:type="dxa" w:w="5270"/>
          </w:tcPr>
          <w:p>
            <w:r>
              <w:rPr>
                <w:sz w:val="16"/>
              </w:rPr>
              <w:t>**Road/rail**</w:t>
            </w:r>
          </w:p>
        </w:tc>
        <w:tc>
          <w:tcPr>
            <w:tcW w:type="dxa" w:w="5270"/>
          </w:tcPr>
          <w:p>
            <w:r>
              <w:rPr>
                <w:sz w:val="16"/>
              </w:rPr>
              <w:t>Connected to A14 motorway and national rail network for domestic logistics</w:t>
            </w:r>
          </w:p>
        </w:tc>
      </w:tr>
      <w:tr>
        <w:tc>
          <w:tcPr>
            <w:tcW w:type="dxa" w:w="5270"/>
          </w:tcPr>
          <w:p>
            <w:r>
              <w:rPr>
                <w:sz w:val="16"/>
              </w:rPr>
              <w:t>**Labour market**</w:t>
            </w:r>
          </w:p>
        </w:tc>
        <w:tc>
          <w:tcPr>
            <w:tcW w:type="dxa" w:w="5270"/>
          </w:tcPr>
          <w:p>
            <w:r>
              <w:rPr>
                <w:sz w:val="16"/>
              </w:rPr>
              <w:t>Puglia convergence region with skilled industrial workforce and proximity to Politecnico di Bari and Universita del Salento</w:t>
            </w:r>
          </w:p>
        </w:tc>
      </w:tr>
      <w:tr>
        <w:tc>
          <w:tcPr>
            <w:tcW w:type="dxa" w:w="5270"/>
          </w:tcPr>
          <w:p>
            <w:r>
              <w:rPr>
                <w:sz w:val="16"/>
              </w:rPr>
              <w:t>**Climate**</w:t>
            </w:r>
          </w:p>
        </w:tc>
        <w:tc>
          <w:tcPr>
            <w:tcW w:type="dxa" w:w="5270"/>
          </w:tcPr>
          <w:p>
            <w:r>
              <w:rPr>
                <w:sz w:val="16"/>
              </w:rPr>
              <w:t>Mediterranean climate; minimal freeze-thaw impact on construction scheduling</w:t>
            </w:r>
          </w:p>
        </w:tc>
      </w:tr>
    </w:tbl>
    <w:p>
      <w:r>
        <w:rPr>
          <w:sz w:val="18"/>
        </w:rPr>
        <w:t>The Brindisi location provides strategic advantages for serving Southern European and Mediterranean battery cell manufacturers. The plant's proximity to potential customers in Italy (including the co-located ESS JV cell and BESS facility as primary internal customer), Spain, and Southern France reduces logistics costs and carbon footprint compared to Northern European or Asian supply.</w:t>
      </w:r>
    </w:p>
    <w:p>
      <w:pPr>
        <w:pStyle w:val="Heading3"/>
      </w:pPr>
      <w:r>
        <w:t>3.2 Links to Other Projects</w:t>
      </w:r>
    </w:p>
    <w:p>
      <w:r>
        <w:rPr>
          <w:sz w:val="18"/>
        </w:rPr>
        <w:t>The FACE project is positioned within a broader ecosystem of EU battery supply chain initiatives:</w:t>
      </w:r>
    </w:p>
    <w:p>
      <w:pPr>
        <w:pStyle w:val="ListBullet"/>
      </w:pPr>
      <w:r>
        <w:rPr>
          <w:b/>
          <w:sz w:val="18"/>
        </w:rPr>
        <w:t>EU Battery Alliance</w:t>
      </w:r>
      <w:r>
        <w:rPr>
          <w:sz w:val="18"/>
        </w:rPr>
        <w:t>: The project contributes to the Alliance's objective of establishing a complete domestic battery value chain within the EU, specifically addressing the upstream CAM production gap.</w:t>
      </w:r>
    </w:p>
    <w:p>
      <w:pPr>
        <w:pStyle w:val="ListBullet"/>
      </w:pPr>
      <w:r>
        <w:rPr>
          <w:b/>
          <w:sz w:val="18"/>
        </w:rPr>
        <w:t>IPCEI on Batteries (Hy2Use, EuBatIn)</w:t>
      </w:r>
      <w:r>
        <w:rPr>
          <w:sz w:val="18"/>
        </w:rPr>
        <w:t>: While FACE is not an IPCEI project, it complements IPCEI-funded cell manufacturing facilities by providing a domestic CAM supply source.</w:t>
      </w:r>
    </w:p>
    <w:p>
      <w:pPr>
        <w:pStyle w:val="ListBullet"/>
      </w:pPr>
      <w:r>
        <w:rPr>
          <w:b/>
          <w:sz w:val="18"/>
        </w:rPr>
        <w:t>ESS JV Battery Cell and BESS Factory (Brindisi)</w:t>
      </w:r>
      <w:r>
        <w:rPr>
          <w:sz w:val="18"/>
        </w:rPr>
        <w:t>: The FACE LFP CAM plant is the direct upstream supplier to the co-located ESS JV battery cell and BESS manufacturing facility on the same Brindisi site. The JV factory converts FACE LFP CAM into cells and grid-scale BESS systems. Eni deploys the BESS on the Italian electricity grid. This creates a vertically integrated value chain where the FACE project's output is consumed internally, eliminating offtake risk and providing immediate quality feedback from cell manufacturing to CAM optimisation.</w:t>
      </w:r>
    </w:p>
    <w:p>
      <w:pPr>
        <w:pStyle w:val="ListBullet"/>
      </w:pPr>
      <w:r>
        <w:rPr>
          <w:b/>
          <w:sz w:val="18"/>
        </w:rPr>
        <w:t>Eni's Energy Transition Strategy</w:t>
      </w:r>
      <w:r>
        <w:rPr>
          <w:sz w:val="18"/>
        </w:rPr>
        <w:t>: The Brindisi site conversion from fossil fuel operations to an integrated clean energy manufacturing hub directly implements Eni's strategic pivot toward decarbonisation. Eni's investment provides co-financing leverage and demonstrates energy company commitment to the complete battery value chain — from cathode material production through grid deployment.</w:t>
      </w:r>
    </w:p>
    <w:p>
      <w:pPr>
        <w:pStyle w:val="ListBullet"/>
      </w:pPr>
      <w:r>
        <w:rPr>
          <w:b/>
          <w:sz w:val="18"/>
        </w:rPr>
        <w:t>FREYR Battery (Finland)</w:t>
      </w:r>
      <w:r>
        <w:rPr>
          <w:sz w:val="18"/>
        </w:rPr>
        <w:t>: Following FREYR's cancellation, FACE would be the sole European LFP CAM production facility with geographic diversification (Nordic + Mediterranean), reducing single-point-of-failure risk in EU supply chains.</w:t>
      </w:r>
    </w:p>
    <w:p>
      <w:pPr>
        <w:pStyle w:val="Heading3"/>
      </w:pPr>
      <w:r>
        <w:t>3.3 EU Legislation Compliance</w:t>
      </w:r>
    </w:p>
    <w:p>
      <w:r>
        <w:rPr>
          <w:b/>
          <w:sz w:val="18"/>
        </w:rPr>
        <w:t>EU Battery Regulation (2023/1542)</w:t>
      </w:r>
    </w:p>
    <w:p>
      <w:r>
        <w:rPr>
          <w:sz w:val="18"/>
        </w:rPr>
        <w:t>The FACE plant is designed for full compliance with the EU Battery Regulation, which introduces progressively stringent requirements:</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Requirement</w:t>
            </w:r>
          </w:p>
        </w:tc>
        <w:tc>
          <w:tcPr>
            <w:tcW w:type="dxa" w:w="3513"/>
          </w:tcPr>
          <w:p>
            <w:r>
              <w:rPr>
                <w:b/>
                <w:sz w:val="16"/>
              </w:rPr>
              <w:t>Timeline</w:t>
            </w:r>
          </w:p>
        </w:tc>
        <w:tc>
          <w:tcPr>
            <w:tcW w:type="dxa" w:w="3513"/>
          </w:tcPr>
          <w:p>
            <w:r>
              <w:rPr>
                <w:b/>
                <w:sz w:val="16"/>
              </w:rPr>
              <w:t>FACE Compliance Approach</w:t>
            </w:r>
          </w:p>
        </w:tc>
      </w:tr>
      <w:tr>
        <w:tc>
          <w:tcPr>
            <w:tcW w:type="dxa" w:w="3513"/>
          </w:tcPr>
          <w:p>
            <w:r>
              <w:rPr>
                <w:sz w:val="16"/>
              </w:rPr>
              <w:t>Carbon footprint declaration</w:t>
            </w:r>
          </w:p>
        </w:tc>
        <w:tc>
          <w:tcPr>
            <w:tcW w:type="dxa" w:w="3513"/>
          </w:tcPr>
          <w:p>
            <w:r>
              <w:rPr>
                <w:sz w:val="16"/>
              </w:rPr>
              <w:t>2025 (EV batteries)</w:t>
            </w:r>
          </w:p>
        </w:tc>
        <w:tc>
          <w:tcPr>
            <w:tcW w:type="dxa" w:w="3513"/>
          </w:tcPr>
          <w:p>
            <w:r>
              <w:rPr>
                <w:sz w:val="16"/>
              </w:rPr>
              <w:t>DT provides complete process energy and material traceability; electrified production enables low carbon footprint</w:t>
            </w:r>
          </w:p>
        </w:tc>
      </w:tr>
      <w:tr>
        <w:tc>
          <w:tcPr>
            <w:tcW w:type="dxa" w:w="3513"/>
          </w:tcPr>
          <w:p>
            <w:r>
              <w:rPr>
                <w:sz w:val="16"/>
              </w:rPr>
              <w:t>Carbon footprint performance class</w:t>
            </w:r>
          </w:p>
        </w:tc>
        <w:tc>
          <w:tcPr>
            <w:tcW w:type="dxa" w:w="3513"/>
          </w:tcPr>
          <w:p>
            <w:r>
              <w:rPr>
                <w:sz w:val="16"/>
              </w:rPr>
              <w:t>2026</w:t>
            </w:r>
          </w:p>
        </w:tc>
        <w:tc>
          <w:tcPr>
            <w:tcW w:type="dxa" w:w="3513"/>
          </w:tcPr>
          <w:p>
            <w:r>
              <w:rPr>
                <w:sz w:val="16"/>
              </w:rPr>
              <w:t>Electrified production with Italian grid trajectory positions FACE product in top performance classes</w:t>
            </w:r>
          </w:p>
        </w:tc>
      </w:tr>
      <w:tr>
        <w:tc>
          <w:tcPr>
            <w:tcW w:type="dxa" w:w="3513"/>
          </w:tcPr>
          <w:p>
            <w:r>
              <w:rPr>
                <w:sz w:val="16"/>
              </w:rPr>
              <w:t>Battery Passport</w:t>
            </w:r>
          </w:p>
        </w:tc>
        <w:tc>
          <w:tcPr>
            <w:tcW w:type="dxa" w:w="3513"/>
          </w:tcPr>
          <w:p>
            <w:r>
              <w:rPr>
                <w:sz w:val="16"/>
              </w:rPr>
              <w:t>2027</w:t>
            </w:r>
          </w:p>
        </w:tc>
        <w:tc>
          <w:tcPr>
            <w:tcW w:type="dxa" w:w="3513"/>
          </w:tcPr>
          <w:p>
            <w:r>
              <w:rPr>
                <w:sz w:val="16"/>
              </w:rPr>
              <w:t>DT data infrastructure provides full batch traceability from precursor receipt to product shipment; compliant data model</w:t>
            </w:r>
          </w:p>
        </w:tc>
      </w:tr>
      <w:tr>
        <w:tc>
          <w:tcPr>
            <w:tcW w:type="dxa" w:w="3513"/>
          </w:tcPr>
          <w:p>
            <w:r>
              <w:rPr>
                <w:sz w:val="16"/>
              </w:rPr>
              <w:t>Recycled content targets</w:t>
            </w:r>
          </w:p>
        </w:tc>
        <w:tc>
          <w:tcPr>
            <w:tcW w:type="dxa" w:w="3513"/>
          </w:tcPr>
          <w:p>
            <w:r>
              <w:rPr>
                <w:sz w:val="16"/>
              </w:rPr>
              <w:t>2031 (Li 6%), 2036 (Li 12%)</w:t>
            </w:r>
          </w:p>
        </w:tc>
        <w:tc>
          <w:tcPr>
            <w:tcW w:type="dxa" w:w="3513"/>
          </w:tcPr>
          <w:p>
            <w:r>
              <w:rPr>
                <w:sz w:val="16"/>
              </w:rPr>
              <w:t>Plant design accommodates integration of recycled lithium precursors in future; modular process allows feedstock flexibility</w:t>
            </w:r>
          </w:p>
        </w:tc>
      </w:tr>
      <w:tr>
        <w:tc>
          <w:tcPr>
            <w:tcW w:type="dxa" w:w="3513"/>
          </w:tcPr>
          <w:p>
            <w:r>
              <w:rPr>
                <w:sz w:val="16"/>
              </w:rPr>
              <w:t>Due diligence (OECD)</w:t>
            </w:r>
          </w:p>
        </w:tc>
        <w:tc>
          <w:tcPr>
            <w:tcW w:type="dxa" w:w="3513"/>
          </w:tcPr>
          <w:p>
            <w:r>
              <w:rPr>
                <w:sz w:val="16"/>
              </w:rPr>
              <w:t>2025</w:t>
            </w:r>
          </w:p>
        </w:tc>
        <w:tc>
          <w:tcPr>
            <w:tcW w:type="dxa" w:w="3513"/>
          </w:tcPr>
          <w:p>
            <w:r>
              <w:rPr>
                <w:sz w:val="16"/>
              </w:rPr>
              <w:t>Responsible sourcing policy for all precursors; supplier audit programme</w:t>
            </w:r>
          </w:p>
        </w:tc>
      </w:tr>
    </w:tbl>
    <w:p>
      <w:r>
        <w:rPr>
          <w:b/>
          <w:sz w:val="18"/>
        </w:rPr>
        <w:t>Net-Zero Industry Act (NZIA)</w:t>
      </w:r>
    </w:p>
    <w:p>
      <w:r>
        <w:rPr>
          <w:sz w:val="18"/>
        </w:rPr>
        <w:t>The NZIA establishes EU manufacturing benchmarks for clean technologies, explicitly including battery and energy storage manufacturing. FACE directly contributes to the NZIA objective of ensuring at least 40% of EU demand for clean technologies is met by domestic manufacturing by 2030. LFP CAM is classified as a strategic net-zero technology component.</w:t>
      </w:r>
    </w:p>
    <w:p>
      <w:r>
        <w:rPr>
          <w:b/>
          <w:sz w:val="18"/>
        </w:rPr>
        <w:t>REACH</w:t>
      </w:r>
    </w:p>
    <w:p>
      <w:r>
        <w:rPr>
          <w:sz w:val="18"/>
        </w:rPr>
        <w:t>All chemical substances used in the production process (iron phosphate, lithium carbonate, glucose, nitrogen) are either pre-registered under REACH or are exempt (N2, glucose as food-grade commodity). No novel chemical substances requiring REACH registration are introduced by the FACE process.</w:t>
      </w:r>
    </w:p>
    <w:p>
      <w:pPr>
        <w:pStyle w:val="Heading3"/>
      </w:pPr>
      <w:r>
        <w:t>3.4 Regulatory Requirements and Permitting Strategy</w:t>
      </w:r>
    </w:p>
    <w:p>
      <w:r>
        <w:rPr>
          <w:sz w:val="18"/>
        </w:rPr>
        <w:t>The project requires the following regulatory authorisations under Italian law:</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Permit</w:t>
            </w:r>
          </w:p>
        </w:tc>
        <w:tc>
          <w:tcPr>
            <w:tcW w:type="dxa" w:w="2635"/>
          </w:tcPr>
          <w:p>
            <w:r>
              <w:rPr>
                <w:b/>
                <w:sz w:val="16"/>
              </w:rPr>
              <w:t>Authority</w:t>
            </w:r>
          </w:p>
        </w:tc>
        <w:tc>
          <w:tcPr>
            <w:tcW w:type="dxa" w:w="2635"/>
          </w:tcPr>
          <w:p>
            <w:r>
              <w:rPr>
                <w:b/>
                <w:sz w:val="16"/>
              </w:rPr>
              <w:t>Description</w:t>
            </w:r>
          </w:p>
        </w:tc>
        <w:tc>
          <w:tcPr>
            <w:tcW w:type="dxa" w:w="2635"/>
          </w:tcPr>
          <w:p>
            <w:r>
              <w:rPr>
                <w:b/>
                <w:sz w:val="16"/>
              </w:rPr>
              <w:t>Estimated Timeline</w:t>
            </w:r>
          </w:p>
        </w:tc>
      </w:tr>
      <w:tr>
        <w:tc>
          <w:tcPr>
            <w:tcW w:type="dxa" w:w="2635"/>
          </w:tcPr>
          <w:p>
            <w:r>
              <w:rPr>
                <w:sz w:val="16"/>
              </w:rPr>
              <w:t>VIA (Valutazione di Impatto Ambientale)</w:t>
            </w:r>
          </w:p>
        </w:tc>
        <w:tc>
          <w:tcPr>
            <w:tcW w:type="dxa" w:w="2635"/>
          </w:tcPr>
          <w:p>
            <w:r>
              <w:rPr>
                <w:sz w:val="16"/>
              </w:rPr>
              <w:t>Ministero dell'Ambiente e della Sicurezza Energetica (MASE) / Regione Puglia</w:t>
            </w:r>
          </w:p>
        </w:tc>
        <w:tc>
          <w:tcPr>
            <w:tcW w:type="dxa" w:w="2635"/>
          </w:tcPr>
          <w:p>
            <w:r>
              <w:rPr>
                <w:sz w:val="16"/>
              </w:rPr>
              <w:t>Environmental Impact Assessment for new industrial installation</w:t>
            </w:r>
          </w:p>
        </w:tc>
        <w:tc>
          <w:tcPr>
            <w:tcW w:type="dxa" w:w="2635"/>
          </w:tcPr>
          <w:p>
            <w:r>
              <w:rPr>
                <w:sz w:val="16"/>
              </w:rPr>
              <w:t>12-18 months</w:t>
            </w:r>
          </w:p>
        </w:tc>
      </w:tr>
      <w:tr>
        <w:tc>
          <w:tcPr>
            <w:tcW w:type="dxa" w:w="2635"/>
          </w:tcPr>
          <w:p>
            <w:r>
              <w:rPr>
                <w:sz w:val="16"/>
              </w:rPr>
              <w:t>AIA (Autorizzazione Integrata Ambientale)</w:t>
            </w:r>
          </w:p>
        </w:tc>
        <w:tc>
          <w:tcPr>
            <w:tcW w:type="dxa" w:w="2635"/>
          </w:tcPr>
          <w:p>
            <w:r>
              <w:rPr>
                <w:sz w:val="16"/>
              </w:rPr>
              <w:t>Regione Puglia</w:t>
            </w:r>
          </w:p>
        </w:tc>
        <w:tc>
          <w:tcPr>
            <w:tcW w:type="dxa" w:w="2635"/>
          </w:tcPr>
          <w:p>
            <w:r>
              <w:rPr>
                <w:sz w:val="16"/>
              </w:rPr>
              <w:t>Integrated Environmental Authorisation under Industrial Emissions Directive (IED)</w:t>
            </w:r>
          </w:p>
        </w:tc>
        <w:tc>
          <w:tcPr>
            <w:tcW w:type="dxa" w:w="2635"/>
          </w:tcPr>
          <w:p>
            <w:r>
              <w:rPr>
                <w:sz w:val="16"/>
              </w:rPr>
              <w:t>6-12 months (may run in parallel with VIA)</w:t>
            </w:r>
          </w:p>
        </w:tc>
      </w:tr>
      <w:tr>
        <w:tc>
          <w:tcPr>
            <w:tcW w:type="dxa" w:w="2635"/>
          </w:tcPr>
          <w:p>
            <w:r>
              <w:rPr>
                <w:sz w:val="16"/>
              </w:rPr>
              <w:t>Permesso di Costruire</w:t>
            </w:r>
          </w:p>
        </w:tc>
        <w:tc>
          <w:tcPr>
            <w:tcW w:type="dxa" w:w="2635"/>
          </w:tcPr>
          <w:p>
            <w:r>
              <w:rPr>
                <w:sz w:val="16"/>
              </w:rPr>
              <w:t>Comune di Brindisi</w:t>
            </w:r>
          </w:p>
        </w:tc>
        <w:tc>
          <w:tcPr>
            <w:tcW w:type="dxa" w:w="2635"/>
          </w:tcPr>
          <w:p>
            <w:r>
              <w:rPr>
                <w:sz w:val="16"/>
              </w:rPr>
              <w:t>Building permit for new construction and site modifications</w:t>
            </w:r>
          </w:p>
        </w:tc>
        <w:tc>
          <w:tcPr>
            <w:tcW w:type="dxa" w:w="2635"/>
          </w:tcPr>
          <w:p>
            <w:r>
              <w:rPr>
                <w:sz w:val="16"/>
              </w:rPr>
              <w:t>3-6 months</w:t>
            </w:r>
          </w:p>
        </w:tc>
      </w:tr>
      <w:tr>
        <w:tc>
          <w:tcPr>
            <w:tcW w:type="dxa" w:w="2635"/>
          </w:tcPr>
          <w:p>
            <w:r>
              <w:rPr>
                <w:sz w:val="16"/>
              </w:rPr>
              <w:t>Certificato di Prevenzione Incendi</w:t>
            </w:r>
          </w:p>
        </w:tc>
        <w:tc>
          <w:tcPr>
            <w:tcW w:type="dxa" w:w="2635"/>
          </w:tcPr>
          <w:p>
            <w:r>
              <w:rPr>
                <w:sz w:val="16"/>
              </w:rPr>
              <w:t>Vigili del Fuoco</w:t>
            </w:r>
          </w:p>
        </w:tc>
        <w:tc>
          <w:tcPr>
            <w:tcW w:type="dxa" w:w="2635"/>
          </w:tcPr>
          <w:p>
            <w:r>
              <w:rPr>
                <w:sz w:val="16"/>
              </w:rPr>
              <w:t>Fire safety certification</w:t>
            </w:r>
          </w:p>
        </w:tc>
        <w:tc>
          <w:tcPr>
            <w:tcW w:type="dxa" w:w="2635"/>
          </w:tcPr>
          <w:p>
            <w:r>
              <w:rPr>
                <w:sz w:val="16"/>
              </w:rPr>
              <w:t>2-4 months</w:t>
            </w:r>
          </w:p>
        </w:tc>
      </w:tr>
      <w:tr>
        <w:tc>
          <w:tcPr>
            <w:tcW w:type="dxa" w:w="2635"/>
          </w:tcPr>
          <w:p>
            <w:r>
              <w:rPr>
                <w:sz w:val="16"/>
              </w:rPr>
              <w:t>Autorizzazione emissioni in atmosfera</w:t>
            </w:r>
          </w:p>
        </w:tc>
        <w:tc>
          <w:tcPr>
            <w:tcW w:type="dxa" w:w="2635"/>
          </w:tcPr>
          <w:p>
            <w:r>
              <w:rPr>
                <w:sz w:val="16"/>
              </w:rPr>
              <w:t>Regione Puglia / ARPA</w:t>
            </w:r>
          </w:p>
        </w:tc>
        <w:tc>
          <w:tcPr>
            <w:tcW w:type="dxa" w:w="2635"/>
          </w:tcPr>
          <w:p>
            <w:r>
              <w:rPr>
                <w:sz w:val="16"/>
              </w:rPr>
              <w:t>Atmospheric emission permit (limited scope -- electrified plant has minimal process emissions)</w:t>
            </w:r>
          </w:p>
        </w:tc>
        <w:tc>
          <w:tcPr>
            <w:tcW w:type="dxa" w:w="2635"/>
          </w:tcPr>
          <w:p>
            <w:r>
              <w:rPr>
                <w:sz w:val="16"/>
              </w:rPr>
              <w:t>Included in AIA</w:t>
            </w:r>
          </w:p>
        </w:tc>
      </w:tr>
    </w:tbl>
    <w:p>
      <w:r>
        <w:rPr>
          <w:sz w:val="18"/>
        </w:rPr>
        <w:t>Permitting applications (VIA, AIA, building permits) have been filed and are in process. The brownfield site is undergoing remediation (cleanup in progress). Eni's established relationship with Brindisi local authorities, based on decades of industrial operations, supports the permitting timeline.</w:t>
      </w:r>
    </w:p>
    <w:p>
      <w:r>
        <w:rPr>
          <w:b/>
          <w:sz w:val="18"/>
        </w:rPr>
        <w:t>Permitting mitigation strategy</w:t>
      </w:r>
      <w:r>
        <w:rPr>
          <w:sz w:val="18"/>
        </w:rPr>
        <w:t>:</w:t>
      </w:r>
    </w:p>
    <w:p>
      <w:pPr>
        <w:pStyle w:val="ListBullet"/>
      </w:pPr>
      <w:r>
        <w:rPr>
          <w:sz w:val="18"/>
        </w:rPr>
        <w:t>Early engagement with Regione Puglia and MASE permitting authorities</w:t>
      </w:r>
    </w:p>
    <w:p>
      <w:pPr>
        <w:pStyle w:val="ListBullet"/>
      </w:pPr>
      <w:r>
        <w:rPr>
          <w:sz w:val="18"/>
        </w:rPr>
        <w:t>Leverage Eni's decades-long relationship with Brindisi local authorities</w:t>
      </w:r>
    </w:p>
    <w:p>
      <w:pPr>
        <w:pStyle w:val="ListBullet"/>
      </w:pPr>
      <w:r>
        <w:rPr>
          <w:sz w:val="18"/>
        </w:rPr>
        <w:t>Engage experienced Italian environmental permitting consultants (e.g., ERM, Arcadis)</w:t>
      </w:r>
    </w:p>
    <w:p>
      <w:pPr>
        <w:pStyle w:val="ListBullet"/>
      </w:pPr>
      <w:r>
        <w:rPr>
          <w:sz w:val="18"/>
        </w:rPr>
        <w:t>The electrified process significantly simplifies the atmospheric emissions component of the AIA (no combustion emissions, no NOx/SOx/particulate from gas firing)</w:t>
      </w:r>
    </w:p>
    <w:p>
      <w:pPr>
        <w:pStyle w:val="ListBullet"/>
      </w:pPr>
      <w:r>
        <w:rPr>
          <w:sz w:val="18"/>
        </w:rPr>
        <w:t>Schedule buffer of 3 months between expected permit receipt and construction start</w:t>
      </w:r>
    </w:p>
    <w:p>
      <w:pPr>
        <w:pStyle w:val="Heading3"/>
      </w:pPr>
      <w:r>
        <w:t>3.5 Intellectual Property Strategy</w:t>
      </w:r>
    </w:p>
    <w:p>
      <w:r>
        <w:rPr>
          <w:b/>
          <w:sz w:val="18"/>
        </w:rPr>
        <w:t>Background IP</w:t>
      </w:r>
      <w:r>
        <w:rPr>
          <w:sz w:val="18"/>
        </w:rPr>
        <w:t>:</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Partner</w:t>
            </w:r>
          </w:p>
        </w:tc>
        <w:tc>
          <w:tcPr>
            <w:tcW w:type="dxa" w:w="3513"/>
          </w:tcPr>
          <w:p>
            <w:r>
              <w:rPr>
                <w:b/>
                <w:sz w:val="16"/>
              </w:rPr>
              <w:t>Background IP</w:t>
            </w:r>
          </w:p>
        </w:tc>
        <w:tc>
          <w:tcPr>
            <w:tcW w:type="dxa" w:w="3513"/>
          </w:tcPr>
          <w:p>
            <w:r>
              <w:rPr>
                <w:b/>
                <w:sz w:val="16"/>
              </w:rPr>
              <w:t>Licensing</w:t>
            </w:r>
          </w:p>
        </w:tc>
      </w:tr>
      <w:tr>
        <w:tc>
          <w:tcPr>
            <w:tcW w:type="dxa" w:w="3513"/>
          </w:tcPr>
          <w:p>
            <w:r>
              <w:rPr>
                <w:sz w:val="16"/>
              </w:rPr>
              <w:t>FIB (FAAM) — as ESS JV shareholder</w:t>
            </w:r>
          </w:p>
        </w:tc>
        <w:tc>
          <w:tcPr>
            <w:tcW w:type="dxa" w:w="3513"/>
          </w:tcPr>
          <w:p>
            <w:r>
              <w:rPr>
                <w:sz w:val="16"/>
              </w:rPr>
              <w:t>Battery manufacturing know-how; cell assembly and testing protocols; quality management systems</w:t>
            </w:r>
          </w:p>
        </w:tc>
        <w:tc>
          <w:tcPr>
            <w:tcW w:type="dxa" w:w="3513"/>
          </w:tcPr>
          <w:p>
            <w:r>
              <w:rPr>
                <w:sz w:val="16"/>
              </w:rPr>
              <w:t>Contributed to ESS JV through intercompany service agreements; no royalties</w:t>
            </w:r>
          </w:p>
        </w:tc>
      </w:tr>
      <w:tr>
        <w:tc>
          <w:tcPr>
            <w:tcW w:type="dxa" w:w="3513"/>
          </w:tcPr>
          <w:p>
            <w:r>
              <w:rPr>
                <w:sz w:val="16"/>
              </w:rPr>
              <w:t>Eni — as ESS JV shareholder</w:t>
            </w:r>
          </w:p>
        </w:tc>
        <w:tc>
          <w:tcPr>
            <w:tcW w:type="dxa" w:w="3513"/>
          </w:tcPr>
          <w:p>
            <w:r>
              <w:rPr>
                <w:sz w:val="16"/>
              </w:rPr>
              <w:t>Process engineering expertise; brownfield site engineering; energy systems design; industrial digitalisation capabilities</w:t>
            </w:r>
          </w:p>
        </w:tc>
        <w:tc>
          <w:tcPr>
            <w:tcW w:type="dxa" w:w="3513"/>
          </w:tcPr>
          <w:p>
            <w:r>
              <w:rPr>
                <w:sz w:val="16"/>
              </w:rPr>
              <w:t>Contributed to ESS JV through intercompany service agreements; no royalties</w:t>
            </w:r>
          </w:p>
        </w:tc>
      </w:tr>
    </w:tbl>
    <w:p>
      <w:r>
        <w:rPr>
          <w:sz w:val="18"/>
        </w:rPr>
        <w:t xml:space="preserve">Neither FIB/FAAM nor Eni holds active patents in LFP CAM synthesis, process equipment, or digital twin manufacturing </w:t>
      </w:r>
      <w:r>
        <w:rPr>
          <w:color w:val="0066CC"/>
          <w:sz w:val="16"/>
        </w:rPr>
        <w:t>[CLM-015]</w:t>
      </w:r>
      <w:r>
        <w:rPr>
          <w:sz w:val="18"/>
        </w:rPr>
        <w:t>. ESS JV has secured a technology licensor — Zhejiang Youshan New Material Technology Co., LTD. — for the LFP CAM solid-state synthesis process, providing process know-how, recipe optimisation, and equipment specification support under a technology licence agreement. The licensor provides the process knowledge bridge from established industrial practice to the specific Brindisi plant configuration. Both ESS JV shareholders (Eni and FIB) are technology acquirers in the CAM synthesis domain, which eliminates intra-shareholder IP conflicts and simplifies the ESS JV IP framework.</w:t>
      </w:r>
    </w:p>
    <w:p>
      <w:r>
        <w:rPr>
          <w:b/>
          <w:sz w:val="18"/>
        </w:rPr>
        <w:t>Foreground IP</w:t>
      </w:r>
      <w:r>
        <w:rPr>
          <w:sz w:val="18"/>
        </w:rPr>
        <w:t>:</w:t>
      </w:r>
    </w:p>
    <w:p>
      <w:r>
        <w:rPr>
          <w:sz w:val="18"/>
        </w:rPr>
        <w:t>The project will generate foreground IP in three domains:</w:t>
      </w:r>
    </w:p>
    <w:p>
      <w:pPr>
        <w:pStyle w:val="ListNumber"/>
      </w:pPr>
      <w:r>
        <w:rPr>
          <w:b/>
          <w:sz w:val="18"/>
        </w:rPr>
        <w:t>DT framework for CAM manufacturing (NOV-001)</w:t>
      </w:r>
      <w:r>
        <w:rPr>
          <w:sz w:val="18"/>
        </w:rPr>
        <w:t xml:space="preserve">: The ISO 23247-compliant DT architecture, multi-scale model library, sensor fusion algorithms, and MPC control strategies. This represents the core patent-filing opportunity. A patent application covering the novel combination of ISO 23247 architecture with multi-scale physics-based modelling for real-time process control in chemical powder manufacturing is planned </w:t>
      </w:r>
      <w:r>
        <w:rPr>
          <w:color w:val="0066CC"/>
          <w:sz w:val="16"/>
        </w:rPr>
        <w:t>[CLM-014]</w:t>
      </w:r>
      <w:r>
        <w:rPr>
          <w:sz w:val="18"/>
        </w:rPr>
        <w:t>.</w:t>
      </w:r>
    </w:p>
    <w:p>
      <w:pPr>
        <w:pStyle w:val="ListNumber"/>
      </w:pPr>
      <w:r>
        <w:rPr>
          <w:b/>
          <w:sz w:val="18"/>
        </w:rPr>
        <w:t>Electrified LFP CAM process parameters (NOV-002)</w:t>
      </w:r>
      <w:r>
        <w:rPr>
          <w:sz w:val="18"/>
        </w:rPr>
        <w:t>: The specific process parameter sets (temperature profiles, atmosphere control, spray drying conditions) optimised for electrified equipment. These constitute trade secrets rather than patentable inventions, protected through confidentiality agreements.</w:t>
      </w:r>
    </w:p>
    <w:p>
      <w:pPr>
        <w:pStyle w:val="ListNumber"/>
      </w:pPr>
      <w:r>
        <w:rPr>
          <w:b/>
          <w:sz w:val="18"/>
        </w:rPr>
        <w:t>PAT methodology for LFP (NOV-005)</w:t>
      </w:r>
      <w:r>
        <w:rPr>
          <w:sz w:val="18"/>
        </w:rPr>
        <w:t>: The CQA-CPP mapping, sensor deployment strategy, and design space definition for LFP CAM manufacturing. Publication strategy: peer-reviewed papers in journals such as Journal of Power Sources and Batteries to establish scientific priority, with key implementation details retained as know-how.</w:t>
      </w:r>
    </w:p>
    <w:p>
      <w:r>
        <w:rPr>
          <w:b/>
          <w:sz w:val="18"/>
        </w:rPr>
        <w:t>Freedom-to-operate assessment</w:t>
      </w:r>
      <w:r>
        <w:rPr>
          <w:sz w:val="18"/>
        </w:rPr>
        <w:t xml:space="preserve">: Medium overall </w:t>
      </w:r>
      <w:r>
        <w:rPr>
          <w:color w:val="0066CC"/>
          <w:sz w:val="16"/>
        </w:rPr>
        <w:t>[CLM-014]</w:t>
      </w:r>
      <w:r>
        <w:rPr>
          <w:sz w:val="18"/>
        </w:rPr>
        <w:t>. The core DT + electrification combination occupies a patent white space with no blocking IP identified. Manageable risks include:</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Patent</w:t>
            </w:r>
          </w:p>
        </w:tc>
        <w:tc>
          <w:tcPr>
            <w:tcW w:type="dxa" w:w="2635"/>
          </w:tcPr>
          <w:p>
            <w:r>
              <w:rPr>
                <w:b/>
                <w:sz w:val="16"/>
              </w:rPr>
              <w:t>Assignee</w:t>
            </w:r>
          </w:p>
        </w:tc>
        <w:tc>
          <w:tcPr>
            <w:tcW w:type="dxa" w:w="2635"/>
          </w:tcPr>
          <w:p>
            <w:r>
              <w:rPr>
                <w:b/>
                <w:sz w:val="16"/>
              </w:rPr>
              <w:t>Risk Level</w:t>
            </w:r>
          </w:p>
        </w:tc>
        <w:tc>
          <w:tcPr>
            <w:tcW w:type="dxa" w:w="2635"/>
          </w:tcPr>
          <w:p>
            <w:r>
              <w:rPr>
                <w:b/>
                <w:sz w:val="16"/>
              </w:rPr>
              <w:t>Mitigation</w:t>
            </w:r>
          </w:p>
        </w:tc>
      </w:tr>
      <w:tr>
        <w:tc>
          <w:tcPr>
            <w:tcW w:type="dxa" w:w="2635"/>
          </w:tcPr>
          <w:p>
            <w:r>
              <w:rPr>
                <w:sz w:val="16"/>
              </w:rPr>
              <w:t>EP2360117B1</w:t>
            </w:r>
          </w:p>
        </w:tc>
        <w:tc>
          <w:tcPr>
            <w:tcW w:type="dxa" w:w="2635"/>
          </w:tcPr>
          <w:p>
            <w:r>
              <w:rPr>
                <w:sz w:val="16"/>
              </w:rPr>
              <w:t>LG Chem</w:t>
            </w:r>
          </w:p>
        </w:tc>
        <w:tc>
          <w:tcPr>
            <w:tcW w:type="dxa" w:w="2635"/>
          </w:tcPr>
          <w:p>
            <w:r>
              <w:rPr>
                <w:sz w:val="16"/>
              </w:rPr>
              <w:t>Medium</w:t>
            </w:r>
          </w:p>
        </w:tc>
        <w:tc>
          <w:tcPr>
            <w:tcW w:type="dxa" w:w="2635"/>
          </w:tcPr>
          <w:p>
            <w:r>
              <w:rPr>
                <w:sz w:val="16"/>
              </w:rPr>
              <w:t>Active EU patent on LFP morphology (D50 5-100 um). Expires ~2029. Product specification review to ensure non-infringement.</w:t>
            </w:r>
          </w:p>
        </w:tc>
      </w:tr>
      <w:tr>
        <w:tc>
          <w:tcPr>
            <w:tcW w:type="dxa" w:w="2635"/>
          </w:tcPr>
          <w:p>
            <w:r>
              <w:rPr>
                <w:sz w:val="16"/>
              </w:rPr>
              <w:t>EP4222563A4</w:t>
            </w:r>
          </w:p>
        </w:tc>
        <w:tc>
          <w:tcPr>
            <w:tcW w:type="dxa" w:w="2635"/>
          </w:tcPr>
          <w:p>
            <w:r>
              <w:rPr>
                <w:sz w:val="16"/>
              </w:rPr>
              <w:t>AspenTech</w:t>
            </w:r>
          </w:p>
        </w:tc>
        <w:tc>
          <w:tcPr>
            <w:tcW w:type="dxa" w:w="2635"/>
          </w:tcPr>
          <w:p>
            <w:r>
              <w:rPr>
                <w:sz w:val="16"/>
              </w:rPr>
              <w:t>Medium</w:t>
            </w:r>
          </w:p>
        </w:tc>
        <w:tc>
          <w:tcPr>
            <w:tcW w:type="dxa" w:w="2635"/>
          </w:tcPr>
          <w:p>
            <w:r>
              <w:rPr>
                <w:sz w:val="16"/>
              </w:rPr>
              <w:t>Industrial DT architecture patent. If AspenTech platform is used, licensed automatically.</w:t>
            </w:r>
          </w:p>
        </w:tc>
      </w:tr>
      <w:tr>
        <w:tc>
          <w:tcPr>
            <w:tcW w:type="dxa" w:w="2635"/>
          </w:tcPr>
          <w:p>
            <w:r>
              <w:rPr>
                <w:sz w:val="16"/>
              </w:rPr>
              <w:t>US20230261188</w:t>
            </w:r>
          </w:p>
        </w:tc>
        <w:tc>
          <w:tcPr>
            <w:tcW w:type="dxa" w:w="2635"/>
          </w:tcPr>
          <w:p>
            <w:r>
              <w:rPr>
                <w:sz w:val="16"/>
              </w:rPr>
              <w:t>Mitra Future Tech</w:t>
            </w:r>
          </w:p>
        </w:tc>
        <w:tc>
          <w:tcPr>
            <w:tcW w:type="dxa" w:w="2635"/>
          </w:tcPr>
          <w:p>
            <w:r>
              <w:rPr>
                <w:sz w:val="16"/>
              </w:rPr>
              <w:t>Low</w:t>
            </w:r>
          </w:p>
        </w:tc>
        <w:tc>
          <w:tcPr>
            <w:tcW w:type="dxa" w:w="2635"/>
          </w:tcPr>
          <w:p>
            <w:r>
              <w:rPr>
                <w:sz w:val="16"/>
              </w:rPr>
              <w:t>Pending, covers R&amp;D workflow not in-line process control.</w:t>
            </w:r>
          </w:p>
        </w:tc>
      </w:tr>
    </w:tbl>
    <w:p>
      <w:r>
        <w:rPr>
          <w:b/>
          <w:color w:val="CC0000"/>
          <w:sz w:val="18"/>
        </w:rPr>
        <w:t>[TO BE COMPLETED: A comprehensive Chinese-language CNIPA patent search is recommended to assess the IP position of CATL, BYD, Gotion, and Dynanonic. English-language searches do not adequately cover Chinese patent filings in this domain.]</w:t>
      </w:r>
    </w:p>
    <w:p>
      <w:r>
        <w:rPr>
          <w:b/>
          <w:sz w:val="18"/>
        </w:rPr>
        <w:t>Confidentiality provisions</w:t>
      </w:r>
      <w:r>
        <w:rPr>
          <w:sz w:val="18"/>
        </w:rPr>
        <w:t>: The ESS JV shareholders' agreement establishes mutual NDA obligations between FIB and Eni, with specific provisions for: (i) background IP protection; (ii) foreground IP ownership (inventor institution owns, partner receives royalty-free licence for project purposes); (iii) publication approval process (30-day review period for patentability assessment); and (iv) post-project exploitation rights.</w:t>
      </w:r>
    </w:p>
    <w:p>
      <w:pPr>
        <w:pStyle w:val="Heading3"/>
      </w:pPr>
      <w:r>
        <w:t>3.6 Public Acceptance</w:t>
      </w:r>
    </w:p>
    <w:p>
      <w:r>
        <w:rPr>
          <w:sz w:val="18"/>
        </w:rPr>
        <w:t>The project benefits from strong public acceptance conditions:</w:t>
      </w:r>
    </w:p>
    <w:p>
      <w:pPr>
        <w:pStyle w:val="ListBullet"/>
      </w:pPr>
      <w:r>
        <w:rPr>
          <w:b/>
          <w:sz w:val="18"/>
        </w:rPr>
        <w:t>Industrial zoning</w:t>
      </w:r>
      <w:r>
        <w:rPr>
          <w:sz w:val="18"/>
        </w:rPr>
        <w:t>: The Brindisi site is located in an established industrial zone, remote from residential areas, eliminating NIMBY concerns.</w:t>
      </w:r>
    </w:p>
    <w:p>
      <w:pPr>
        <w:pStyle w:val="ListBullet"/>
      </w:pPr>
      <w:r>
        <w:rPr>
          <w:b/>
          <w:sz w:val="18"/>
        </w:rPr>
        <w:t>Job creation</w:t>
      </w:r>
      <w:r>
        <w:rPr>
          <w:sz w:val="18"/>
        </w:rPr>
        <w:t>: The plant creates direct manufacturing employment in a Puglia convergence region with above-average unemployment, aligned with EU Cohesion Policy objectives.</w:t>
      </w:r>
    </w:p>
    <w:p>
      <w:pPr>
        <w:pStyle w:val="ListBullet"/>
      </w:pPr>
      <w:r>
        <w:rPr>
          <w:b/>
          <w:sz w:val="18"/>
        </w:rPr>
        <w:t>Clean-tech narrative</w:t>
      </w:r>
      <w:r>
        <w:rPr>
          <w:sz w:val="18"/>
        </w:rPr>
        <w:t>: The conversion of a fossil fuel site to clean-tech battery material manufacturing is positively received by local and regional stakeholders as a tangible example of just energy transition.</w:t>
      </w:r>
    </w:p>
    <w:p>
      <w:pPr>
        <w:pStyle w:val="ListBullet"/>
      </w:pPr>
      <w:r>
        <w:rPr>
          <w:b/>
          <w:sz w:val="18"/>
        </w:rPr>
        <w:t>No hazardous emissions</w:t>
      </w:r>
      <w:r>
        <w:rPr>
          <w:sz w:val="18"/>
        </w:rPr>
        <w:t>: The electrified process eliminates combustion-related emissions (NOx, SOx, PM). Process off-gases (CO2 from carbonate decomposition, water vapour) are captured and treated through standard industrial scrubbing.</w:t>
      </w:r>
    </w:p>
    <w:p>
      <w:pPr>
        <w:pStyle w:val="Heading3"/>
      </w:pPr>
      <w:r>
        <w:t>3.7 Environmental Impacts Throughout the Lifecycle</w:t>
      </w:r>
    </w:p>
    <w:p>
      <w:r>
        <w:rPr>
          <w:b/>
          <w:sz w:val="18"/>
        </w:rPr>
        <w:t>Construction phase</w:t>
      </w:r>
      <w:r>
        <w:rPr>
          <w:sz w:val="18"/>
        </w:rPr>
        <w:t>: Standard industrial construction impacts (noise, dust, vehicle movements) mitigated through construction management plan. Brownfield site reduces land-use change impact.</w:t>
      </w:r>
    </w:p>
    <w:p>
      <w:r>
        <w:rPr>
          <w:b/>
          <w:sz w:val="18"/>
        </w:rPr>
        <w:t>Operational phase</w:t>
      </w:r>
      <w:r>
        <w:rPr>
          <w:sz w:val="18"/>
        </w:rPr>
        <w:t>:</w:t>
      </w:r>
    </w:p>
    <w:p>
      <w:pPr>
        <w:pStyle w:val="ListBullet"/>
      </w:pPr>
      <w:r>
        <w:rPr>
          <w:sz w:val="18"/>
        </w:rPr>
        <w:t>No on-site combustion emissions (electrified process)</w:t>
      </w:r>
    </w:p>
    <w:p>
      <w:pPr>
        <w:pStyle w:val="ListBullet"/>
      </w:pPr>
      <w:r>
        <w:rPr>
          <w:sz w:val="18"/>
        </w:rPr>
        <w:t>Process CO2 from Li2CO3 decomposition during calcination (stoichiometric, ~0.28 t CO2 per t LFP CAM)</w:t>
      </w:r>
    </w:p>
    <w:p>
      <w:pPr>
        <w:pStyle w:val="ListBullet"/>
      </w:pPr>
      <w:r>
        <w:rPr>
          <w:sz w:val="18"/>
        </w:rPr>
        <w:t>N2 gas consumption for inert atmosphere (recycled via closed-loop system with scrubbing)</w:t>
      </w:r>
    </w:p>
    <w:p>
      <w:pPr>
        <w:pStyle w:val="ListBullet"/>
      </w:pPr>
      <w:r>
        <w:rPr>
          <w:sz w:val="18"/>
        </w:rPr>
        <w:t>Water consumption for slurry preparation (recycled via spray dryer condensate recovery)</w:t>
      </w:r>
    </w:p>
    <w:p>
      <w:pPr>
        <w:pStyle w:val="ListBullet"/>
      </w:pPr>
      <w:r>
        <w:rPr>
          <w:sz w:val="18"/>
        </w:rPr>
        <w:t>Solid waste: off-specification product (recycled to precursor stage), spent grinding media (metal recycling), filter media (industrial waste disposal)</w:t>
      </w:r>
    </w:p>
    <w:p>
      <w:r>
        <w:rPr>
          <w:b/>
          <w:sz w:val="18"/>
        </w:rPr>
        <w:t>End-of-life phase</w:t>
      </w:r>
      <w:r>
        <w:rPr>
          <w:sz w:val="18"/>
        </w:rPr>
        <w:t>: Plant equipment is standard industrial equipment with established decommissioning and recycling pathways. No hazardous legacy comparable to petrochemical operations.</w:t>
      </w:r>
    </w:p>
    <w:p>
      <w:r>
        <w:rPr>
          <w:sz w:val="18"/>
        </w:rPr>
        <w:t>---</w:t>
      </w:r>
    </w:p>
    <w:p>
      <w:pPr>
        <w:pStyle w:val="Heading2"/>
      </w:pPr>
      <w:r>
        <w:t>4. Objectives</w:t>
      </w:r>
    </w:p>
    <w:p>
      <w:r>
        <w:rPr>
          <w:sz w:val="18"/>
        </w:rPr>
        <w:t>The FACE project pursues five SMART objectives that collectively define the technical, environmental, and commercial success criteria:</w:t>
      </w:r>
    </w:p>
    <w:tbl>
      <w:tblPr>
        <w:tblStyle w:val="LightGrid-Accent1"/>
        <w:tblW w:type="auto" w:w="0"/>
        <w:tblLook w:firstColumn="1" w:firstRow="1" w:lastColumn="0" w:lastRow="0" w:noHBand="0" w:noVBand="1" w:val="04A0"/>
      </w:tblPr>
      <w:tblGrid>
        <w:gridCol w:w="1757"/>
        <w:gridCol w:w="1757"/>
        <w:gridCol w:w="1757"/>
        <w:gridCol w:w="1757"/>
        <w:gridCol w:w="1757"/>
        <w:gridCol w:w="1757"/>
      </w:tblGrid>
      <w:tr>
        <w:tc>
          <w:tcPr>
            <w:tcW w:type="dxa" w:w="1757"/>
          </w:tcPr>
          <w:p>
            <w:r>
              <w:rPr>
                <w:b/>
                <w:sz w:val="16"/>
              </w:rPr>
              <w:t>#</w:t>
            </w:r>
          </w:p>
        </w:tc>
        <w:tc>
          <w:tcPr>
            <w:tcW w:type="dxa" w:w="1757"/>
          </w:tcPr>
          <w:p>
            <w:r>
              <w:rPr>
                <w:b/>
                <w:sz w:val="16"/>
              </w:rPr>
              <w:t>Objective</w:t>
            </w:r>
          </w:p>
        </w:tc>
        <w:tc>
          <w:tcPr>
            <w:tcW w:type="dxa" w:w="1757"/>
          </w:tcPr>
          <w:p>
            <w:r>
              <w:rPr>
                <w:b/>
                <w:sz w:val="16"/>
              </w:rPr>
              <w:t>Metric</w:t>
            </w:r>
          </w:p>
        </w:tc>
        <w:tc>
          <w:tcPr>
            <w:tcW w:type="dxa" w:w="1757"/>
          </w:tcPr>
          <w:p>
            <w:r>
              <w:rPr>
                <w:b/>
                <w:sz w:val="16"/>
              </w:rPr>
              <w:t>Target</w:t>
            </w:r>
          </w:p>
        </w:tc>
        <w:tc>
          <w:tcPr>
            <w:tcW w:type="dxa" w:w="1757"/>
          </w:tcPr>
          <w:p>
            <w:r>
              <w:rPr>
                <w:b/>
                <w:sz w:val="16"/>
              </w:rPr>
              <w:t>Timeline</w:t>
            </w:r>
          </w:p>
        </w:tc>
        <w:tc>
          <w:tcPr>
            <w:tcW w:type="dxa" w:w="1757"/>
          </w:tcPr>
          <w:p>
            <w:r>
              <w:rPr>
                <w:b/>
                <w:sz w:val="16"/>
              </w:rPr>
              <w:t>Verification</w:t>
            </w:r>
          </w:p>
        </w:tc>
      </w:tr>
      <w:tr>
        <w:tc>
          <w:tcPr>
            <w:tcW w:type="dxa" w:w="1757"/>
          </w:tcPr>
          <w:p>
            <w:r>
              <w:rPr>
                <w:sz w:val="16"/>
              </w:rPr>
              <w:t>O1</w:t>
            </w:r>
          </w:p>
        </w:tc>
        <w:tc>
          <w:tcPr>
            <w:tcW w:type="dxa" w:w="1757"/>
          </w:tcPr>
          <w:p>
            <w:r>
              <w:rPr>
                <w:sz w:val="16"/>
              </w:rPr>
              <w:t>Commission the first electrified LFP CAM production line in Italy</w:t>
            </w:r>
          </w:p>
        </w:tc>
        <w:tc>
          <w:tcPr>
            <w:tcW w:type="dxa" w:w="1757"/>
          </w:tcPr>
          <w:p>
            <w:r>
              <w:rPr>
                <w:sz w:val="16"/>
              </w:rPr>
              <w:t>Entry into Operation (EiO)</w:t>
            </w:r>
          </w:p>
        </w:tc>
        <w:tc>
          <w:tcPr>
            <w:tcW w:type="dxa" w:w="1757"/>
          </w:tcPr>
          <w:p>
            <w:r>
              <w:rPr>
                <w:sz w:val="16"/>
              </w:rPr>
              <w:t>Operational plant producing saleable product</w:t>
            </w:r>
          </w:p>
        </w:tc>
        <w:tc>
          <w:tcPr>
            <w:tcW w:type="dxa" w:w="1757"/>
          </w:tcPr>
          <w:p>
            <w:r>
              <w:rPr>
                <w:sz w:val="16"/>
              </w:rPr>
              <w:t>M48 (4 years from grant agreement)</w:t>
            </w:r>
          </w:p>
        </w:tc>
        <w:tc>
          <w:tcPr>
            <w:tcW w:type="dxa" w:w="1757"/>
          </w:tcPr>
          <w:p>
            <w:r>
              <w:rPr>
                <w:sz w:val="16"/>
              </w:rPr>
              <w:t>Independent third-party commissioning verification</w:t>
            </w:r>
          </w:p>
        </w:tc>
      </w:tr>
      <w:tr>
        <w:tc>
          <w:tcPr>
            <w:tcW w:type="dxa" w:w="1757"/>
          </w:tcPr>
          <w:p>
            <w:r>
              <w:rPr>
                <w:sz w:val="16"/>
              </w:rPr>
              <w:t>O2</w:t>
            </w:r>
          </w:p>
        </w:tc>
        <w:tc>
          <w:tcPr>
            <w:tcW w:type="dxa" w:w="1757"/>
          </w:tcPr>
          <w:p>
            <w:r>
              <w:rPr>
                <w:sz w:val="16"/>
              </w:rPr>
              <w:t>Deploy an ISO 23247-compliant digital twin achieving real-time process control</w:t>
            </w:r>
          </w:p>
        </w:tc>
        <w:tc>
          <w:tcPr>
            <w:tcW w:type="dxa" w:w="1757"/>
          </w:tcPr>
          <w:p>
            <w:r>
              <w:rPr>
                <w:sz w:val="16"/>
              </w:rPr>
              <w:t>DT latency: sensor-to-prediction</w:t>
            </w:r>
          </w:p>
        </w:tc>
        <w:tc>
          <w:tcPr>
            <w:tcW w:type="dxa" w:w="1757"/>
          </w:tcPr>
          <w:p>
            <w:r>
              <w:rPr>
                <w:sz w:val="16"/>
              </w:rPr>
              <w:t>&lt;1 second at edge nodes; &lt;5 second prediction-to-actuation for all MPC loops</w:t>
            </w:r>
          </w:p>
        </w:tc>
        <w:tc>
          <w:tcPr>
            <w:tcW w:type="dxa" w:w="1757"/>
          </w:tcPr>
          <w:p>
            <w:r>
              <w:rPr>
                <w:sz w:val="16"/>
              </w:rPr>
              <w:t>M42 (DT operational before full plant EiO)</w:t>
            </w:r>
          </w:p>
        </w:tc>
        <w:tc>
          <w:tcPr>
            <w:tcW w:type="dxa" w:w="1757"/>
          </w:tcPr>
          <w:p>
            <w:r>
              <w:rPr>
                <w:sz w:val="16"/>
              </w:rPr>
              <w:t>Performance testing against ISO 23247 conformance criteria</w:t>
            </w:r>
          </w:p>
        </w:tc>
      </w:tr>
      <w:tr>
        <w:tc>
          <w:tcPr>
            <w:tcW w:type="dxa" w:w="1757"/>
          </w:tcPr>
          <w:p>
            <w:r>
              <w:rPr>
                <w:sz w:val="16"/>
              </w:rPr>
              <w:t>O3</w:t>
            </w:r>
          </w:p>
        </w:tc>
        <w:tc>
          <w:tcPr>
            <w:tcW w:type="dxa" w:w="1757"/>
          </w:tcPr>
          <w:p>
            <w:r>
              <w:rPr>
                <w:sz w:val="16"/>
              </w:rPr>
              <w:t>Demonstrate &gt;=50% relative GHG emission avoidance versus gas-fired reference</w:t>
            </w:r>
          </w:p>
        </w:tc>
        <w:tc>
          <w:tcPr>
            <w:tcW w:type="dxa" w:w="1757"/>
          </w:tcPr>
          <w:p>
            <w:r>
              <w:rPr>
                <w:sz w:val="16"/>
              </w:rPr>
              <w:t>Relative GHG avoidance (Innovation Fund methodology)</w:t>
            </w:r>
          </w:p>
        </w:tc>
        <w:tc>
          <w:tcPr>
            <w:tcW w:type="dxa" w:w="1757"/>
          </w:tcPr>
          <w:p>
            <w:r>
              <w:rPr>
                <w:sz w:val="16"/>
              </w:rPr>
              <w:t>&gt;=50% by Year 1 of operation (using projected grid intensity at EiO)</w:t>
            </w:r>
          </w:p>
        </w:tc>
        <w:tc>
          <w:tcPr>
            <w:tcW w:type="dxa" w:w="1757"/>
          </w:tcPr>
          <w:p>
            <w:r>
              <w:rPr>
                <w:sz w:val="16"/>
              </w:rPr>
              <w:t>Year 1 post-EiO (verified annually)</w:t>
            </w:r>
          </w:p>
        </w:tc>
        <w:tc>
          <w:tcPr>
            <w:tcW w:type="dxa" w:w="1757"/>
          </w:tcPr>
          <w:p>
            <w:r>
              <w:rPr>
                <w:sz w:val="16"/>
              </w:rPr>
              <w:t>Innovation Fund GHG calculator; third-party LCA verification</w:t>
            </w:r>
          </w:p>
        </w:tc>
      </w:tr>
      <w:tr>
        <w:tc>
          <w:tcPr>
            <w:tcW w:type="dxa" w:w="1757"/>
          </w:tcPr>
          <w:p>
            <w:r>
              <w:rPr>
                <w:sz w:val="16"/>
              </w:rPr>
              <w:t>O4</w:t>
            </w:r>
          </w:p>
        </w:tc>
        <w:tc>
          <w:tcPr>
            <w:tcW w:type="dxa" w:w="1757"/>
          </w:tcPr>
          <w:p>
            <w:r>
              <w:rPr>
                <w:sz w:val="16"/>
              </w:rPr>
              <w:t>Achieve product quality meeting battery-grade CQA specifications</w:t>
            </w:r>
          </w:p>
        </w:tc>
        <w:tc>
          <w:tcPr>
            <w:tcW w:type="dxa" w:w="1757"/>
          </w:tcPr>
          <w:p>
            <w:r>
              <w:rPr>
                <w:sz w:val="16"/>
              </w:rPr>
              <w:t>CQA compliance rate</w:t>
            </w:r>
          </w:p>
        </w:tc>
        <w:tc>
          <w:tcPr>
            <w:tcW w:type="dxa" w:w="1757"/>
          </w:tcPr>
          <w:p>
            <w:r>
              <w:rPr>
                <w:sz w:val="16"/>
              </w:rPr>
              <w:t>D50 0.7-2.5 um, capacity &gt;155 mAh/g, phase purity &gt;98% -- &gt;=95% batch compliance</w:t>
            </w:r>
          </w:p>
        </w:tc>
        <w:tc>
          <w:tcPr>
            <w:tcW w:type="dxa" w:w="1757"/>
          </w:tcPr>
          <w:p>
            <w:r>
              <w:rPr>
                <w:sz w:val="16"/>
              </w:rPr>
              <w:t>M54 (6 months post-EiO)</w:t>
            </w:r>
          </w:p>
        </w:tc>
        <w:tc>
          <w:tcPr>
            <w:tcW w:type="dxa" w:w="1757"/>
          </w:tcPr>
          <w:p>
            <w:r>
              <w:rPr>
                <w:sz w:val="16"/>
              </w:rPr>
              <w:t>Statistical process capability analysis (Cpk &gt; 1.33 for all CQAs)</w:t>
            </w:r>
          </w:p>
        </w:tc>
      </w:tr>
      <w:tr>
        <w:tc>
          <w:tcPr>
            <w:tcW w:type="dxa" w:w="1757"/>
          </w:tcPr>
          <w:p>
            <w:r>
              <w:rPr>
                <w:sz w:val="16"/>
              </w:rPr>
              <w:t>O5</w:t>
            </w:r>
          </w:p>
        </w:tc>
        <w:tc>
          <w:tcPr>
            <w:tcW w:type="dxa" w:w="1757"/>
          </w:tcPr>
          <w:p>
            <w:r>
              <w:rPr>
                <w:sz w:val="16"/>
              </w:rPr>
              <w:t>Reduce batch-to-batch variability by &gt;=40% through DT-enabled closed-loop control</w:t>
            </w:r>
          </w:p>
        </w:tc>
        <w:tc>
          <w:tcPr>
            <w:tcW w:type="dxa" w:w="1757"/>
          </w:tcPr>
          <w:p>
            <w:r>
              <w:rPr>
                <w:sz w:val="16"/>
              </w:rPr>
              <w:t>Coefficient of variation (CV) of key CQAs (D50, capacity, phase purity)</w:t>
            </w:r>
          </w:p>
        </w:tc>
        <w:tc>
          <w:tcPr>
            <w:tcW w:type="dxa" w:w="1757"/>
          </w:tcPr>
          <w:p>
            <w:r>
              <w:rPr>
                <w:sz w:val="16"/>
              </w:rPr>
              <w:t>CV reduction &gt;=40% versus open-loop baseline</w:t>
            </w:r>
          </w:p>
        </w:tc>
        <w:tc>
          <w:tcPr>
            <w:tcW w:type="dxa" w:w="1757"/>
          </w:tcPr>
          <w:p>
            <w:r>
              <w:rPr>
                <w:sz w:val="16"/>
              </w:rPr>
              <w:t>Year 2 of operation</w:t>
            </w:r>
          </w:p>
        </w:tc>
        <w:tc>
          <w:tcPr>
            <w:tcW w:type="dxa" w:w="1757"/>
          </w:tcPr>
          <w:p>
            <w:r>
              <w:rPr>
                <w:sz w:val="16"/>
              </w:rPr>
              <w:t>Statistical comparison: first 6 months (open-loop baseline) vs Year 2 (DT-optimised)</w:t>
            </w:r>
          </w:p>
        </w:tc>
      </w:tr>
    </w:tbl>
    <w:p>
      <w:r>
        <w:rPr>
          <w:sz w:val="18"/>
        </w:rPr>
        <w:t>These objectives are consistent with the Innovation Fund scoring criteria: O1 addresses project maturity (EiO within 4 years for bonus points); O3 directly addresses the GHG emission avoidance criterion (&gt;=50% minimum); O4 and O5 address innovation impact and product quality; and O2 provides the technical enabler for O4 and O5.</w:t>
      </w:r>
    </w:p>
    <w:p>
      <w:r>
        <w:rPr>
          <w:sz w:val="18"/>
        </w:rPr>
        <w:t>---</w:t>
      </w:r>
    </w:p>
    <w:p>
      <w:pPr>
        <w:pStyle w:val="Heading2"/>
      </w:pPr>
      <w:r>
        <w:t>5. Resources and Feedstock Availability</w:t>
      </w:r>
    </w:p>
    <w:p>
      <w:pPr>
        <w:pStyle w:val="Heading3"/>
      </w:pPr>
      <w:r>
        <w:t>5.1 Supply Chain Analysis</w:t>
      </w:r>
    </w:p>
    <w:p>
      <w:pPr>
        <w:pStyle w:val="Heading4"/>
      </w:pPr>
      <w:r>
        <w:t>5.1.1 Raw Material Requirements</w:t>
      </w:r>
    </w:p>
    <w:p>
      <w:r>
        <w:rPr>
          <w:sz w:val="18"/>
        </w:rPr>
        <w:t>The solid-state LFP synthesis route requires three primary precursors plus process utilities:</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108"/>
          </w:tcPr>
          <w:p>
            <w:r>
              <w:rPr>
                <w:b/>
                <w:sz w:val="16"/>
              </w:rPr>
              <w:t>Material</w:t>
            </w:r>
          </w:p>
        </w:tc>
        <w:tc>
          <w:tcPr>
            <w:tcW w:type="dxa" w:w="2108"/>
          </w:tcPr>
          <w:p>
            <w:r>
              <w:rPr>
                <w:b/>
                <w:sz w:val="16"/>
              </w:rPr>
              <w:t>Function</w:t>
            </w:r>
          </w:p>
        </w:tc>
        <w:tc>
          <w:tcPr>
            <w:tcW w:type="dxa" w:w="2108"/>
          </w:tcPr>
          <w:p>
            <w:r>
              <w:rPr>
                <w:b/>
                <w:sz w:val="16"/>
              </w:rPr>
              <w:t>Quantity per t LFP CAM</w:t>
            </w:r>
          </w:p>
        </w:tc>
        <w:tc>
          <w:tcPr>
            <w:tcW w:type="dxa" w:w="2108"/>
          </w:tcPr>
          <w:p>
            <w:r>
              <w:rPr>
                <w:b/>
                <w:sz w:val="16"/>
              </w:rPr>
              <w:t>Annual at 50 kton/yr</w:t>
            </w:r>
          </w:p>
        </w:tc>
        <w:tc>
          <w:tcPr>
            <w:tcW w:type="dxa" w:w="2108"/>
          </w:tcPr>
          <w:p>
            <w:r>
              <w:rPr>
                <w:b/>
                <w:sz w:val="16"/>
              </w:rPr>
              <w:t>Supply Category</w:t>
            </w:r>
          </w:p>
        </w:tc>
      </w:tr>
      <w:tr>
        <w:tc>
          <w:tcPr>
            <w:tcW w:type="dxa" w:w="2108"/>
          </w:tcPr>
          <w:p>
            <w:r>
              <w:rPr>
                <w:sz w:val="16"/>
              </w:rPr>
              <w:t>Iron phosphate (FePO4)</w:t>
            </w:r>
          </w:p>
        </w:tc>
        <w:tc>
          <w:tcPr>
            <w:tcW w:type="dxa" w:w="2108"/>
          </w:tcPr>
          <w:p>
            <w:r>
              <w:rPr>
                <w:sz w:val="16"/>
              </w:rPr>
              <w:t>Iron and phosphorus source</w:t>
            </w:r>
          </w:p>
        </w:tc>
        <w:tc>
          <w:tcPr>
            <w:tcW w:type="dxa" w:w="2108"/>
          </w:tcPr>
          <w:p>
            <w:r>
              <w:rPr>
                <w:sz w:val="16"/>
              </w:rPr>
              <w:t>0.98 t</w:t>
            </w:r>
          </w:p>
        </w:tc>
        <w:tc>
          <w:tcPr>
            <w:tcW w:type="dxa" w:w="2108"/>
          </w:tcPr>
          <w:p>
            <w:r>
              <w:rPr>
                <w:sz w:val="16"/>
              </w:rPr>
              <w:t>49,000 t</w:t>
            </w:r>
          </w:p>
        </w:tc>
        <w:tc>
          <w:tcPr>
            <w:tcW w:type="dxa" w:w="2108"/>
          </w:tcPr>
          <w:p>
            <w:r>
              <w:rPr>
                <w:sz w:val="16"/>
              </w:rPr>
              <w:t>Commodity industrial chemical</w:t>
            </w:r>
          </w:p>
        </w:tc>
      </w:tr>
      <w:tr>
        <w:tc>
          <w:tcPr>
            <w:tcW w:type="dxa" w:w="2108"/>
          </w:tcPr>
          <w:p>
            <w:r>
              <w:rPr>
                <w:sz w:val="16"/>
              </w:rPr>
              <w:t>Lithium carbonate (Li2CO3)</w:t>
            </w:r>
          </w:p>
        </w:tc>
        <w:tc>
          <w:tcPr>
            <w:tcW w:type="dxa" w:w="2108"/>
          </w:tcPr>
          <w:p>
            <w:r>
              <w:rPr>
                <w:sz w:val="16"/>
              </w:rPr>
              <w:t>Lithium source</w:t>
            </w:r>
          </w:p>
        </w:tc>
        <w:tc>
          <w:tcPr>
            <w:tcW w:type="dxa" w:w="2108"/>
          </w:tcPr>
          <w:p>
            <w:r>
              <w:rPr>
                <w:sz w:val="16"/>
              </w:rPr>
              <w:t>0.25 t</w:t>
            </w:r>
          </w:p>
        </w:tc>
        <w:tc>
          <w:tcPr>
            <w:tcW w:type="dxa" w:w="2108"/>
          </w:tcPr>
          <w:p>
            <w:r>
              <w:rPr>
                <w:sz w:val="16"/>
              </w:rPr>
              <w:t>12,500 t</w:t>
            </w:r>
          </w:p>
        </w:tc>
        <w:tc>
          <w:tcPr>
            <w:tcW w:type="dxa" w:w="2108"/>
          </w:tcPr>
          <w:p>
            <w:r>
              <w:rPr>
                <w:sz w:val="16"/>
              </w:rPr>
              <w:t>Critical raw material</w:t>
            </w:r>
          </w:p>
        </w:tc>
      </w:tr>
      <w:tr>
        <w:tc>
          <w:tcPr>
            <w:tcW w:type="dxa" w:w="2108"/>
          </w:tcPr>
          <w:p>
            <w:r>
              <w:rPr>
                <w:sz w:val="16"/>
              </w:rPr>
              <w:t>Glucose (C6H12O6)</w:t>
            </w:r>
          </w:p>
        </w:tc>
        <w:tc>
          <w:tcPr>
            <w:tcW w:type="dxa" w:w="2108"/>
          </w:tcPr>
          <w:p>
            <w:r>
              <w:rPr>
                <w:sz w:val="16"/>
              </w:rPr>
              <w:t>Carbon source for in-situ coating</w:t>
            </w:r>
          </w:p>
        </w:tc>
        <w:tc>
          <w:tcPr>
            <w:tcW w:type="dxa" w:w="2108"/>
          </w:tcPr>
          <w:p>
            <w:r>
              <w:rPr>
                <w:sz w:val="16"/>
              </w:rPr>
              <w:t>0.010 t (10 kg)</w:t>
            </w:r>
          </w:p>
        </w:tc>
        <w:tc>
          <w:tcPr>
            <w:tcW w:type="dxa" w:w="2108"/>
          </w:tcPr>
          <w:p>
            <w:r>
              <w:rPr>
                <w:sz w:val="16"/>
              </w:rPr>
              <w:t>500 t</w:t>
            </w:r>
          </w:p>
        </w:tc>
        <w:tc>
          <w:tcPr>
            <w:tcW w:type="dxa" w:w="2108"/>
          </w:tcPr>
          <w:p>
            <w:r>
              <w:rPr>
                <w:sz w:val="16"/>
              </w:rPr>
              <w:t>Food-grade commodity</w:t>
            </w:r>
          </w:p>
        </w:tc>
      </w:tr>
      <w:tr>
        <w:tc>
          <w:tcPr>
            <w:tcW w:type="dxa" w:w="2108"/>
          </w:tcPr>
          <w:p>
            <w:r>
              <w:rPr>
                <w:sz w:val="16"/>
              </w:rPr>
              <w:t>TiO2</w:t>
            </w:r>
          </w:p>
        </w:tc>
        <w:tc>
          <w:tcPr>
            <w:tcW w:type="dxa" w:w="2108"/>
          </w:tcPr>
          <w:p>
            <w:r>
              <w:rPr>
                <w:sz w:val="16"/>
              </w:rPr>
              <w:t>Doping/coating additive</w:t>
            </w:r>
          </w:p>
        </w:tc>
        <w:tc>
          <w:tcPr>
            <w:tcW w:type="dxa" w:w="2108"/>
          </w:tcPr>
          <w:p>
            <w:r>
              <w:rPr>
                <w:sz w:val="16"/>
              </w:rPr>
              <w:t>0.008 t (8 kg)</w:t>
            </w:r>
          </w:p>
        </w:tc>
        <w:tc>
          <w:tcPr>
            <w:tcW w:type="dxa" w:w="2108"/>
          </w:tcPr>
          <w:p>
            <w:r>
              <w:rPr>
                <w:sz w:val="16"/>
              </w:rPr>
              <w:t>400 t</w:t>
            </w:r>
          </w:p>
        </w:tc>
        <w:tc>
          <w:tcPr>
            <w:tcW w:type="dxa" w:w="2108"/>
          </w:tcPr>
          <w:p>
            <w:r>
              <w:rPr>
                <w:sz w:val="16"/>
              </w:rPr>
              <w:t>Commodity chemical</w:t>
            </w:r>
          </w:p>
        </w:tc>
      </w:tr>
      <w:tr>
        <w:tc>
          <w:tcPr>
            <w:tcW w:type="dxa" w:w="2108"/>
          </w:tcPr>
          <w:p>
            <w:r>
              <w:rPr>
                <w:sz w:val="16"/>
              </w:rPr>
              <w:t>H3PO4</w:t>
            </w:r>
          </w:p>
        </w:tc>
        <w:tc>
          <w:tcPr>
            <w:tcW w:type="dxa" w:w="2108"/>
          </w:tcPr>
          <w:p>
            <w:r>
              <w:rPr>
                <w:sz w:val="16"/>
              </w:rPr>
              <w:t>Supplementary phosphorus source</w:t>
            </w:r>
          </w:p>
        </w:tc>
        <w:tc>
          <w:tcPr>
            <w:tcW w:type="dxa" w:w="2108"/>
          </w:tcPr>
          <w:p>
            <w:r>
              <w:rPr>
                <w:sz w:val="16"/>
              </w:rPr>
              <w:t>0.006 t (6 kg)</w:t>
            </w:r>
          </w:p>
        </w:tc>
        <w:tc>
          <w:tcPr>
            <w:tcW w:type="dxa" w:w="2108"/>
          </w:tcPr>
          <w:p>
            <w:r>
              <w:rPr>
                <w:sz w:val="16"/>
              </w:rPr>
              <w:t>300 t</w:t>
            </w:r>
          </w:p>
        </w:tc>
        <w:tc>
          <w:tcPr>
            <w:tcW w:type="dxa" w:w="2108"/>
          </w:tcPr>
          <w:p>
            <w:r>
              <w:rPr>
                <w:sz w:val="16"/>
              </w:rPr>
              <w:t>Commodity chemical</w:t>
            </w:r>
          </w:p>
        </w:tc>
      </w:tr>
      <w:tr>
        <w:tc>
          <w:tcPr>
            <w:tcW w:type="dxa" w:w="2108"/>
          </w:tcPr>
          <w:p>
            <w:r>
              <w:rPr>
                <w:sz w:val="16"/>
              </w:rPr>
              <w:t>Nitrogen gas (N2)</w:t>
            </w:r>
          </w:p>
        </w:tc>
        <w:tc>
          <w:tcPr>
            <w:tcW w:type="dxa" w:w="2108"/>
          </w:tcPr>
          <w:p>
            <w:r>
              <w:rPr>
                <w:sz w:val="16"/>
              </w:rPr>
              <w:t>Inert atmosphere for calcination</w:t>
            </w:r>
          </w:p>
        </w:tc>
        <w:tc>
          <w:tcPr>
            <w:tcW w:type="dxa" w:w="2108"/>
          </w:tcPr>
          <w:p>
            <w:r>
              <w:rPr>
                <w:sz w:val="16"/>
              </w:rPr>
              <w:t>850 m3</w:t>
            </w:r>
          </w:p>
        </w:tc>
        <w:tc>
          <w:tcPr>
            <w:tcW w:type="dxa" w:w="2108"/>
          </w:tcPr>
          <w:p>
            <w:r>
              <w:rPr>
                <w:sz w:val="16"/>
              </w:rPr>
              <w:t>42,500,000 m3</w:t>
            </w:r>
          </w:p>
        </w:tc>
        <w:tc>
          <w:tcPr>
            <w:tcW w:type="dxa" w:w="2108"/>
          </w:tcPr>
          <w:p>
            <w:r>
              <w:rPr>
                <w:sz w:val="16"/>
              </w:rPr>
              <w:t>Industrial gas</w:t>
            </w:r>
          </w:p>
        </w:tc>
      </w:tr>
      <w:tr>
        <w:tc>
          <w:tcPr>
            <w:tcW w:type="dxa" w:w="2108"/>
          </w:tcPr>
          <w:p>
            <w:r>
              <w:rPr>
                <w:sz w:val="16"/>
              </w:rPr>
              <w:t>Production water</w:t>
            </w:r>
          </w:p>
        </w:tc>
        <w:tc>
          <w:tcPr>
            <w:tcW w:type="dxa" w:w="2108"/>
          </w:tcPr>
          <w:p>
            <w:r>
              <w:rPr>
                <w:sz w:val="16"/>
              </w:rPr>
              <w:t>Slurry preparation and process</w:t>
            </w:r>
          </w:p>
        </w:tc>
        <w:tc>
          <w:tcPr>
            <w:tcW w:type="dxa" w:w="2108"/>
          </w:tcPr>
          <w:p>
            <w:r>
              <w:rPr>
                <w:sz w:val="16"/>
              </w:rPr>
              <w:t>4 t</w:t>
            </w:r>
          </w:p>
        </w:tc>
        <w:tc>
          <w:tcPr>
            <w:tcW w:type="dxa" w:w="2108"/>
          </w:tcPr>
          <w:p>
            <w:r>
              <w:rPr>
                <w:sz w:val="16"/>
              </w:rPr>
              <w:t>200,000 t</w:t>
            </w:r>
          </w:p>
        </w:tc>
        <w:tc>
          <w:tcPr>
            <w:tcW w:type="dxa" w:w="2108"/>
          </w:tcPr>
          <w:p>
            <w:r>
              <w:rPr>
                <w:sz w:val="16"/>
              </w:rPr>
              <w:t>On-site treatment</w:t>
            </w:r>
          </w:p>
        </w:tc>
      </w:tr>
      <w:tr>
        <w:tc>
          <w:tcPr>
            <w:tcW w:type="dxa" w:w="2108"/>
          </w:tcPr>
          <w:p>
            <w:r>
              <w:rPr>
                <w:sz w:val="16"/>
              </w:rPr>
              <w:t>Pure water</w:t>
            </w:r>
          </w:p>
        </w:tc>
        <w:tc>
          <w:tcPr>
            <w:tcW w:type="dxa" w:w="2108"/>
          </w:tcPr>
          <w:p>
            <w:r>
              <w:rPr>
                <w:sz w:val="16"/>
              </w:rPr>
              <w:t>High-purity process applications</w:t>
            </w:r>
          </w:p>
        </w:tc>
        <w:tc>
          <w:tcPr>
            <w:tcW w:type="dxa" w:w="2108"/>
          </w:tcPr>
          <w:p>
            <w:r>
              <w:rPr>
                <w:sz w:val="16"/>
              </w:rPr>
              <w:t>5 t</w:t>
            </w:r>
          </w:p>
        </w:tc>
        <w:tc>
          <w:tcPr>
            <w:tcW w:type="dxa" w:w="2108"/>
          </w:tcPr>
          <w:p>
            <w:r>
              <w:rPr>
                <w:sz w:val="16"/>
              </w:rPr>
              <w:t>250,000 t</w:t>
            </w:r>
          </w:p>
        </w:tc>
        <w:tc>
          <w:tcPr>
            <w:tcW w:type="dxa" w:w="2108"/>
          </w:tcPr>
          <w:p>
            <w:r>
              <w:rPr>
                <w:sz w:val="16"/>
              </w:rPr>
              <w:t>On-site treatment</w:t>
            </w:r>
          </w:p>
        </w:tc>
      </w:tr>
      <w:tr>
        <w:tc>
          <w:tcPr>
            <w:tcW w:type="dxa" w:w="2108"/>
          </w:tcPr>
          <w:p>
            <w:r>
              <w:rPr>
                <w:sz w:val="16"/>
              </w:rPr>
              <w:t>Electricity</w:t>
            </w:r>
          </w:p>
        </w:tc>
        <w:tc>
          <w:tcPr>
            <w:tcW w:type="dxa" w:w="2108"/>
          </w:tcPr>
          <w:p>
            <w:r>
              <w:rPr>
                <w:sz w:val="16"/>
              </w:rPr>
              <w:t>Process heat + milling + utilities</w:t>
            </w:r>
          </w:p>
        </w:tc>
        <w:tc>
          <w:tcPr>
            <w:tcW w:type="dxa" w:w="2108"/>
          </w:tcPr>
          <w:p>
            <w:r>
              <w:rPr>
                <w:sz w:val="16"/>
              </w:rPr>
              <w:t>3,580 kWh</w:t>
            </w:r>
          </w:p>
        </w:tc>
        <w:tc>
          <w:tcPr>
            <w:tcW w:type="dxa" w:w="2108"/>
          </w:tcPr>
          <w:p>
            <w:r>
              <w:rPr>
                <w:sz w:val="16"/>
              </w:rPr>
              <w:t>179,000 MWh</w:t>
            </w:r>
          </w:p>
        </w:tc>
        <w:tc>
          <w:tcPr>
            <w:tcW w:type="dxa" w:w="2108"/>
          </w:tcPr>
          <w:p>
            <w:r>
              <w:rPr>
                <w:sz w:val="16"/>
              </w:rPr>
              <w:t>Grid + PPA</w:t>
            </w:r>
          </w:p>
        </w:tc>
      </w:tr>
      <w:tr>
        <w:tc>
          <w:tcPr>
            <w:tcW w:type="dxa" w:w="2108"/>
          </w:tcPr>
          <w:p>
            <w:r>
              <w:rPr>
                <w:sz w:val="16"/>
              </w:rPr>
              <w:t>Natural gas</w:t>
            </w:r>
          </w:p>
        </w:tc>
        <w:tc>
          <w:tcPr>
            <w:tcW w:type="dxa" w:w="2108"/>
          </w:tcPr>
          <w:p>
            <w:r>
              <w:rPr>
                <w:sz w:val="16"/>
              </w:rPr>
              <w:t>Auxiliary heating (spray drying, calcination)</w:t>
            </w:r>
          </w:p>
        </w:tc>
        <w:tc>
          <w:tcPr>
            <w:tcW w:type="dxa" w:w="2108"/>
          </w:tcPr>
          <w:p>
            <w:r>
              <w:rPr>
                <w:sz w:val="16"/>
              </w:rPr>
              <w:t>189 m3</w:t>
            </w:r>
          </w:p>
        </w:tc>
        <w:tc>
          <w:tcPr>
            <w:tcW w:type="dxa" w:w="2108"/>
          </w:tcPr>
          <w:p>
            <w:r>
              <w:rPr>
                <w:sz w:val="16"/>
              </w:rPr>
              <w:t>9,450,000 m3</w:t>
            </w:r>
          </w:p>
        </w:tc>
        <w:tc>
          <w:tcPr>
            <w:tcW w:type="dxa" w:w="2108"/>
          </w:tcPr>
          <w:p>
            <w:r>
              <w:rPr>
                <w:sz w:val="16"/>
              </w:rPr>
              <w:t>Pipeline/LNG</w:t>
            </w:r>
          </w:p>
        </w:tc>
      </w:tr>
    </w:tbl>
    <w:p>
      <w:pPr>
        <w:pStyle w:val="Heading4"/>
      </w:pPr>
      <w:r>
        <w:t>5.1.2 Iron Phosphate (FePO4) Supply</w:t>
      </w:r>
    </w:p>
    <w:p>
      <w:r>
        <w:rPr>
          <w:sz w:val="18"/>
        </w:rPr>
        <w:t>Iron phosphate is produced globally through the reaction of iron salts (FeSO4, FeCl2) with phosphoric acid or sodium phosphate. The supply base is concentrated in China but with growing non-Chinese capacity:</w:t>
      </w:r>
    </w:p>
    <w:p>
      <w:pPr>
        <w:pStyle w:val="ListBullet"/>
      </w:pPr>
      <w:r>
        <w:rPr>
          <w:b/>
          <w:sz w:val="18"/>
        </w:rPr>
        <w:t>Chinese suppliers</w:t>
      </w:r>
      <w:r>
        <w:rPr>
          <w:sz w:val="18"/>
        </w:rPr>
        <w:t>: Largest global capacity. Multiple Tier-1 suppliers (Guizhou Anda, Yunnan Copper) with established export channels.</w:t>
      </w:r>
    </w:p>
    <w:p>
      <w:pPr>
        <w:pStyle w:val="ListBullet"/>
      </w:pPr>
      <w:r>
        <w:rPr>
          <w:b/>
          <w:sz w:val="18"/>
        </w:rPr>
        <w:t>European suppliers</w:t>
      </w:r>
      <w:r>
        <w:rPr>
          <w:sz w:val="18"/>
        </w:rPr>
        <w:t>: Limited current capacity. Chemical companies such as Budenheim (Germany) and Prayon (Belgium) produce iron phosphate for food and pharmaceutical applications; battery-grade specifications may require qualification.</w:t>
      </w:r>
    </w:p>
    <w:p>
      <w:pPr>
        <w:pStyle w:val="ListBullet"/>
      </w:pPr>
      <w:r>
        <w:rPr>
          <w:b/>
          <w:sz w:val="18"/>
        </w:rPr>
        <w:t>Diversification strategy</w:t>
      </w:r>
      <w:r>
        <w:rPr>
          <w:sz w:val="18"/>
        </w:rPr>
        <w:t>: Dual-sourcing from at least one Chinese and one non-Chinese supplier, with strategic inventory buffer (minimum 3 months).</w:t>
      </w:r>
    </w:p>
    <w:p>
      <w:r>
        <w:rPr>
          <w:b/>
          <w:color w:val="CC0000"/>
          <w:sz w:val="18"/>
        </w:rPr>
        <w:t>[TO BE COMPLETED: Specific supplier names, contracted volumes, pricing structure, and qualification status must be confirmed by the procurement team. Long-term supply agreements with price hedging mechanisms should be negotiated before FID. Annual requirement at full capacity: 49,000 t FePO4.]</w:t>
      </w:r>
    </w:p>
    <w:p>
      <w:pPr>
        <w:pStyle w:val="Heading4"/>
      </w:pPr>
      <w:r>
        <w:t>5.1.3 Lithium Carbonate (Li2CO3) Supply</w:t>
      </w:r>
    </w:p>
    <w:p>
      <w:r>
        <w:rPr>
          <w:sz w:val="18"/>
        </w:rPr>
        <w:t>Lithium carbonate is classified as a critical raw material under the EU Critical Raw Materials Act (CRMA). The global supply is dominated by Australia (spodumene mining) and South America (brine extraction), with Chinese conversion capacity controlling a large share of refined lithium carbonate production.</w:t>
      </w:r>
    </w:p>
    <w:p>
      <w:r>
        <w:rPr>
          <w:b/>
          <w:sz w:val="18"/>
        </w:rPr>
        <w:t>Procurement strategy</w:t>
      </w:r>
      <w:r>
        <w:rPr>
          <w:sz w:val="18"/>
        </w:rPr>
        <w:t>:</w:t>
      </w:r>
    </w:p>
    <w:p>
      <w:pPr>
        <w:pStyle w:val="ListBullet"/>
      </w:pPr>
      <w:r>
        <w:rPr>
          <w:sz w:val="18"/>
        </w:rPr>
        <w:t>Primary sourcing from established lithium producers with European trading operations (Albemarle, SQM, Pilbara Minerals via offtake)</w:t>
      </w:r>
    </w:p>
    <w:p>
      <w:pPr>
        <w:pStyle w:val="ListBullet"/>
      </w:pPr>
      <w:r>
        <w:rPr>
          <w:sz w:val="18"/>
        </w:rPr>
        <w:t>EU sourcing option: European lithium projects in development (Vulcan Energy in Germany, Imerys in France, Savannah Resources in Portugal) may provide domestic supply by 2028-2030</w:t>
      </w:r>
    </w:p>
    <w:p>
      <w:pPr>
        <w:pStyle w:val="ListBullet"/>
      </w:pPr>
      <w:r>
        <w:rPr>
          <w:sz w:val="18"/>
        </w:rPr>
        <w:t>Spot market access as backup through LME lithium carbonate contract (launched 2023)</w:t>
      </w:r>
    </w:p>
    <w:p>
      <w:pPr>
        <w:pStyle w:val="ListBullet"/>
      </w:pPr>
      <w:r>
        <w:rPr>
          <w:sz w:val="18"/>
        </w:rPr>
        <w:t>Strategic inventory: minimum 3 months of lithium carbonate buffer stock</w:t>
      </w:r>
    </w:p>
    <w:p>
      <w:pPr>
        <w:pStyle w:val="ListBullet"/>
      </w:pPr>
      <w:r>
        <w:rPr>
          <w:sz w:val="18"/>
        </w:rPr>
        <w:t>Price hedging: forward contracts or financial hedging where commercially available</w:t>
      </w:r>
    </w:p>
    <w:p>
      <w:r>
        <w:rPr>
          <w:b/>
          <w:color w:val="CC0000"/>
          <w:sz w:val="18"/>
        </w:rPr>
        <w:t>[TO BE COMPLETED: Lithium carbonate pricing is highly volatile (ranged from ~USD 15,000/t to ~USD 80,000/t between 2022-2025). Annual requirement at full capacity: 12,500 t Li2CO3. The specific contracted price and hedging strategy must be defined in the business plan. OPEX sensitivity to lithium price should be modelled at +/-50%.]</w:t>
      </w:r>
    </w:p>
    <w:p>
      <w:pPr>
        <w:pStyle w:val="Heading4"/>
      </w:pPr>
      <w:r>
        <w:t>5.1.4 Glucose</w:t>
      </w:r>
    </w:p>
    <w:p>
      <w:r>
        <w:rPr>
          <w:sz w:val="18"/>
        </w:rPr>
        <w:t>Glucose is a food-grade commodity chemical produced from corn or wheat starch hydrolysis. Supply is abundant, globally diversified, and price-stable. European suppliers include Cargill, Roquette, and Tereos. No supply chain risk is identified.</w:t>
      </w:r>
    </w:p>
    <w:p>
      <w:pPr>
        <w:pStyle w:val="Heading4"/>
      </w:pPr>
      <w:r>
        <w:t>5.1.5 Nitrogen Gas</w:t>
      </w:r>
    </w:p>
    <w:p>
      <w:r>
        <w:rPr>
          <w:sz w:val="18"/>
        </w:rPr>
        <w:t>High-purity nitrogen (&gt;99.99%) is required for the inert calcination atmosphere. Supply options:</w:t>
      </w:r>
    </w:p>
    <w:p>
      <w:pPr>
        <w:pStyle w:val="ListBullet"/>
      </w:pPr>
      <w:r>
        <w:rPr>
          <w:b/>
          <w:sz w:val="18"/>
        </w:rPr>
        <w:t>On-site PSA (Pressure Swing Adsorption) generator</w:t>
      </w:r>
      <w:r>
        <w:rPr>
          <w:sz w:val="18"/>
        </w:rPr>
        <w:t>: Produces N2 from compressed air at &gt;99.5% purity. Preferred for large-volume continuous demand. CAPEX ~EUR 200-500k depending on capacity. Operating cost ~EUR 0.03-0.05/Nm3.</w:t>
      </w:r>
    </w:p>
    <w:p>
      <w:pPr>
        <w:pStyle w:val="ListBullet"/>
      </w:pPr>
      <w:r>
        <w:rPr>
          <w:b/>
          <w:sz w:val="18"/>
        </w:rPr>
        <w:t>Bulk liquid N2 delivery</w:t>
      </w:r>
      <w:r>
        <w:rPr>
          <w:sz w:val="18"/>
        </w:rPr>
        <w:t>: From industrial gas suppliers (Air Liquide, Linde, SOL Group -- all with operations in southern Italy). Higher purity (&gt;99.999%) but higher operating cost (~EUR 0.10-0.20/Nm3).</w:t>
      </w:r>
    </w:p>
    <w:p>
      <w:pPr>
        <w:pStyle w:val="ListBullet"/>
      </w:pPr>
      <w:r>
        <w:rPr>
          <w:b/>
          <w:sz w:val="18"/>
        </w:rPr>
        <w:t>Hybrid approach</w:t>
      </w:r>
      <w:r>
        <w:rPr>
          <w:sz w:val="18"/>
        </w:rPr>
        <w:t>: On-site PSA for base load with bulk liquid top-up for peak demand and ultra-high-purity applications.</w:t>
      </w:r>
    </w:p>
    <w:p>
      <w:r>
        <w:rPr>
          <w:sz w:val="18"/>
        </w:rPr>
        <w:t xml:space="preserve">The production document specifies nitrogen consumption of 850 m3 per tonne of LFP CAM product (42,500,000 m3/yr at full 50 kton/yr capacity). </w:t>
      </w:r>
      <w:r>
        <w:rPr>
          <w:b/>
          <w:color w:val="CC0000"/>
          <w:sz w:val="18"/>
        </w:rPr>
        <w:t>[TO BE COMPLETED: The specific N2 supply configuration (on-site PSA vs bulk liquid vs hybrid) and cost must be confirmed by process engineering.]</w:t>
      </w:r>
    </w:p>
    <w:p>
      <w:pPr>
        <w:pStyle w:val="Heading4"/>
      </w:pPr>
      <w:r>
        <w:t>5.1.6 Electricity</w:t>
      </w:r>
    </w:p>
    <w:p>
      <w:r>
        <w:rPr>
          <w:sz w:val="18"/>
        </w:rPr>
        <w:t>Electricity is the primary energy input for the electrified plant, consumed across spray drying (~30-40% of total), calcination (~40-50%), milling (~10-15%), and auxiliaries (~5-10%).</w:t>
      </w:r>
    </w:p>
    <w:p>
      <w:r>
        <w:rPr>
          <w:b/>
          <w:sz w:val="18"/>
        </w:rPr>
        <w:t>Supply strategy</w:t>
      </w:r>
      <w:r>
        <w:rPr>
          <w:sz w:val="18"/>
        </w:rPr>
        <w:t>:</w:t>
      </w:r>
    </w:p>
    <w:p>
      <w:pPr>
        <w:pStyle w:val="ListBullet"/>
      </w:pPr>
      <w:r>
        <w:rPr>
          <w:sz w:val="18"/>
        </w:rPr>
        <w:t>Grid connection via Terna (Italian TSO) at high voltage. Existing grid infrastructure at the Eni Brindisi site provides adequate capacity.</w:t>
      </w:r>
    </w:p>
    <w:p>
      <w:pPr>
        <w:pStyle w:val="ListBullet"/>
      </w:pPr>
      <w:r>
        <w:rPr>
          <w:sz w:val="18"/>
        </w:rPr>
        <w:t>Long-term Power Purchase Agreement (PPA) with a renewable electricity provider to lock in costs and ensure low-carbon supply. Puglia's excellent solar irradiance (~1,700 kWh/m2/yr) supports competitive solar PPA pricing.</w:t>
      </w:r>
    </w:p>
    <w:p>
      <w:pPr>
        <w:pStyle w:val="ListBullet"/>
      </w:pPr>
      <w:r>
        <w:rPr>
          <w:sz w:val="18"/>
        </w:rPr>
        <w:t>Option for on-site photovoltaic capacity to partially self-supply and hedge against grid price volatility.</w:t>
      </w:r>
    </w:p>
    <w:p>
      <w:pPr>
        <w:pStyle w:val="ListBullet"/>
      </w:pPr>
      <w:r>
        <w:rPr>
          <w:sz w:val="18"/>
        </w:rPr>
        <w:t xml:space="preserve">The Italian grid carbon intensity is projected to decline from ~310 gCO2/kWh (2025) to ~146 gCO2/kWh (2030) under Italy's NECP targets </w:t>
      </w:r>
      <w:r>
        <w:rPr>
          <w:color w:val="0066CC"/>
          <w:sz w:val="16"/>
        </w:rPr>
        <w:t>[SRC-ED-016, SRC-ED-017]</w:t>
      </w:r>
      <w:r>
        <w:rPr>
          <w:sz w:val="18"/>
        </w:rPr>
        <w:t>. A PPA with certified renewable electricity (Guarantees of Origin) would reduce the Scope 2 emission factor to near zero.</w:t>
      </w:r>
    </w:p>
    <w:p>
      <w:pPr>
        <w:pStyle w:val="Heading3"/>
      </w:pPr>
      <w:r>
        <w:t>5.2 Value Chain Analysis</w:t>
      </w:r>
    </w:p>
    <w:p>
      <w:pPr>
        <w:pStyle w:val="Heading4"/>
      </w:pPr>
      <w:r>
        <w:t>5.2.1 Vertically Integrated Value Chain</w:t>
      </w:r>
    </w:p>
    <w:p>
      <w:r>
        <w:rPr>
          <w:sz w:val="18"/>
        </w:rPr>
        <w:t xml:space="preserve">The FACE project is the anchor of a </w:t>
      </w:r>
      <w:r>
        <w:rPr>
          <w:b/>
          <w:sz w:val="18"/>
        </w:rPr>
        <w:t>vertically integrated clean energy value chain</w:t>
      </w:r>
      <w:r>
        <w:rPr>
          <w:sz w:val="18"/>
        </w:rPr>
        <w:t xml:space="preserve"> that extends from raw material processing to grid-deployed energy storage within a single legal entity (ESS JV) and industrial site:</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Stage</w:t>
            </w:r>
          </w:p>
        </w:tc>
        <w:tc>
          <w:tcPr>
            <w:tcW w:type="dxa" w:w="2635"/>
          </w:tcPr>
          <w:p>
            <w:r>
              <w:rPr>
                <w:b/>
                <w:sz w:val="16"/>
              </w:rPr>
              <w:t>Activity</w:t>
            </w:r>
          </w:p>
        </w:tc>
        <w:tc>
          <w:tcPr>
            <w:tcW w:type="dxa" w:w="2635"/>
          </w:tcPr>
          <w:p>
            <w:r>
              <w:rPr>
                <w:b/>
                <w:sz w:val="16"/>
              </w:rPr>
              <w:t>Entity</w:t>
            </w:r>
          </w:p>
        </w:tc>
        <w:tc>
          <w:tcPr>
            <w:tcW w:type="dxa" w:w="2635"/>
          </w:tcPr>
          <w:p>
            <w:r>
              <w:rPr>
                <w:b/>
                <w:sz w:val="16"/>
              </w:rPr>
              <w:t>Location</w:t>
            </w:r>
          </w:p>
        </w:tc>
      </w:tr>
      <w:tr>
        <w:tc>
          <w:tcPr>
            <w:tcW w:type="dxa" w:w="2635"/>
          </w:tcPr>
          <w:p>
            <w:r>
              <w:rPr>
                <w:sz w:val="16"/>
              </w:rPr>
              <w:t>**Raw materials**</w:t>
            </w:r>
          </w:p>
        </w:tc>
        <w:tc>
          <w:tcPr>
            <w:tcW w:type="dxa" w:w="2635"/>
          </w:tcPr>
          <w:p>
            <w:r>
              <w:rPr>
                <w:sz w:val="16"/>
              </w:rPr>
              <w:t>Precursor procurement (FePO4, Li2CO3, glucose) from EU and allied suppliers</w:t>
            </w:r>
          </w:p>
        </w:tc>
        <w:tc>
          <w:tcPr>
            <w:tcW w:type="dxa" w:w="2635"/>
          </w:tcPr>
          <w:p>
            <w:r>
              <w:rPr>
                <w:sz w:val="16"/>
              </w:rPr>
              <w:t>ESS JV procurement</w:t>
            </w:r>
          </w:p>
        </w:tc>
        <w:tc>
          <w:tcPr>
            <w:tcW w:type="dxa" w:w="2635"/>
          </w:tcPr>
          <w:p>
            <w:r>
              <w:rPr>
                <w:sz w:val="16"/>
              </w:rPr>
              <w:t>Global sourcing to Brindisi</w:t>
            </w:r>
          </w:p>
        </w:tc>
      </w:tr>
      <w:tr>
        <w:tc>
          <w:tcPr>
            <w:tcW w:type="dxa" w:w="2635"/>
          </w:tcPr>
          <w:p>
            <w:r>
              <w:rPr>
                <w:sz w:val="16"/>
              </w:rPr>
              <w:t>**CAM production**</w:t>
            </w:r>
          </w:p>
        </w:tc>
        <w:tc>
          <w:tcPr>
            <w:tcW w:type="dxa" w:w="2635"/>
          </w:tcPr>
          <w:p>
            <w:r>
              <w:rPr>
                <w:sz w:val="16"/>
              </w:rPr>
              <w:t>7-step solid-state LFP CAM synthesis (this project)</w:t>
            </w:r>
          </w:p>
        </w:tc>
        <w:tc>
          <w:tcPr>
            <w:tcW w:type="dxa" w:w="2635"/>
          </w:tcPr>
          <w:p>
            <w:r>
              <w:rPr>
                <w:sz w:val="16"/>
              </w:rPr>
              <w:t>ESS JV</w:t>
            </w:r>
          </w:p>
        </w:tc>
        <w:tc>
          <w:tcPr>
            <w:tcW w:type="dxa" w:w="2635"/>
          </w:tcPr>
          <w:p>
            <w:r>
              <w:rPr>
                <w:sz w:val="16"/>
              </w:rPr>
              <w:t>Brindisi site</w:t>
            </w:r>
          </w:p>
        </w:tc>
      </w:tr>
      <w:tr>
        <w:tc>
          <w:tcPr>
            <w:tcW w:type="dxa" w:w="2635"/>
          </w:tcPr>
          <w:p>
            <w:r>
              <w:rPr>
                <w:sz w:val="16"/>
              </w:rPr>
              <w:t>**Cell manufacturing**</w:t>
            </w:r>
          </w:p>
        </w:tc>
        <w:tc>
          <w:tcPr>
            <w:tcW w:type="dxa" w:w="2635"/>
          </w:tcPr>
          <w:p>
            <w:r>
              <w:rPr>
                <w:sz w:val="16"/>
              </w:rPr>
              <w:t>LFP CAM converted to battery cells</w:t>
            </w:r>
          </w:p>
        </w:tc>
        <w:tc>
          <w:tcPr>
            <w:tcW w:type="dxa" w:w="2635"/>
          </w:tcPr>
          <w:p>
            <w:r>
              <w:rPr>
                <w:sz w:val="16"/>
              </w:rPr>
              <w:t>ESS JV factory</w:t>
            </w:r>
          </w:p>
        </w:tc>
        <w:tc>
          <w:tcPr>
            <w:tcW w:type="dxa" w:w="2635"/>
          </w:tcPr>
          <w:p>
            <w:r>
              <w:rPr>
                <w:sz w:val="16"/>
              </w:rPr>
              <w:t>Brindisi, Eni site (co-located)</w:t>
            </w:r>
          </w:p>
        </w:tc>
      </w:tr>
      <w:tr>
        <w:tc>
          <w:tcPr>
            <w:tcW w:type="dxa" w:w="2635"/>
          </w:tcPr>
          <w:p>
            <w:r>
              <w:rPr>
                <w:sz w:val="16"/>
              </w:rPr>
              <w:t>**BESS assembly**</w:t>
            </w:r>
          </w:p>
        </w:tc>
        <w:tc>
          <w:tcPr>
            <w:tcW w:type="dxa" w:w="2635"/>
          </w:tcPr>
          <w:p>
            <w:r>
              <w:rPr>
                <w:sz w:val="16"/>
              </w:rPr>
              <w:t>Battery cells assembled into grid-scale BESS systems</w:t>
            </w:r>
          </w:p>
        </w:tc>
        <w:tc>
          <w:tcPr>
            <w:tcW w:type="dxa" w:w="2635"/>
          </w:tcPr>
          <w:p>
            <w:r>
              <w:rPr>
                <w:sz w:val="16"/>
              </w:rPr>
              <w:t>ESS JV factory</w:t>
            </w:r>
          </w:p>
        </w:tc>
        <w:tc>
          <w:tcPr>
            <w:tcW w:type="dxa" w:w="2635"/>
          </w:tcPr>
          <w:p>
            <w:r>
              <w:rPr>
                <w:sz w:val="16"/>
              </w:rPr>
              <w:t>Brindisi, Eni site (co-located)</w:t>
            </w:r>
          </w:p>
        </w:tc>
      </w:tr>
      <w:tr>
        <w:tc>
          <w:tcPr>
            <w:tcW w:type="dxa" w:w="2635"/>
          </w:tcPr>
          <w:p>
            <w:r>
              <w:rPr>
                <w:sz w:val="16"/>
              </w:rPr>
              <w:t>**Grid deployment**</w:t>
            </w:r>
          </w:p>
        </w:tc>
        <w:tc>
          <w:tcPr>
            <w:tcW w:type="dxa" w:w="2635"/>
          </w:tcPr>
          <w:p>
            <w:r>
              <w:rPr>
                <w:sz w:val="16"/>
              </w:rPr>
              <w:t>BESS deployed for Italian grid stabilisation and decarbonisation</w:t>
            </w:r>
          </w:p>
        </w:tc>
        <w:tc>
          <w:tcPr>
            <w:tcW w:type="dxa" w:w="2635"/>
          </w:tcPr>
          <w:p>
            <w:r>
              <w:rPr>
                <w:sz w:val="16"/>
              </w:rPr>
              <w:t>Eni</w:t>
            </w:r>
          </w:p>
        </w:tc>
        <w:tc>
          <w:tcPr>
            <w:tcW w:type="dxa" w:w="2635"/>
          </w:tcPr>
          <w:p>
            <w:r>
              <w:rPr>
                <w:sz w:val="16"/>
              </w:rPr>
              <w:t>Italian electricity grid</w:t>
            </w:r>
          </w:p>
        </w:tc>
      </w:tr>
    </w:tbl>
    <w:p>
      <w:r>
        <w:rPr>
          <w:sz w:val="18"/>
        </w:rPr>
        <w:t>This vertically integrated structure is unprecedented in the European battery sector. The co-located JV factory is the direct and guaranteed internal customer for the LFP CAM output, eliminating offtake risk and providing immediate quality feedback from cell manufacturing to CAM process optimisation.</w:t>
      </w:r>
    </w:p>
    <w:p>
      <w:pPr>
        <w:pStyle w:val="Heading4"/>
      </w:pPr>
      <w:r>
        <w:t>5.2.2 Primary Activities</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Activity</w:t>
            </w:r>
          </w:p>
        </w:tc>
        <w:tc>
          <w:tcPr>
            <w:tcW w:type="dxa" w:w="3513"/>
          </w:tcPr>
          <w:p>
            <w:r>
              <w:rPr>
                <w:b/>
                <w:sz w:val="16"/>
              </w:rPr>
              <w:t>Description</w:t>
            </w:r>
          </w:p>
        </w:tc>
        <w:tc>
          <w:tcPr>
            <w:tcW w:type="dxa" w:w="3513"/>
          </w:tcPr>
          <w:p>
            <w:r>
              <w:rPr>
                <w:b/>
                <w:sz w:val="16"/>
              </w:rPr>
              <w:t>Value Creation</w:t>
            </w:r>
          </w:p>
        </w:tc>
      </w:tr>
      <w:tr>
        <w:tc>
          <w:tcPr>
            <w:tcW w:type="dxa" w:w="3513"/>
          </w:tcPr>
          <w:p>
            <w:r>
              <w:rPr>
                <w:sz w:val="16"/>
              </w:rPr>
              <w:t>**Inbound logistics**</w:t>
            </w:r>
          </w:p>
        </w:tc>
        <w:tc>
          <w:tcPr>
            <w:tcW w:type="dxa" w:w="3513"/>
          </w:tcPr>
          <w:p>
            <w:r>
              <w:rPr>
                <w:sz w:val="16"/>
              </w:rPr>
              <w:t>Precursor procurement, maritime/land transport to Brindisi, warehouse management</w:t>
            </w:r>
          </w:p>
        </w:tc>
        <w:tc>
          <w:tcPr>
            <w:tcW w:type="dxa" w:w="3513"/>
          </w:tcPr>
          <w:p>
            <w:r>
              <w:rPr>
                <w:sz w:val="16"/>
              </w:rPr>
              <w:t>EU-sourced where possible; reduced transport carbon vs Asian supply</w:t>
            </w:r>
          </w:p>
        </w:tc>
      </w:tr>
      <w:tr>
        <w:tc>
          <w:tcPr>
            <w:tcW w:type="dxa" w:w="3513"/>
          </w:tcPr>
          <w:p>
            <w:r>
              <w:rPr>
                <w:sz w:val="16"/>
              </w:rPr>
              <w:t>**CAM production**</w:t>
            </w:r>
          </w:p>
        </w:tc>
        <w:tc>
          <w:tcPr>
            <w:tcW w:type="dxa" w:w="3513"/>
          </w:tcPr>
          <w:p>
            <w:r>
              <w:rPr>
                <w:sz w:val="16"/>
              </w:rPr>
              <w:t>7-step solid-state synthesis: dosing -&gt; milling -&gt; spray drying -&gt; calcination -&gt; jet milling -&gt; classification -&gt; packaging</w:t>
            </w:r>
          </w:p>
        </w:tc>
        <w:tc>
          <w:tcPr>
            <w:tcW w:type="dxa" w:w="3513"/>
          </w:tcPr>
          <w:p>
            <w:r>
              <w:rPr>
                <w:sz w:val="16"/>
              </w:rPr>
              <w:t>Electrified production with DT-optimised quality; battery-grade LFP CAM</w:t>
            </w:r>
          </w:p>
        </w:tc>
      </w:tr>
      <w:tr>
        <w:tc>
          <w:tcPr>
            <w:tcW w:type="dxa" w:w="3513"/>
          </w:tcPr>
          <w:p>
            <w:r>
              <w:rPr>
                <w:sz w:val="16"/>
              </w:rPr>
              <w:t>**Quality control**</w:t>
            </w:r>
          </w:p>
        </w:tc>
        <w:tc>
          <w:tcPr>
            <w:tcW w:type="dxa" w:w="3513"/>
          </w:tcPr>
          <w:p>
            <w:r>
              <w:rPr>
                <w:sz w:val="16"/>
              </w:rPr>
              <w:t>In-line PAT + at-line laboratory analysis + DT-predicted quality disposition</w:t>
            </w:r>
          </w:p>
        </w:tc>
        <w:tc>
          <w:tcPr>
            <w:tcW w:type="dxa" w:w="3513"/>
          </w:tcPr>
          <w:p>
            <w:r>
              <w:rPr>
                <w:sz w:val="16"/>
              </w:rPr>
              <w:t>Superior batch consistency; full CQA traceability</w:t>
            </w:r>
          </w:p>
        </w:tc>
      </w:tr>
      <w:tr>
        <w:tc>
          <w:tcPr>
            <w:tcW w:type="dxa" w:w="3513"/>
          </w:tcPr>
          <w:p>
            <w:r>
              <w:rPr>
                <w:sz w:val="16"/>
              </w:rPr>
              <w:t>**Internal offtake**</w:t>
            </w:r>
          </w:p>
        </w:tc>
        <w:tc>
          <w:tcPr>
            <w:tcW w:type="dxa" w:w="3513"/>
          </w:tcPr>
          <w:p>
            <w:r>
              <w:rPr>
                <w:sz w:val="16"/>
              </w:rPr>
              <w:t>LFP CAM delivered directly to co-located ESS JV battery cell and BESS factory</w:t>
            </w:r>
          </w:p>
        </w:tc>
        <w:tc>
          <w:tcPr>
            <w:tcW w:type="dxa" w:w="3513"/>
          </w:tcPr>
          <w:p>
            <w:r>
              <w:rPr>
                <w:sz w:val="16"/>
              </w:rPr>
              <w:t>Zero logistics cost for primary customer; immediate quality feedback loop</w:t>
            </w:r>
          </w:p>
        </w:tc>
      </w:tr>
      <w:tr>
        <w:tc>
          <w:tcPr>
            <w:tcW w:type="dxa" w:w="3513"/>
          </w:tcPr>
          <w:p>
            <w:r>
              <w:rPr>
                <w:sz w:val="16"/>
              </w:rPr>
              <w:t>**External sales**</w:t>
            </w:r>
          </w:p>
        </w:tc>
        <w:tc>
          <w:tcPr>
            <w:tcW w:type="dxa" w:w="3513"/>
          </w:tcPr>
          <w:p>
            <w:r>
              <w:rPr>
                <w:sz w:val="16"/>
              </w:rPr>
              <w:t>Packaged LFP CAM delivery to additional European cell manufacturers via road/rail</w:t>
            </w:r>
          </w:p>
        </w:tc>
        <w:tc>
          <w:tcPr>
            <w:tcW w:type="dxa" w:w="3513"/>
          </w:tcPr>
          <w:p>
            <w:r>
              <w:rPr>
                <w:sz w:val="16"/>
              </w:rPr>
              <w:t>Short supply chain to Southern/Central European customers (upside opportunity)</w:t>
            </w:r>
          </w:p>
        </w:tc>
      </w:tr>
      <w:tr>
        <w:tc>
          <w:tcPr>
            <w:tcW w:type="dxa" w:w="3513"/>
          </w:tcPr>
          <w:p>
            <w:r>
              <w:rPr>
                <w:sz w:val="16"/>
              </w:rPr>
              <w:t>**Customer service**</w:t>
            </w:r>
          </w:p>
        </w:tc>
        <w:tc>
          <w:tcPr>
            <w:tcW w:type="dxa" w:w="3513"/>
          </w:tcPr>
          <w:p>
            <w:r>
              <w:rPr>
                <w:sz w:val="16"/>
              </w:rPr>
              <w:t>Technical support for cell integration; custom product specifications; Battery Passport data provision</w:t>
            </w:r>
          </w:p>
        </w:tc>
        <w:tc>
          <w:tcPr>
            <w:tcW w:type="dxa" w:w="3513"/>
          </w:tcPr>
          <w:p>
            <w:r>
              <w:rPr>
                <w:sz w:val="16"/>
              </w:rPr>
              <w:t>Differentiated service vs commodity Chinese supply</w:t>
            </w:r>
          </w:p>
        </w:tc>
      </w:tr>
    </w:tbl>
    <w:p>
      <w:pPr>
        <w:pStyle w:val="Heading4"/>
      </w:pPr>
      <w:r>
        <w:t>5.2.3 Value Proposition</w:t>
      </w:r>
    </w:p>
    <w:p>
      <w:r>
        <w:rPr>
          <w:sz w:val="18"/>
        </w:rPr>
        <w:t>The FACE plant creates value across multiple dimensions:</w:t>
      </w:r>
    </w:p>
    <w:p>
      <w:pPr>
        <w:pStyle w:val="ListBullet"/>
      </w:pPr>
      <w:r>
        <w:rPr>
          <w:b/>
          <w:sz w:val="18"/>
        </w:rPr>
        <w:t>Guaranteed offtake and eliminated market risk</w:t>
      </w:r>
      <w:r>
        <w:rPr>
          <w:sz w:val="18"/>
        </w:rPr>
        <w:t>: Eni is the direct internal customer through the co-located JV factory, providing captive demand for the LFP CAM output. This eliminates the offtake risk that typically constrains new entrant CAM producers and provides revenue certainty from entry into operation.</w:t>
      </w:r>
    </w:p>
    <w:p>
      <w:pPr>
        <w:pStyle w:val="ListBullet"/>
      </w:pPr>
      <w:r>
        <w:rPr>
          <w:b/>
          <w:sz w:val="18"/>
        </w:rPr>
        <w:t>Supply chain security</w:t>
      </w:r>
      <w:r>
        <w:rPr>
          <w:sz w:val="18"/>
        </w:rPr>
        <w:t xml:space="preserve">: EU-produced LFP CAM eliminates single-source dependency on China </w:t>
      </w:r>
      <w:r>
        <w:rPr>
          <w:color w:val="0066CC"/>
          <w:sz w:val="16"/>
        </w:rPr>
        <w:t>[CLM-001]</w:t>
      </w:r>
      <w:r>
        <w:rPr>
          <w:sz w:val="18"/>
        </w:rPr>
        <w:t xml:space="preserve">. European cell manufacturers gain a domestic supply option resilient to Chinese export controls </w:t>
      </w:r>
      <w:r>
        <w:rPr>
          <w:color w:val="0066CC"/>
          <w:sz w:val="16"/>
        </w:rPr>
        <w:t>[CLM-002]</w:t>
      </w:r>
      <w:r>
        <w:rPr>
          <w:sz w:val="18"/>
        </w:rPr>
        <w:t>.</w:t>
      </w:r>
    </w:p>
    <w:p>
      <w:pPr>
        <w:pStyle w:val="ListBullet"/>
      </w:pPr>
      <w:r>
        <w:rPr>
          <w:b/>
          <w:sz w:val="18"/>
        </w:rPr>
        <w:t>Carbon footprint advantage</w:t>
      </w:r>
      <w:r>
        <w:rPr>
          <w:sz w:val="18"/>
        </w:rPr>
        <w:t>: Electrified production with Italian grid electricity delivers a materially lower product carbon footprint than gas-fired Chinese production, increasingly important under Battery Regulation carbon footprint performance class requirements.</w:t>
      </w:r>
    </w:p>
    <w:p>
      <w:pPr>
        <w:pStyle w:val="ListBullet"/>
      </w:pPr>
      <w:r>
        <w:rPr>
          <w:b/>
          <w:sz w:val="18"/>
        </w:rPr>
        <w:t>Quality consistency</w:t>
      </w:r>
      <w:r>
        <w:rPr>
          <w:sz w:val="18"/>
        </w:rPr>
        <w:t xml:space="preserve">: DT-driven process control delivers superior batch-to-batch consistency versus empirical Chinese production methods </w:t>
      </w:r>
      <w:r>
        <w:rPr>
          <w:color w:val="0066CC"/>
          <w:sz w:val="16"/>
        </w:rPr>
        <w:t>[CLM-007, CLM-013]</w:t>
      </w:r>
      <w:r>
        <w:rPr>
          <w:sz w:val="18"/>
        </w:rPr>
        <w:t>. The co-located JV factory provides immediate cell-level quality feedback, enabling rapid closed-loop optimisation.</w:t>
      </w:r>
    </w:p>
    <w:p>
      <w:pPr>
        <w:pStyle w:val="ListBullet"/>
      </w:pPr>
      <w:r>
        <w:rPr>
          <w:b/>
          <w:sz w:val="18"/>
        </w:rPr>
        <w:t>Traceability and compliance</w:t>
      </w:r>
      <w:r>
        <w:rPr>
          <w:sz w:val="18"/>
        </w:rPr>
        <w:t>: Full digital traceability from precursor receipt to product shipment, natively supporting Battery Passport and due diligence requirements.</w:t>
      </w:r>
    </w:p>
    <w:p>
      <w:pPr>
        <w:pStyle w:val="ListBullet"/>
      </w:pPr>
      <w:r>
        <w:rPr>
          <w:b/>
          <w:sz w:val="18"/>
        </w:rPr>
        <w:t>End-to-end GHG avoidance</w:t>
      </w:r>
      <w:r>
        <w:rPr>
          <w:sz w:val="18"/>
        </w:rPr>
        <w:t>: The vertically integrated value chain enables direct traceability from CAM production to grid-deployed BESS displacing fossil peakers — maximising the GHG avoidance claim under the Innovation Fund methodology.</w:t>
      </w:r>
    </w:p>
    <w:p>
      <w:pPr>
        <w:pStyle w:val="Heading4"/>
      </w:pPr>
      <w:r>
        <w:t>5.2.4 Offtake Strategy</w:t>
      </w:r>
    </w:p>
    <w:p>
      <w:r>
        <w:rPr>
          <w:b/>
          <w:sz w:val="18"/>
        </w:rPr>
        <w:t>Primary offtake (internal)</w:t>
      </w:r>
      <w:r>
        <w:rPr>
          <w:sz w:val="18"/>
        </w:rPr>
        <w:t>: The co-located ESS JV battery cell and BESS manufacturing facility is the guaranteed internal customer for the LFP CAM output. Eni will deploy the BESS on the Italian electricity grid. This internal offtake pathway provides revenue certainty without dependency on external customer negotiations.</w:t>
      </w:r>
    </w:p>
    <w:p>
      <w:r>
        <w:rPr>
          <w:b/>
          <w:sz w:val="18"/>
        </w:rPr>
        <w:t>Secondary offtake (external)</w:t>
      </w:r>
      <w:r>
        <w:rPr>
          <w:sz w:val="18"/>
        </w:rPr>
        <w:t>: Additional sales to European cell manufacturers (PowerCo, Verkor, Northvolt, ACC, and others) represent upside revenue. The DT-driven quality consistency, EU Battery Passport compliance, and low-carbon footprint provide competitive differentiation versus Chinese commodity CAM.</w:t>
      </w:r>
    </w:p>
    <w:p>
      <w:pPr>
        <w:pStyle w:val="Heading4"/>
      </w:pPr>
      <w:r>
        <w:t>5.2.5 Market Drivers</w:t>
      </w:r>
    </w:p>
    <w:p>
      <w:pPr>
        <w:pStyle w:val="ListBullet"/>
      </w:pPr>
      <w:r>
        <w:rPr>
          <w:b/>
          <w:sz w:val="18"/>
        </w:rPr>
        <w:t>EV growth</w:t>
      </w:r>
      <w:r>
        <w:rPr>
          <w:sz w:val="18"/>
        </w:rPr>
        <w:t xml:space="preserve">: European EV sales growing at ~25% CAGR; LFP chemistry gaining share in standard-range vehicles due to cost and safety advantages </w:t>
      </w:r>
      <w:r>
        <w:rPr>
          <w:color w:val="0066CC"/>
          <w:sz w:val="16"/>
        </w:rPr>
        <w:t>[SRC-015]</w:t>
      </w:r>
      <w:r>
        <w:rPr>
          <w:sz w:val="18"/>
        </w:rPr>
        <w:t>.</w:t>
      </w:r>
    </w:p>
    <w:p>
      <w:pPr>
        <w:pStyle w:val="ListBullet"/>
      </w:pPr>
      <w:r>
        <w:rPr>
          <w:b/>
          <w:sz w:val="18"/>
        </w:rPr>
        <w:t>ESS demand</w:t>
      </w:r>
      <w:r>
        <w:rPr>
          <w:sz w:val="18"/>
        </w:rPr>
        <w:t>: Grid-scale energy storage deploying rapidly across Europe; LFP is the dominant chemistry for stationary storage (&gt;2,000 cycle life). Eni's own grid deployment programme creates guaranteed demand for BESS.</w:t>
      </w:r>
    </w:p>
    <w:p>
      <w:pPr>
        <w:pStyle w:val="ListBullet"/>
      </w:pPr>
      <w:r>
        <w:rPr>
          <w:b/>
          <w:sz w:val="18"/>
        </w:rPr>
        <w:t>Battery Regulation</w:t>
      </w:r>
      <w:r>
        <w:rPr>
          <w:sz w:val="18"/>
        </w:rPr>
        <w:t>: Carbon footprint declaration and performance class requirements create a market premium for low-carbon CAM.</w:t>
      </w:r>
    </w:p>
    <w:p>
      <w:pPr>
        <w:pStyle w:val="ListBullet"/>
      </w:pPr>
      <w:r>
        <w:rPr>
          <w:b/>
          <w:sz w:val="18"/>
        </w:rPr>
        <w:t>NZIA</w:t>
      </w:r>
      <w:r>
        <w:rPr>
          <w:sz w:val="18"/>
        </w:rPr>
        <w:t>: EU policy actively promotes domestic manufacturing of clean-tech components.</w:t>
      </w:r>
    </w:p>
    <w:p>
      <w:pPr>
        <w:pStyle w:val="ListBullet"/>
      </w:pPr>
      <w:r>
        <w:rPr>
          <w:b/>
          <w:sz w:val="18"/>
        </w:rPr>
        <w:t>Italian grid stabilisation</w:t>
      </w:r>
      <w:r>
        <w:rPr>
          <w:sz w:val="18"/>
        </w:rPr>
        <w:t>: Italy requires substantial new energy storage capacity to integrate increasing renewable generation; Eni-deployed BESS contributes directly to this national objective.</w:t>
      </w:r>
    </w:p>
    <w:p>
      <w:r>
        <w:rPr>
          <w:sz w:val="18"/>
        </w:rPr>
        <w:t>---</w:t>
      </w:r>
    </w:p>
    <w:p>
      <w:pPr>
        <w:pStyle w:val="Heading2"/>
      </w:pPr>
      <w:r>
        <w:t>6. Technical Assessment</w:t>
      </w:r>
    </w:p>
    <w:p>
      <w:pPr>
        <w:pStyle w:val="Heading3"/>
      </w:pPr>
      <w:r>
        <w:t>6.1 Design Philosophy and Basic Engineering</w:t>
      </w:r>
    </w:p>
    <w:p>
      <w:r>
        <w:rPr>
          <w:sz w:val="18"/>
        </w:rPr>
        <w:t>The FACE plant is designed according to the following principles:</w:t>
      </w:r>
    </w:p>
    <w:p>
      <w:r>
        <w:rPr>
          <w:b/>
          <w:sz w:val="18"/>
        </w:rPr>
        <w:t>Technology licensor support</w:t>
      </w:r>
      <w:r>
        <w:rPr>
          <w:sz w:val="18"/>
        </w:rPr>
        <w:t>: The plant design is informed by a technology licence agreement with Zhejiang Youshan New Material Technology Co., LTD., who provides proven process know-how for the LFP CAM solid-state synthesis route. The licensor contributes validated process recipes, calcination profiles, spray drying parameters, and equipment specifications based on industrial production experience. This substantially de-risks the scale-up to the Brindisi 50 kton/yr configuration and provides the process baseline from which the DT-driven optimisation begins.</w:t>
      </w:r>
    </w:p>
    <w:p>
      <w:r>
        <w:rPr>
          <w:b/>
          <w:sz w:val="18"/>
        </w:rPr>
        <w:t>Progressive electrification</w:t>
      </w:r>
      <w:r>
        <w:rPr>
          <w:sz w:val="18"/>
        </w:rPr>
        <w:t xml:space="preserve">: The plant achieves a 66.6% electrification rate at entry into operation (3,580 kWh/t electrical, 189 m3/t natural gas = 1,796 kWh_th/t), representing a significantly higher degree of electrification than the gas-fired Asian benchmark. The initial configuration retains limited natural gas use (189 m3/t LFP CAM) for process steps — primarily spray drying auxiliary heating and calcination support — where full electrification is not yet technically or economically feasible at the 50 kton/yr production scale. The plant architecture is explicitly designed to accommodate progressive gas-to-electric substitution (targeting ~75% by Year 3, ~85% by Year 5, and &gt;95% by Year 10): electric roller hearth kilns can operate fully electrically, and the spray drying system is designed for HTHP integration as a near-term upgrade. The digital twin optimises the energy mix in real time and identifies opportunities for progressive gas elimination. Over the plant's 20+ year operational life, the combination of technology maturation, falling renewable electricity costs, and grid decarbonisation </w:t>
      </w:r>
      <w:r>
        <w:rPr>
          <w:color w:val="0066CC"/>
          <w:sz w:val="16"/>
        </w:rPr>
        <w:t>[CLM-030]</w:t>
      </w:r>
      <w:r>
        <w:rPr>
          <w:sz w:val="18"/>
        </w:rPr>
        <w:t xml:space="preserve"> will drive progressive elimination of residual gas use.</w:t>
      </w:r>
    </w:p>
    <w:p>
      <w:r>
        <w:rPr>
          <w:b/>
          <w:sz w:val="18"/>
        </w:rPr>
        <w:t>DT-integrated from design phase</w:t>
      </w:r>
      <w:r>
        <w:rPr>
          <w:sz w:val="18"/>
        </w:rPr>
        <w:t>: The digital twin is not a retrofit -- it is designed into the plant from inception. All equipment is specified with digital connectivity requirements (OPC-UA interfaces, sensor ports, data tags). The DT data architecture is established during detailed engineering and commissioned in parallel with physical equipment. This contrasts with typical brownfield DT deployments where data infrastructure must be overlaid on legacy equipment.</w:t>
      </w:r>
    </w:p>
    <w:p>
      <w:r>
        <w:rPr>
          <w:b/>
          <w:sz w:val="18"/>
        </w:rPr>
        <w:t>Modular and scalable</w:t>
      </w:r>
      <w:r>
        <w:rPr>
          <w:sz w:val="18"/>
        </w:rPr>
        <w:t>: The plant is designed in production-line modules that can be replicated to increase capacity. Each module comprises one spray dryer train and one calcination kiln train with associated milling and packaging. Additional modules can be added to the same site using the same utility infrastructure. The DT framework is inherently modular -- each production line has its own DT instance, with a plant-level supervisory DT coordinating across lines.</w:t>
      </w:r>
    </w:p>
    <w:p>
      <w:r>
        <w:rPr>
          <w:b/>
          <w:sz w:val="18"/>
        </w:rPr>
        <w:t>Quality-by-Design</w:t>
      </w:r>
      <w:r>
        <w:rPr>
          <w:sz w:val="18"/>
        </w:rPr>
        <w:t xml:space="preserve">: The ICH Q8-adapted QbD framework </w:t>
      </w:r>
      <w:r>
        <w:rPr>
          <w:color w:val="0066CC"/>
          <w:sz w:val="16"/>
        </w:rPr>
        <w:t>[CLM-013, SRC-028]</w:t>
      </w:r>
      <w:r>
        <w:rPr>
          <w:sz w:val="18"/>
        </w:rPr>
        <w:t xml:space="preserve"> is embedded in the plant design: CQA targets define product specifications, CPP ranges define the design space, PAT sensors are specified as integral equipment (not optional add-ons), and the control strategy is DT-driven model-predictive control rather than recipe-based PID.</w:t>
      </w:r>
    </w:p>
    <w:p>
      <w:pPr>
        <w:pStyle w:val="Heading3"/>
      </w:pPr>
      <w:r>
        <w:t>6.2 Main Systems and Long Lead Items</w:t>
      </w:r>
    </w:p>
    <w:tbl>
      <w:tblPr>
        <w:tblStyle w:val="LightGrid-Accent1"/>
        <w:tblW w:type="auto" w:w="0"/>
        <w:tblLook w:firstColumn="1" w:firstRow="1" w:lastColumn="0" w:lastRow="0" w:noHBand="0" w:noVBand="1" w:val="04A0"/>
      </w:tblPr>
      <w:tblGrid>
        <w:gridCol w:w="1757"/>
        <w:gridCol w:w="1757"/>
        <w:gridCol w:w="1757"/>
        <w:gridCol w:w="1757"/>
        <w:gridCol w:w="1757"/>
        <w:gridCol w:w="1757"/>
      </w:tblGrid>
      <w:tr>
        <w:tc>
          <w:tcPr>
            <w:tcW w:type="dxa" w:w="1757"/>
          </w:tcPr>
          <w:p>
            <w:r>
              <w:rPr>
                <w:b/>
                <w:sz w:val="16"/>
              </w:rPr>
              <w:t>#</w:t>
            </w:r>
          </w:p>
        </w:tc>
        <w:tc>
          <w:tcPr>
            <w:tcW w:type="dxa" w:w="1757"/>
          </w:tcPr>
          <w:p>
            <w:r>
              <w:rPr>
                <w:b/>
                <w:sz w:val="16"/>
              </w:rPr>
              <w:t>System</w:t>
            </w:r>
          </w:p>
        </w:tc>
        <w:tc>
          <w:tcPr>
            <w:tcW w:type="dxa" w:w="1757"/>
          </w:tcPr>
          <w:p>
            <w:r>
              <w:rPr>
                <w:b/>
                <w:sz w:val="16"/>
              </w:rPr>
              <w:t>Equipment</w:t>
            </w:r>
          </w:p>
        </w:tc>
        <w:tc>
          <w:tcPr>
            <w:tcW w:type="dxa" w:w="1757"/>
          </w:tcPr>
          <w:p>
            <w:r>
              <w:rPr>
                <w:b/>
                <w:sz w:val="16"/>
              </w:rPr>
              <w:t>Key Specification</w:t>
            </w:r>
          </w:p>
        </w:tc>
        <w:tc>
          <w:tcPr>
            <w:tcW w:type="dxa" w:w="1757"/>
          </w:tcPr>
          <w:p>
            <w:r>
              <w:rPr>
                <w:b/>
                <w:sz w:val="16"/>
              </w:rPr>
              <w:t>Est. Lead Time</w:t>
            </w:r>
          </w:p>
        </w:tc>
        <w:tc>
          <w:tcPr>
            <w:tcW w:type="dxa" w:w="1757"/>
          </w:tcPr>
          <w:p>
            <w:r>
              <w:rPr>
                <w:b/>
                <w:sz w:val="16"/>
              </w:rPr>
              <w:t>Supplier Type</w:t>
            </w:r>
          </w:p>
        </w:tc>
      </w:tr>
      <w:tr>
        <w:tc>
          <w:tcPr>
            <w:tcW w:type="dxa" w:w="1757"/>
          </w:tcPr>
          <w:p>
            <w:r>
              <w:rPr>
                <w:sz w:val="16"/>
              </w:rPr>
              <w:t>1</w:t>
            </w:r>
          </w:p>
        </w:tc>
        <w:tc>
          <w:tcPr>
            <w:tcW w:type="dxa" w:w="1757"/>
          </w:tcPr>
          <w:p>
            <w:r>
              <w:rPr>
                <w:sz w:val="16"/>
              </w:rPr>
              <w:t>Precursor dosing</w:t>
            </w:r>
          </w:p>
        </w:tc>
        <w:tc>
          <w:tcPr>
            <w:tcW w:type="dxa" w:w="1757"/>
          </w:tcPr>
          <w:p>
            <w:r>
              <w:rPr>
                <w:sz w:val="16"/>
              </w:rPr>
              <w:t>Gravimetric loss-in-weight feeders</w:t>
            </w:r>
          </w:p>
        </w:tc>
        <w:tc>
          <w:tcPr>
            <w:tcW w:type="dxa" w:w="1757"/>
          </w:tcPr>
          <w:p>
            <w:r>
              <w:rPr>
                <w:sz w:val="16"/>
              </w:rPr>
              <w:t>+/-0.1% accuracy; 3 independent feeders (FePO4, Li2CO3, glucose)</w:t>
            </w:r>
          </w:p>
        </w:tc>
        <w:tc>
          <w:tcPr>
            <w:tcW w:type="dxa" w:w="1757"/>
          </w:tcPr>
          <w:p>
            <w:r>
              <w:rPr>
                <w:sz w:val="16"/>
              </w:rPr>
              <w:t>3-4 months</w:t>
            </w:r>
          </w:p>
        </w:tc>
        <w:tc>
          <w:tcPr>
            <w:tcW w:type="dxa" w:w="1757"/>
          </w:tcPr>
          <w:p>
            <w:r>
              <w:rPr>
                <w:sz w:val="16"/>
              </w:rPr>
              <w:t>EU (Schenck Process, K-Tron/Coperion)</w:t>
            </w:r>
          </w:p>
        </w:tc>
      </w:tr>
      <w:tr>
        <w:tc>
          <w:tcPr>
            <w:tcW w:type="dxa" w:w="1757"/>
          </w:tcPr>
          <w:p>
            <w:r>
              <w:rPr>
                <w:sz w:val="16"/>
              </w:rPr>
              <w:t>2</w:t>
            </w:r>
          </w:p>
        </w:tc>
        <w:tc>
          <w:tcPr>
            <w:tcW w:type="dxa" w:w="1757"/>
          </w:tcPr>
          <w:p>
            <w:r>
              <w:rPr>
                <w:sz w:val="16"/>
              </w:rPr>
              <w:t>Dispersion</w:t>
            </w:r>
          </w:p>
        </w:tc>
        <w:tc>
          <w:tcPr>
            <w:tcW w:type="dxa" w:w="1757"/>
          </w:tcPr>
          <w:p>
            <w:r>
              <w:rPr>
                <w:sz w:val="16"/>
              </w:rPr>
              <w:t>High-shear mixing tank</w:t>
            </w:r>
          </w:p>
        </w:tc>
        <w:tc>
          <w:tcPr>
            <w:tcW w:type="dxa" w:w="1757"/>
          </w:tcPr>
          <w:p>
            <w:r>
              <w:rPr>
                <w:sz w:val="16"/>
              </w:rPr>
              <w:t>[TO BE COMPLETED: capacity to be sized for 12.5 kton/yr per line]; stainless steel 316L; variable speed drive</w:t>
            </w:r>
          </w:p>
        </w:tc>
        <w:tc>
          <w:tcPr>
            <w:tcW w:type="dxa" w:w="1757"/>
          </w:tcPr>
          <w:p>
            <w:r>
              <w:rPr>
                <w:sz w:val="16"/>
              </w:rPr>
              <w:t>2-3 months</w:t>
            </w:r>
          </w:p>
        </w:tc>
        <w:tc>
          <w:tcPr>
            <w:tcW w:type="dxa" w:w="1757"/>
          </w:tcPr>
          <w:p>
            <w:r>
              <w:rPr>
                <w:sz w:val="16"/>
              </w:rPr>
              <w:t>EU</w:t>
            </w:r>
          </w:p>
        </w:tc>
      </w:tr>
      <w:tr>
        <w:tc>
          <w:tcPr>
            <w:tcW w:type="dxa" w:w="1757"/>
          </w:tcPr>
          <w:p>
            <w:r>
              <w:rPr>
                <w:sz w:val="16"/>
              </w:rPr>
              <w:t>3</w:t>
            </w:r>
          </w:p>
        </w:tc>
        <w:tc>
          <w:tcPr>
            <w:tcW w:type="dxa" w:w="1757"/>
          </w:tcPr>
          <w:p>
            <w:r>
              <w:rPr>
                <w:sz w:val="16"/>
              </w:rPr>
              <w:t>Bead milling</w:t>
            </w:r>
          </w:p>
        </w:tc>
        <w:tc>
          <w:tcPr>
            <w:tcW w:type="dxa" w:w="1757"/>
          </w:tcPr>
          <w:p>
            <w:r>
              <w:rPr>
                <w:sz w:val="16"/>
              </w:rPr>
              <w:t>Horizontal bead mill (bead mill)</w:t>
            </w:r>
          </w:p>
        </w:tc>
        <w:tc>
          <w:tcPr>
            <w:tcW w:type="dxa" w:w="1757"/>
          </w:tcPr>
          <w:p>
            <w:r>
              <w:rPr>
                <w:sz w:val="16"/>
              </w:rPr>
              <w:t>[TO BE COMPLETED: grinding chamber size to be confirmed by vendor]; ZrO2 bead media 0.3-0.5 mm; water-cooled</w:t>
            </w:r>
          </w:p>
        </w:tc>
        <w:tc>
          <w:tcPr>
            <w:tcW w:type="dxa" w:w="1757"/>
          </w:tcPr>
          <w:p>
            <w:r>
              <w:rPr>
                <w:sz w:val="16"/>
              </w:rPr>
              <w:t>4-6 months</w:t>
            </w:r>
          </w:p>
        </w:tc>
        <w:tc>
          <w:tcPr>
            <w:tcW w:type="dxa" w:w="1757"/>
          </w:tcPr>
          <w:p>
            <w:r>
              <w:rPr>
                <w:sz w:val="16"/>
              </w:rPr>
              <w:t>EU/Asia (NETZSCH, WAB)</w:t>
            </w:r>
          </w:p>
        </w:tc>
      </w:tr>
      <w:tr>
        <w:tc>
          <w:tcPr>
            <w:tcW w:type="dxa" w:w="1757"/>
          </w:tcPr>
          <w:p>
            <w:r>
              <w:rPr>
                <w:sz w:val="16"/>
              </w:rPr>
              <w:t>4</w:t>
            </w:r>
          </w:p>
        </w:tc>
        <w:tc>
          <w:tcPr>
            <w:tcW w:type="dxa" w:w="1757"/>
          </w:tcPr>
          <w:p>
            <w:r>
              <w:rPr>
                <w:sz w:val="16"/>
              </w:rPr>
              <w:t>Magnetic separation (pre-spray drying)</w:t>
            </w:r>
          </w:p>
        </w:tc>
        <w:tc>
          <w:tcPr>
            <w:tcW w:type="dxa" w:w="1757"/>
          </w:tcPr>
          <w:p>
            <w:r>
              <w:rPr>
                <w:sz w:val="16"/>
              </w:rPr>
              <w:t>Electromagnetic demagnetiser</w:t>
            </w:r>
          </w:p>
        </w:tc>
        <w:tc>
          <w:tcPr>
            <w:tcW w:type="dxa" w:w="1757"/>
          </w:tcPr>
          <w:p>
            <w:r>
              <w:rPr>
                <w:sz w:val="16"/>
              </w:rPr>
              <w:t>Ferromagnetic removal to &lt;0.1 ppm Fe metallic</w:t>
            </w:r>
          </w:p>
        </w:tc>
        <w:tc>
          <w:tcPr>
            <w:tcW w:type="dxa" w:w="1757"/>
          </w:tcPr>
          <w:p>
            <w:r>
              <w:rPr>
                <w:sz w:val="16"/>
              </w:rPr>
              <w:t>2-3 months</w:t>
            </w:r>
          </w:p>
        </w:tc>
        <w:tc>
          <w:tcPr>
            <w:tcW w:type="dxa" w:w="1757"/>
          </w:tcPr>
          <w:p>
            <w:r>
              <w:rPr>
                <w:sz w:val="16"/>
              </w:rPr>
              <w:t>EU (Eriez, Bunting)</w:t>
            </w:r>
          </w:p>
        </w:tc>
      </w:tr>
      <w:tr>
        <w:tc>
          <w:tcPr>
            <w:tcW w:type="dxa" w:w="1757"/>
          </w:tcPr>
          <w:p>
            <w:r>
              <w:rPr>
                <w:sz w:val="16"/>
              </w:rPr>
              <w:t>5</w:t>
            </w:r>
          </w:p>
        </w:tc>
        <w:tc>
          <w:tcPr>
            <w:tcW w:type="dxa" w:w="1757"/>
          </w:tcPr>
          <w:p>
            <w:r>
              <w:rPr>
                <w:sz w:val="16"/>
              </w:rPr>
              <w:t>Spray drying (ELECTRIFIED)</w:t>
            </w:r>
          </w:p>
        </w:tc>
        <w:tc>
          <w:tcPr>
            <w:tcW w:type="dxa" w:w="1757"/>
          </w:tcPr>
          <w:p>
            <w:r>
              <w:rPr>
                <w:sz w:val="16"/>
              </w:rPr>
              <w:t>Co-current electric spray dryer with HTHP pre-heating</w:t>
            </w:r>
          </w:p>
        </w:tc>
        <w:tc>
          <w:tcPr>
            <w:tcW w:type="dxa" w:w="1757"/>
          </w:tcPr>
          <w:p>
            <w:r>
              <w:rPr>
                <w:sz w:val="16"/>
              </w:rPr>
              <w:t>Inlet 200-250 C; outlet 90-120 C; electric resistance heaters (Kanthal Tubothal/SiC); [TO BE COMPLETED: water evaporation capacity to be sized for 12.5 kton/yr per line]</w:t>
            </w:r>
          </w:p>
        </w:tc>
        <w:tc>
          <w:tcPr>
            <w:tcW w:type="dxa" w:w="1757"/>
          </w:tcPr>
          <w:p>
            <w:r>
              <w:rPr>
                <w:sz w:val="16"/>
              </w:rPr>
              <w:t>6-9 months (LONG LEAD)</w:t>
            </w:r>
          </w:p>
        </w:tc>
        <w:tc>
          <w:tcPr>
            <w:tcW w:type="dxa" w:w="1757"/>
          </w:tcPr>
          <w:p>
            <w:r>
              <w:rPr>
                <w:sz w:val="16"/>
              </w:rPr>
              <w:t>EU (GEA, Buchi Industrial, SPX/Anhydro)</w:t>
            </w:r>
          </w:p>
        </w:tc>
      </w:tr>
      <w:tr>
        <w:tc>
          <w:tcPr>
            <w:tcW w:type="dxa" w:w="1757"/>
          </w:tcPr>
          <w:p>
            <w:r>
              <w:rPr>
                <w:sz w:val="16"/>
              </w:rPr>
              <w:t>6</w:t>
            </w:r>
          </w:p>
        </w:tc>
        <w:tc>
          <w:tcPr>
            <w:tcW w:type="dxa" w:w="1757"/>
          </w:tcPr>
          <w:p>
            <w:r>
              <w:rPr>
                <w:sz w:val="16"/>
              </w:rPr>
              <w:t>Calcination (ELECTRIFIED)</w:t>
            </w:r>
          </w:p>
        </w:tc>
        <w:tc>
          <w:tcPr>
            <w:tcW w:type="dxa" w:w="1757"/>
          </w:tcPr>
          <w:p>
            <w:r>
              <w:rPr>
                <w:sz w:val="16"/>
              </w:rPr>
              <w:t>Electric roller hearth kiln</w:t>
            </w:r>
          </w:p>
        </w:tc>
        <w:tc>
          <w:tcPr>
            <w:tcW w:type="dxa" w:w="1757"/>
          </w:tcPr>
          <w:p>
            <w:r>
              <w:rPr>
                <w:sz w:val="16"/>
              </w:rPr>
              <w:t>700-800 C operating temperature; N2 atmosphere (pO2 &lt;10 ppm); multi-zone PID + MPC control; 95% thermal efficiency [CLM-023]</w:t>
            </w:r>
          </w:p>
        </w:tc>
        <w:tc>
          <w:tcPr>
            <w:tcW w:type="dxa" w:w="1757"/>
          </w:tcPr>
          <w:p>
            <w:r>
              <w:rPr>
                <w:sz w:val="16"/>
              </w:rPr>
              <w:t>9-12 months (LONG LEAD)</w:t>
            </w:r>
          </w:p>
        </w:tc>
        <w:tc>
          <w:tcPr>
            <w:tcW w:type="dxa" w:w="1757"/>
          </w:tcPr>
          <w:p>
            <w:r>
              <w:rPr>
                <w:sz w:val="16"/>
              </w:rPr>
              <w:t>EU (Kanthal/Sandvik heating elements; NGK Insulators or ONEJOON kiln)</w:t>
            </w:r>
          </w:p>
        </w:tc>
      </w:tr>
      <w:tr>
        <w:tc>
          <w:tcPr>
            <w:tcW w:type="dxa" w:w="1757"/>
          </w:tcPr>
          <w:p>
            <w:r>
              <w:rPr>
                <w:sz w:val="16"/>
              </w:rPr>
              <w:t>7</w:t>
            </w:r>
          </w:p>
        </w:tc>
        <w:tc>
          <w:tcPr>
            <w:tcW w:type="dxa" w:w="1757"/>
          </w:tcPr>
          <w:p>
            <w:r>
              <w:rPr>
                <w:sz w:val="16"/>
              </w:rPr>
              <w:t>Crucible system</w:t>
            </w:r>
          </w:p>
        </w:tc>
        <w:tc>
          <w:tcPr>
            <w:tcW w:type="dxa" w:w="1757"/>
          </w:tcPr>
          <w:p>
            <w:r>
              <w:rPr>
                <w:sz w:val="16"/>
              </w:rPr>
              <w:t>Alumina or graphite-lined refractory crucibles + external rail transport</w:t>
            </w:r>
          </w:p>
        </w:tc>
        <w:tc>
          <w:tcPr>
            <w:tcW w:type="dxa" w:w="1757"/>
          </w:tcPr>
          <w:p>
            <w:r>
              <w:rPr>
                <w:sz w:val="16"/>
              </w:rPr>
              <w:t>Heat-resistant; compatible with N2 atmosphere; automated loading/unloading</w:t>
            </w:r>
          </w:p>
        </w:tc>
        <w:tc>
          <w:tcPr>
            <w:tcW w:type="dxa" w:w="1757"/>
          </w:tcPr>
          <w:p>
            <w:r>
              <w:rPr>
                <w:sz w:val="16"/>
              </w:rPr>
              <w:t>3-4 months</w:t>
            </w:r>
          </w:p>
        </w:tc>
        <w:tc>
          <w:tcPr>
            <w:tcW w:type="dxa" w:w="1757"/>
          </w:tcPr>
          <w:p>
            <w:r>
              <w:rPr>
                <w:sz w:val="16"/>
              </w:rPr>
              <w:t>EU</w:t>
            </w:r>
          </w:p>
        </w:tc>
      </w:tr>
      <w:tr>
        <w:tc>
          <w:tcPr>
            <w:tcW w:type="dxa" w:w="1757"/>
          </w:tcPr>
          <w:p>
            <w:r>
              <w:rPr>
                <w:sz w:val="16"/>
              </w:rPr>
              <w:t>8</w:t>
            </w:r>
          </w:p>
        </w:tc>
        <w:tc>
          <w:tcPr>
            <w:tcW w:type="dxa" w:w="1757"/>
          </w:tcPr>
          <w:p>
            <w:r>
              <w:rPr>
                <w:sz w:val="16"/>
              </w:rPr>
              <w:t>Jet milling</w:t>
            </w:r>
          </w:p>
        </w:tc>
        <w:tc>
          <w:tcPr>
            <w:tcW w:type="dxa" w:w="1757"/>
          </w:tcPr>
          <w:p>
            <w:r>
              <w:rPr>
                <w:sz w:val="16"/>
              </w:rPr>
              <w:t>Compressed gas jet mill (air or N2 jet)</w:t>
            </w:r>
          </w:p>
        </w:tc>
        <w:tc>
          <w:tcPr>
            <w:tcW w:type="dxa" w:w="1757"/>
          </w:tcPr>
          <w:p>
            <w:r>
              <w:rPr>
                <w:sz w:val="16"/>
              </w:rPr>
              <w:t>Target D50 0.7-2.5 um; optional bypass for spherical grade; [TO BE COMPLETED: capacity to be sized per line]</w:t>
            </w:r>
          </w:p>
        </w:tc>
        <w:tc>
          <w:tcPr>
            <w:tcW w:type="dxa" w:w="1757"/>
          </w:tcPr>
          <w:p>
            <w:r>
              <w:rPr>
                <w:sz w:val="16"/>
              </w:rPr>
              <w:t>3-4 months</w:t>
            </w:r>
          </w:p>
        </w:tc>
        <w:tc>
          <w:tcPr>
            <w:tcW w:type="dxa" w:w="1757"/>
          </w:tcPr>
          <w:p>
            <w:r>
              <w:rPr>
                <w:sz w:val="16"/>
              </w:rPr>
              <w:t>EU (NETZSCH, Hosokawa Alpine)</w:t>
            </w:r>
          </w:p>
        </w:tc>
      </w:tr>
      <w:tr>
        <w:tc>
          <w:tcPr>
            <w:tcW w:type="dxa" w:w="1757"/>
          </w:tcPr>
          <w:p>
            <w:r>
              <w:rPr>
                <w:sz w:val="16"/>
              </w:rPr>
              <w:t>9</w:t>
            </w:r>
          </w:p>
        </w:tc>
        <w:tc>
          <w:tcPr>
            <w:tcW w:type="dxa" w:w="1757"/>
          </w:tcPr>
          <w:p>
            <w:r>
              <w:rPr>
                <w:sz w:val="16"/>
              </w:rPr>
              <w:t>Classification</w:t>
            </w:r>
          </w:p>
        </w:tc>
        <w:tc>
          <w:tcPr>
            <w:tcW w:type="dxa" w:w="1757"/>
          </w:tcPr>
          <w:p>
            <w:r>
              <w:rPr>
                <w:sz w:val="16"/>
              </w:rPr>
              <w:t>Ultrasonic vibrating sieve</w:t>
            </w:r>
          </w:p>
        </w:tc>
        <w:tc>
          <w:tcPr>
            <w:tcW w:type="dxa" w:w="1757"/>
          </w:tcPr>
          <w:p>
            <w:r>
              <w:rPr>
                <w:sz w:val="16"/>
              </w:rPr>
              <w:t>Cut-off 10-20 um; high-throughput continuous operation</w:t>
            </w:r>
          </w:p>
        </w:tc>
        <w:tc>
          <w:tcPr>
            <w:tcW w:type="dxa" w:w="1757"/>
          </w:tcPr>
          <w:p>
            <w:r>
              <w:rPr>
                <w:sz w:val="16"/>
              </w:rPr>
              <w:t>2-3 months</w:t>
            </w:r>
          </w:p>
        </w:tc>
        <w:tc>
          <w:tcPr>
            <w:tcW w:type="dxa" w:w="1757"/>
          </w:tcPr>
          <w:p>
            <w:r>
              <w:rPr>
                <w:sz w:val="16"/>
              </w:rPr>
              <w:t>EU (Russell Finex, Sweco)</w:t>
            </w:r>
          </w:p>
        </w:tc>
      </w:tr>
      <w:tr>
        <w:tc>
          <w:tcPr>
            <w:tcW w:type="dxa" w:w="1757"/>
          </w:tcPr>
          <w:p>
            <w:r>
              <w:rPr>
                <w:sz w:val="16"/>
              </w:rPr>
              <w:t>10</w:t>
            </w:r>
          </w:p>
        </w:tc>
        <w:tc>
          <w:tcPr>
            <w:tcW w:type="dxa" w:w="1757"/>
          </w:tcPr>
          <w:p>
            <w:r>
              <w:rPr>
                <w:sz w:val="16"/>
              </w:rPr>
              <w:t>Magnetic separation (post-milling)</w:t>
            </w:r>
          </w:p>
        </w:tc>
        <w:tc>
          <w:tcPr>
            <w:tcW w:type="dxa" w:w="1757"/>
          </w:tcPr>
          <w:p>
            <w:r>
              <w:rPr>
                <w:sz w:val="16"/>
              </w:rPr>
              <w:t>Electromagnetic dry powder separator</w:t>
            </w:r>
          </w:p>
        </w:tc>
        <w:tc>
          <w:tcPr>
            <w:tcW w:type="dxa" w:w="1757"/>
          </w:tcPr>
          <w:p>
            <w:r>
              <w:rPr>
                <w:sz w:val="16"/>
              </w:rPr>
              <w:t>Ferromagnetic removal from dry LFP powder</w:t>
            </w:r>
          </w:p>
        </w:tc>
        <w:tc>
          <w:tcPr>
            <w:tcW w:type="dxa" w:w="1757"/>
          </w:tcPr>
          <w:p>
            <w:r>
              <w:rPr>
                <w:sz w:val="16"/>
              </w:rPr>
              <w:t>2-3 months</w:t>
            </w:r>
          </w:p>
        </w:tc>
        <w:tc>
          <w:tcPr>
            <w:tcW w:type="dxa" w:w="1757"/>
          </w:tcPr>
          <w:p>
            <w:r>
              <w:rPr>
                <w:sz w:val="16"/>
              </w:rPr>
              <w:t>EU (Eriez, Bunting)</w:t>
            </w:r>
          </w:p>
        </w:tc>
      </w:tr>
      <w:tr>
        <w:tc>
          <w:tcPr>
            <w:tcW w:type="dxa" w:w="1757"/>
          </w:tcPr>
          <w:p>
            <w:r>
              <w:rPr>
                <w:sz w:val="16"/>
              </w:rPr>
              <w:t>11</w:t>
            </w:r>
          </w:p>
        </w:tc>
        <w:tc>
          <w:tcPr>
            <w:tcW w:type="dxa" w:w="1757"/>
          </w:tcPr>
          <w:p>
            <w:r>
              <w:rPr>
                <w:sz w:val="16"/>
              </w:rPr>
              <w:t>Automated packaging</w:t>
            </w:r>
          </w:p>
        </w:tc>
        <w:tc>
          <w:tcPr>
            <w:tcW w:type="dxa" w:w="1757"/>
          </w:tcPr>
          <w:p>
            <w:r>
              <w:rPr>
                <w:sz w:val="16"/>
              </w:rPr>
              <w:t>N2-blanketed automated packaging line</w:t>
            </w:r>
          </w:p>
        </w:tc>
        <w:tc>
          <w:tcPr>
            <w:tcW w:type="dxa" w:w="1757"/>
          </w:tcPr>
          <w:p>
            <w:r>
              <w:rPr>
                <w:sz w:val="16"/>
              </w:rPr>
              <w:t>[TO BE COMPLETED: bag size to be confirmed]; moisture barrier bags; lot number/traceability</w:t>
            </w:r>
          </w:p>
        </w:tc>
        <w:tc>
          <w:tcPr>
            <w:tcW w:type="dxa" w:w="1757"/>
          </w:tcPr>
          <w:p>
            <w:r>
              <w:rPr>
                <w:sz w:val="16"/>
              </w:rPr>
              <w:t>2-3 months</w:t>
            </w:r>
          </w:p>
        </w:tc>
        <w:tc>
          <w:tcPr>
            <w:tcW w:type="dxa" w:w="1757"/>
          </w:tcPr>
          <w:p>
            <w:r>
              <w:rPr>
                <w:sz w:val="16"/>
              </w:rPr>
              <w:t>EU</w:t>
            </w:r>
          </w:p>
        </w:tc>
      </w:tr>
      <w:tr>
        <w:tc>
          <w:tcPr>
            <w:tcW w:type="dxa" w:w="1757"/>
          </w:tcPr>
          <w:p>
            <w:r>
              <w:rPr>
                <w:sz w:val="16"/>
              </w:rPr>
              <w:t>12</w:t>
            </w:r>
          </w:p>
        </w:tc>
        <w:tc>
          <w:tcPr>
            <w:tcW w:type="dxa" w:w="1757"/>
          </w:tcPr>
          <w:p>
            <w:r>
              <w:rPr>
                <w:sz w:val="16"/>
              </w:rPr>
              <w:t>N2 supply system</w:t>
            </w:r>
          </w:p>
        </w:tc>
        <w:tc>
          <w:tcPr>
            <w:tcW w:type="dxa" w:w="1757"/>
          </w:tcPr>
          <w:p>
            <w:r>
              <w:rPr>
                <w:sz w:val="16"/>
              </w:rPr>
              <w:t>PSA generator and/or bulk liquid N2 storage</w:t>
            </w:r>
          </w:p>
        </w:tc>
        <w:tc>
          <w:tcPr>
            <w:tcW w:type="dxa" w:w="1757"/>
          </w:tcPr>
          <w:p>
            <w:r>
              <w:rPr>
                <w:sz w:val="16"/>
              </w:rPr>
              <w:t>&gt;99.99% purity; total consumption 850 m3/t LFP CAM; [TO BE COMPLETED: hourly capacity to be sized for continuous operation]</w:t>
            </w:r>
          </w:p>
        </w:tc>
        <w:tc>
          <w:tcPr>
            <w:tcW w:type="dxa" w:w="1757"/>
          </w:tcPr>
          <w:p>
            <w:r>
              <w:rPr>
                <w:sz w:val="16"/>
              </w:rPr>
              <w:t>3-6 months</w:t>
            </w:r>
          </w:p>
        </w:tc>
        <w:tc>
          <w:tcPr>
            <w:tcW w:type="dxa" w:w="1757"/>
          </w:tcPr>
          <w:p>
            <w:r>
              <w:rPr>
                <w:sz w:val="16"/>
              </w:rPr>
              <w:t>EU (Air Liquide, Linde, SOL)</w:t>
            </w:r>
          </w:p>
        </w:tc>
      </w:tr>
      <w:tr>
        <w:tc>
          <w:tcPr>
            <w:tcW w:type="dxa" w:w="1757"/>
          </w:tcPr>
          <w:p>
            <w:r>
              <w:rPr>
                <w:sz w:val="16"/>
              </w:rPr>
              <w:t>13</w:t>
            </w:r>
          </w:p>
        </w:tc>
        <w:tc>
          <w:tcPr>
            <w:tcW w:type="dxa" w:w="1757"/>
          </w:tcPr>
          <w:p>
            <w:r>
              <w:rPr>
                <w:sz w:val="16"/>
              </w:rPr>
              <w:t>DT infrastructure</w:t>
            </w:r>
          </w:p>
        </w:tc>
        <w:tc>
          <w:tcPr>
            <w:tcW w:type="dxa" w:w="1757"/>
          </w:tcPr>
          <w:p>
            <w:r>
              <w:rPr>
                <w:sz w:val="16"/>
              </w:rPr>
              <w:t>Edge computing nodes, OPC-UA gateways, sensor network, fog/cloud servers</w:t>
            </w:r>
          </w:p>
        </w:tc>
        <w:tc>
          <w:tcPr>
            <w:tcW w:type="dxa" w:w="1757"/>
          </w:tcPr>
          <w:p>
            <w:r>
              <w:rPr>
                <w:sz w:val="16"/>
              </w:rPr>
              <w:t>ISO 23247 compliant; &lt;100 ms edge-to-fog latency; InfluxDB time-series DB</w:t>
            </w:r>
          </w:p>
        </w:tc>
        <w:tc>
          <w:tcPr>
            <w:tcW w:type="dxa" w:w="1757"/>
          </w:tcPr>
          <w:p>
            <w:r>
              <w:rPr>
                <w:sz w:val="16"/>
              </w:rPr>
              <w:t>3-6 months</w:t>
            </w:r>
          </w:p>
        </w:tc>
        <w:tc>
          <w:tcPr>
            <w:tcW w:type="dxa" w:w="1757"/>
          </w:tcPr>
          <w:p>
            <w:r>
              <w:rPr>
                <w:sz w:val="16"/>
              </w:rPr>
              <w:t>EU (Siemens, Beckhoff, ABB for OPC-UA; Dell/HPE for compute)</w:t>
            </w:r>
          </w:p>
        </w:tc>
      </w:tr>
      <w:tr>
        <w:tc>
          <w:tcPr>
            <w:tcW w:type="dxa" w:w="1757"/>
          </w:tcPr>
          <w:p>
            <w:r>
              <w:rPr>
                <w:sz w:val="16"/>
              </w:rPr>
              <w:t>14</w:t>
            </w:r>
          </w:p>
        </w:tc>
        <w:tc>
          <w:tcPr>
            <w:tcW w:type="dxa" w:w="1757"/>
          </w:tcPr>
          <w:p>
            <w:r>
              <w:rPr>
                <w:sz w:val="16"/>
              </w:rPr>
              <w:t>PAT sensor suite</w:t>
            </w:r>
          </w:p>
        </w:tc>
        <w:tc>
          <w:tcPr>
            <w:tcW w:type="dxa" w:w="1757"/>
          </w:tcPr>
          <w:p>
            <w:r>
              <w:rPr>
                <w:sz w:val="16"/>
              </w:rPr>
              <w:t>Raman probes, FBRM, laser diffraction, pyrometers, IR cameras, O2/CO2 analysers</w:t>
            </w:r>
          </w:p>
        </w:tc>
        <w:tc>
          <w:tcPr>
            <w:tcW w:type="dxa" w:w="1757"/>
          </w:tcPr>
          <w:p>
            <w:r>
              <w:rPr>
                <w:sz w:val="16"/>
              </w:rPr>
              <w:t>See Section 6.8 sensor deployment table</w:t>
            </w:r>
          </w:p>
        </w:tc>
        <w:tc>
          <w:tcPr>
            <w:tcW w:type="dxa" w:w="1757"/>
          </w:tcPr>
          <w:p>
            <w:r>
              <w:rPr>
                <w:sz w:val="16"/>
              </w:rPr>
              <w:t>3-6 months</w:t>
            </w:r>
          </w:p>
        </w:tc>
        <w:tc>
          <w:tcPr>
            <w:tcW w:type="dxa" w:w="1757"/>
          </w:tcPr>
          <w:p>
            <w:r>
              <w:rPr>
                <w:sz w:val="16"/>
              </w:rPr>
              <w:t>EU/USA (Endress+Hauser, Mettler Toledo, HORIBA, Malvern Panalytical)</w:t>
            </w:r>
          </w:p>
        </w:tc>
      </w:tr>
    </w:tbl>
    <w:p>
      <w:r>
        <w:rPr>
          <w:b/>
          <w:sz w:val="18"/>
        </w:rPr>
        <w:t>Critical path items</w:t>
      </w:r>
      <w:r>
        <w:rPr>
          <w:sz w:val="18"/>
        </w:rPr>
        <w:t>: The electric roller hearth kiln (Item 6, 9-12 months lead time) and electric spray dryer (Item 5, 6-9 months) define the equipment procurement critical path. Early vendor engagement and order placement is essential for schedule compliance.</w:t>
      </w:r>
    </w:p>
    <w:p>
      <w:r>
        <w:rPr>
          <w:b/>
          <w:color w:val="CC0000"/>
          <w:sz w:val="18"/>
        </w:rPr>
        <w:t>[TO BE COMPLETED: Specific equipment vendor shortlist, detailed technical specifications, budgetary quotes, and confirmed lead times must be obtained during the Front-End Engineering Design (FEED) phase. The above specifications are informed by the production information document and publicly available vendor data.]</w:t>
      </w:r>
    </w:p>
    <w:p>
      <w:pPr>
        <w:pStyle w:val="Heading3"/>
      </w:pPr>
      <w:r>
        <w:t>6.3 Operational Characteristics</w:t>
      </w:r>
    </w:p>
    <w:p>
      <w:r>
        <w:rPr>
          <w:sz w:val="18"/>
        </w:rPr>
        <w:t>The following operational parameters are based on the production information document (50 kton/yr, 4 modular lines). Detailed validation during FEED will refine specific equipment sizing and operating schedules.</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Parameter</w:t>
            </w:r>
          </w:p>
        </w:tc>
        <w:tc>
          <w:tcPr>
            <w:tcW w:type="dxa" w:w="3513"/>
          </w:tcPr>
          <w:p>
            <w:r>
              <w:rPr>
                <w:b/>
                <w:sz w:val="16"/>
              </w:rPr>
              <w:t>Value</w:t>
            </w:r>
          </w:p>
        </w:tc>
        <w:tc>
          <w:tcPr>
            <w:tcW w:type="dxa" w:w="3513"/>
          </w:tcPr>
          <w:p>
            <w:r>
              <w:rPr>
                <w:b/>
                <w:sz w:val="16"/>
              </w:rPr>
              <w:t>Basis</w:t>
            </w:r>
          </w:p>
        </w:tc>
      </w:tr>
      <w:tr>
        <w:tc>
          <w:tcPr>
            <w:tcW w:type="dxa" w:w="3513"/>
          </w:tcPr>
          <w:p>
            <w:r>
              <w:rPr>
                <w:sz w:val="16"/>
              </w:rPr>
              <w:t>Operating schedule</w:t>
            </w:r>
          </w:p>
        </w:tc>
        <w:tc>
          <w:tcPr>
            <w:tcW w:type="dxa" w:w="3513"/>
          </w:tcPr>
          <w:p>
            <w:r>
              <w:rPr>
                <w:sz w:val="16"/>
              </w:rPr>
              <w:t>Continuous operation (24/7, 3 shifts) across 4 production lines</w:t>
            </w:r>
          </w:p>
        </w:tc>
        <w:tc>
          <w:tcPr>
            <w:tcW w:type="dxa" w:w="3513"/>
          </w:tcPr>
          <w:p>
            <w:r>
              <w:rPr>
                <w:sz w:val="16"/>
              </w:rPr>
              <w:t>Industry standard for CAM production</w:t>
            </w:r>
          </w:p>
        </w:tc>
      </w:tr>
      <w:tr>
        <w:tc>
          <w:tcPr>
            <w:tcW w:type="dxa" w:w="3513"/>
          </w:tcPr>
          <w:p>
            <w:r>
              <w:rPr>
                <w:sz w:val="16"/>
              </w:rPr>
              <w:t>Annual production capacity</w:t>
            </w:r>
          </w:p>
        </w:tc>
        <w:tc>
          <w:tcPr>
            <w:tcW w:type="dxa" w:w="3513"/>
          </w:tcPr>
          <w:p>
            <w:r>
              <w:rPr>
                <w:sz w:val="16"/>
              </w:rPr>
              <w:t>50,000 tonnes LFP CAM/year at nameplate (4 lines x 12,500 t/yr each)</w:t>
            </w:r>
          </w:p>
        </w:tc>
        <w:tc>
          <w:tcPr>
            <w:tcW w:type="dxa" w:w="3513"/>
          </w:tcPr>
          <w:p>
            <w:r>
              <w:rPr>
                <w:sz w:val="16"/>
              </w:rPr>
              <w:t>Production information document</w:t>
            </w:r>
          </w:p>
        </w:tc>
      </w:tr>
      <w:tr>
        <w:tc>
          <w:tcPr>
            <w:tcW w:type="dxa" w:w="3513"/>
          </w:tcPr>
          <w:p>
            <w:r>
              <w:rPr>
                <w:sz w:val="16"/>
              </w:rPr>
              <w:t>Product mix</w:t>
            </w:r>
          </w:p>
        </w:tc>
        <w:tc>
          <w:tcPr>
            <w:tcW w:type="dxa" w:w="3513"/>
          </w:tcPr>
          <w:p>
            <w:r>
              <w:rPr>
                <w:sz w:val="16"/>
              </w:rPr>
              <w:t>Nanosized LFP (75%) + Spherical LFP (25%)</w:t>
            </w:r>
          </w:p>
        </w:tc>
        <w:tc>
          <w:tcPr>
            <w:tcW w:type="dxa" w:w="3513"/>
          </w:tcPr>
          <w:p>
            <w:r>
              <w:rPr>
                <w:sz w:val="16"/>
              </w:rPr>
              <w:t>Production information document</w:t>
            </w:r>
          </w:p>
        </w:tc>
      </w:tr>
      <w:tr>
        <w:tc>
          <w:tcPr>
            <w:tcW w:type="dxa" w:w="3513"/>
          </w:tcPr>
          <w:p>
            <w:r>
              <w:rPr>
                <w:sz w:val="16"/>
              </w:rPr>
              <w:t>Batch size (calcination)</w:t>
            </w:r>
          </w:p>
        </w:tc>
        <w:tc>
          <w:tcPr>
            <w:tcW w:type="dxa" w:w="3513"/>
          </w:tcPr>
          <w:p>
            <w:r>
              <w:rPr>
                <w:sz w:val="16"/>
              </w:rPr>
              <w:t>Calcination in saggars under N2; [TO BE COMPLETED: specific saggar capacity and loading per kiln run to be confirmed during FEED]</w:t>
            </w:r>
          </w:p>
        </w:tc>
        <w:tc>
          <w:tcPr>
            <w:tcW w:type="dxa" w:w="3513"/>
          </w:tcPr>
          <w:p>
            <w:r>
              <w:rPr>
                <w:sz w:val="16"/>
              </w:rPr>
              <w:t>Depends on kiln dimensions and saggar configuration</w:t>
            </w:r>
          </w:p>
        </w:tc>
      </w:tr>
      <w:tr>
        <w:tc>
          <w:tcPr>
            <w:tcW w:type="dxa" w:w="3513"/>
          </w:tcPr>
          <w:p>
            <w:r>
              <w:rPr>
                <w:sz w:val="16"/>
              </w:rPr>
              <w:t>Calcination cycle time</w:t>
            </w:r>
          </w:p>
        </w:tc>
        <w:tc>
          <w:tcPr>
            <w:tcW w:type="dxa" w:w="3513"/>
          </w:tcPr>
          <w:p>
            <w:r>
              <w:rPr>
                <w:sz w:val="16"/>
              </w:rPr>
              <w:t>6-12 hours dwell at 700-800 C, plus ramp-up (~2 h) and controlled cooling (~4 h) [SRC-011, CLM-020]</w:t>
            </w:r>
          </w:p>
        </w:tc>
        <w:tc>
          <w:tcPr>
            <w:tcW w:type="dxa" w:w="3513"/>
          </w:tcPr>
          <w:p>
            <w:r>
              <w:rPr>
                <w:sz w:val="16"/>
              </w:rPr>
              <w:t>Based on published LFP synthesis literature</w:t>
            </w:r>
          </w:p>
        </w:tc>
      </w:tr>
      <w:tr>
        <w:tc>
          <w:tcPr>
            <w:tcW w:type="dxa" w:w="3513"/>
          </w:tcPr>
          <w:p>
            <w:r>
              <w:rPr>
                <w:sz w:val="16"/>
              </w:rPr>
              <w:t>Spray drying throughput</w:t>
            </w:r>
          </w:p>
        </w:tc>
        <w:tc>
          <w:tcPr>
            <w:tcW w:type="dxa" w:w="3513"/>
          </w:tcPr>
          <w:p>
            <w:r>
              <w:rPr>
                <w:sz w:val="16"/>
              </w:rPr>
              <w:t>[TO BE COMPLETED: sized for 12.5 kton/yr per line; kg/h water evaporation to be confirmed by vendor]</w:t>
            </w:r>
          </w:p>
        </w:tc>
        <w:tc>
          <w:tcPr>
            <w:tcW w:type="dxa" w:w="3513"/>
          </w:tcPr>
          <w:p>
            <w:r>
              <w:rPr>
                <w:sz w:val="16"/>
              </w:rPr>
              <w:t>Depends on spray dryer capacity selected</w:t>
            </w:r>
          </w:p>
        </w:tc>
      </w:tr>
      <w:tr>
        <w:tc>
          <w:tcPr>
            <w:tcW w:type="dxa" w:w="3513"/>
          </w:tcPr>
          <w:p>
            <w:r>
              <w:rPr>
                <w:sz w:val="16"/>
              </w:rPr>
              <w:t>Milling throughput</w:t>
            </w:r>
          </w:p>
        </w:tc>
        <w:tc>
          <w:tcPr>
            <w:tcW w:type="dxa" w:w="3513"/>
          </w:tcPr>
          <w:p>
            <w:r>
              <w:rPr>
                <w:sz w:val="16"/>
              </w:rPr>
              <w:t>[TO BE COMPLETED: sized for line throughput; optional jet-milling bypass for spherical grade]</w:t>
            </w:r>
          </w:p>
        </w:tc>
        <w:tc>
          <w:tcPr>
            <w:tcW w:type="dxa" w:w="3513"/>
          </w:tcPr>
          <w:p>
            <w:r>
              <w:rPr>
                <w:sz w:val="16"/>
              </w:rPr>
              <w:t>Depends on equipment sizing</w:t>
            </w:r>
          </w:p>
        </w:tc>
      </w:tr>
      <w:tr>
        <w:tc>
          <w:tcPr>
            <w:tcW w:type="dxa" w:w="3513"/>
          </w:tcPr>
          <w:p>
            <w:r>
              <w:rPr>
                <w:sz w:val="16"/>
              </w:rPr>
              <w:t>Product yield</w:t>
            </w:r>
          </w:p>
        </w:tc>
        <w:tc>
          <w:tcPr>
            <w:tcW w:type="dxa" w:w="3513"/>
          </w:tcPr>
          <w:p>
            <w:r>
              <w:rPr>
                <w:sz w:val="16"/>
              </w:rPr>
              <w:t>&gt;95% lithium and iron-phosphorus recovery; primary losses from CO2/volatile evolution during calcination</w:t>
            </w:r>
          </w:p>
        </w:tc>
        <w:tc>
          <w:tcPr>
            <w:tcW w:type="dxa" w:w="3513"/>
          </w:tcPr>
          <w:p>
            <w:r>
              <w:rPr>
                <w:sz w:val="16"/>
              </w:rPr>
              <w:t>Stoichiometric basis</w:t>
            </w:r>
          </w:p>
        </w:tc>
      </w:tr>
      <w:tr>
        <w:tc>
          <w:tcPr>
            <w:tcW w:type="dxa" w:w="3513"/>
          </w:tcPr>
          <w:p>
            <w:r>
              <w:rPr>
                <w:sz w:val="16"/>
              </w:rPr>
              <w:t>Utility consumption</w:t>
            </w:r>
          </w:p>
        </w:tc>
        <w:tc>
          <w:tcPr>
            <w:tcW w:type="dxa" w:w="3513"/>
          </w:tcPr>
          <w:p>
            <w:r>
              <w:rPr>
                <w:sz w:val="16"/>
              </w:rPr>
              <w:t>Electricity: 3,580 kWh/t; Natural gas: 189 m3/t; N2: 850 m3/t; Production water: 4 t/t; Pure water: 5 t/t</w:t>
            </w:r>
          </w:p>
        </w:tc>
        <w:tc>
          <w:tcPr>
            <w:tcW w:type="dxa" w:w="3513"/>
          </w:tcPr>
          <w:p>
            <w:r>
              <w:rPr>
                <w:sz w:val="16"/>
              </w:rPr>
              <w:t>Production information document</w:t>
            </w:r>
          </w:p>
        </w:tc>
      </w:tr>
    </w:tbl>
    <w:p>
      <w:r>
        <w:rPr>
          <w:b/>
          <w:sz w:val="18"/>
        </w:rPr>
        <w:t>Ramp-up schedule</w:t>
      </w:r>
      <w:r>
        <w:rPr>
          <w:sz w:val="18"/>
        </w:rPr>
        <w:t>:</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Period</w:t>
            </w:r>
          </w:p>
        </w:tc>
        <w:tc>
          <w:tcPr>
            <w:tcW w:type="dxa" w:w="3513"/>
          </w:tcPr>
          <w:p>
            <w:r>
              <w:rPr>
                <w:b/>
                <w:sz w:val="16"/>
              </w:rPr>
              <w:t>Capacity Utilisation</w:t>
            </w:r>
          </w:p>
        </w:tc>
        <w:tc>
          <w:tcPr>
            <w:tcW w:type="dxa" w:w="3513"/>
          </w:tcPr>
          <w:p>
            <w:r>
              <w:rPr>
                <w:b/>
                <w:sz w:val="16"/>
              </w:rPr>
              <w:t>Focus</w:t>
            </w:r>
          </w:p>
        </w:tc>
      </w:tr>
      <w:tr>
        <w:tc>
          <w:tcPr>
            <w:tcW w:type="dxa" w:w="3513"/>
          </w:tcPr>
          <w:p>
            <w:r>
              <w:rPr>
                <w:sz w:val="16"/>
              </w:rPr>
              <w:t>M42-M48 (commissioning)</w:t>
            </w:r>
          </w:p>
        </w:tc>
        <w:tc>
          <w:tcPr>
            <w:tcW w:type="dxa" w:w="3513"/>
          </w:tcPr>
          <w:p>
            <w:r>
              <w:rPr>
                <w:sz w:val="16"/>
              </w:rPr>
              <w:t>0-25%</w:t>
            </w:r>
          </w:p>
        </w:tc>
        <w:tc>
          <w:tcPr>
            <w:tcW w:type="dxa" w:w="3513"/>
          </w:tcPr>
          <w:p>
            <w:r>
              <w:rPr>
                <w:sz w:val="16"/>
              </w:rPr>
              <w:t>Equipment shakedown; DT model calibration; process parameter optimisation</w:t>
            </w:r>
          </w:p>
        </w:tc>
      </w:tr>
      <w:tr>
        <w:tc>
          <w:tcPr>
            <w:tcW w:type="dxa" w:w="3513"/>
          </w:tcPr>
          <w:p>
            <w:r>
              <w:rPr>
                <w:sz w:val="16"/>
              </w:rPr>
              <w:t>M48-M54 (Year 1 H1)</w:t>
            </w:r>
          </w:p>
        </w:tc>
        <w:tc>
          <w:tcPr>
            <w:tcW w:type="dxa" w:w="3513"/>
          </w:tcPr>
          <w:p>
            <w:r>
              <w:rPr>
                <w:sz w:val="16"/>
              </w:rPr>
              <w:t>25-50%</w:t>
            </w:r>
          </w:p>
        </w:tc>
        <w:tc>
          <w:tcPr>
            <w:tcW w:type="dxa" w:w="3513"/>
          </w:tcPr>
          <w:p>
            <w:r>
              <w:rPr>
                <w:sz w:val="16"/>
              </w:rPr>
              <w:t>Product qualification with customer samples; CQA statistical validation</w:t>
            </w:r>
          </w:p>
        </w:tc>
      </w:tr>
      <w:tr>
        <w:tc>
          <w:tcPr>
            <w:tcW w:type="dxa" w:w="3513"/>
          </w:tcPr>
          <w:p>
            <w:r>
              <w:rPr>
                <w:sz w:val="16"/>
              </w:rPr>
              <w:t>M54-M60 (Year 1 H2)</w:t>
            </w:r>
          </w:p>
        </w:tc>
        <w:tc>
          <w:tcPr>
            <w:tcW w:type="dxa" w:w="3513"/>
          </w:tcPr>
          <w:p>
            <w:r>
              <w:rPr>
                <w:sz w:val="16"/>
              </w:rPr>
              <w:t>50-80%</w:t>
            </w:r>
          </w:p>
        </w:tc>
        <w:tc>
          <w:tcPr>
            <w:tcW w:type="dxa" w:w="3513"/>
          </w:tcPr>
          <w:p>
            <w:r>
              <w:rPr>
                <w:sz w:val="16"/>
              </w:rPr>
              <w:t>Full production ramp-up; DT closed-loop MPC activation</w:t>
            </w:r>
          </w:p>
        </w:tc>
      </w:tr>
      <w:tr>
        <w:tc>
          <w:tcPr>
            <w:tcW w:type="dxa" w:w="3513"/>
          </w:tcPr>
          <w:p>
            <w:r>
              <w:rPr>
                <w:sz w:val="16"/>
              </w:rPr>
              <w:t>M60+ (Year 2+)</w:t>
            </w:r>
          </w:p>
        </w:tc>
        <w:tc>
          <w:tcPr>
            <w:tcW w:type="dxa" w:w="3513"/>
          </w:tcPr>
          <w:p>
            <w:r>
              <w:rPr>
                <w:sz w:val="16"/>
              </w:rPr>
              <w:t>80-100%</w:t>
            </w:r>
          </w:p>
        </w:tc>
        <w:tc>
          <w:tcPr>
            <w:tcW w:type="dxa" w:w="3513"/>
          </w:tcPr>
          <w:p>
            <w:r>
              <w:rPr>
                <w:sz w:val="16"/>
              </w:rPr>
              <w:t>Steady-state production; continuous DT-driven optimisation</w:t>
            </w:r>
          </w:p>
        </w:tc>
      </w:tr>
    </w:tbl>
    <w:p>
      <w:pPr>
        <w:pStyle w:val="Heading3"/>
      </w:pPr>
      <w:r>
        <w:t>6.4 Scale-Up Considerations</w:t>
      </w:r>
    </w:p>
    <w:p>
      <w:pPr>
        <w:pStyle w:val="Heading4"/>
      </w:pPr>
      <w:r>
        <w:t>6.4.1 LFP Solid-State Synthesis</w:t>
      </w:r>
    </w:p>
    <w:p>
      <w:r>
        <w:rPr>
          <w:sz w:val="18"/>
        </w:rPr>
        <w:t xml:space="preserve">The solid-state synthesis route for LFP is industrially mature (TRL 7-9) and has been scaled to &gt;10,000 t/yr by multiple Chinese producers </w:t>
      </w:r>
      <w:r>
        <w:rPr>
          <w:color w:val="0066CC"/>
          <w:sz w:val="16"/>
        </w:rPr>
        <w:t>[CLM-001, SRC-011]</w:t>
      </w:r>
      <w:r>
        <w:rPr>
          <w:sz w:val="18"/>
        </w:rPr>
        <w:t>. The fundamental chemistry and process steps are well-understood, and the FACE process follows the established industrial route. Scale-up risks are therefore concentrated in the novel elements (electrification, DT integration) rather than the core synthesis chemistry.</w:t>
      </w:r>
    </w:p>
    <w:p>
      <w:pPr>
        <w:pStyle w:val="Heading4"/>
      </w:pPr>
      <w:r>
        <w:t>6.4.2 Electrified Calcination</w:t>
      </w:r>
    </w:p>
    <w:p>
      <w:r>
        <w:rPr>
          <w:sz w:val="18"/>
        </w:rPr>
        <w:t xml:space="preserve">Electric roller hearth kilns are the industry standard for NMC CAM calcination at temperatures up to 950 C </w:t>
      </w:r>
      <w:r>
        <w:rPr>
          <w:color w:val="0066CC"/>
          <w:sz w:val="16"/>
        </w:rPr>
        <w:t>[SRC-ED-010, SRC-ED-023]</w:t>
      </w:r>
      <w:r>
        <w:rPr>
          <w:sz w:val="18"/>
        </w:rPr>
        <w:t xml:space="preserve">. LFP calcination at 700-800 C operates well within the proven temperature envelope. Kanthal/Sandvik supplies electric heating elements (SiC Globar, Tubothal metallic) rated to 1,100 C for battery material applications </w:t>
      </w:r>
      <w:r>
        <w:rPr>
          <w:color w:val="0066CC"/>
          <w:sz w:val="16"/>
        </w:rPr>
        <w:t>[SRC-ED-009]</w:t>
      </w:r>
      <w:r>
        <w:rPr>
          <w:sz w:val="18"/>
        </w:rPr>
        <w:t xml:space="preserve">. NGK's HD series roller hearth kiln achieves 40%+ energy reduction versus conventional tunnel kilns </w:t>
      </w:r>
      <w:r>
        <w:rPr>
          <w:color w:val="0066CC"/>
          <w:sz w:val="16"/>
        </w:rPr>
        <w:t>[SRC-ED-023]</w:t>
      </w:r>
      <w:r>
        <w:rPr>
          <w:sz w:val="18"/>
        </w:rPr>
        <w:t>.</w:t>
      </w:r>
    </w:p>
    <w:p>
      <w:r>
        <w:rPr>
          <w:sz w:val="18"/>
        </w:rPr>
        <w:t xml:space="preserve">The primary scale-up consideration is thermal uniformity across the kiln cross-section at production throughput. Non-uniform temperature distribution could create hot spots (&gt;700 C, promoting impurity phases Li3PO4 and Fe2P) or cold spots (&lt;600 C, incomplete olivine crystallisation) </w:t>
      </w:r>
      <w:r>
        <w:rPr>
          <w:color w:val="0066CC"/>
          <w:sz w:val="16"/>
        </w:rPr>
        <w:t>[CLM-020]</w:t>
      </w:r>
      <w:r>
        <w:rPr>
          <w:sz w:val="18"/>
        </w:rPr>
        <w:t>. Mitigation:</w:t>
      </w:r>
    </w:p>
    <w:p>
      <w:pPr>
        <w:pStyle w:val="ListBullet"/>
      </w:pPr>
      <w:r>
        <w:rPr>
          <w:sz w:val="18"/>
        </w:rPr>
        <w:t>Multi-zone PID temperature control with independent heating elements per zone</w:t>
      </w:r>
    </w:p>
    <w:p>
      <w:pPr>
        <w:pStyle w:val="ListBullet"/>
      </w:pPr>
      <w:r>
        <w:rPr>
          <w:sz w:val="18"/>
        </w:rPr>
        <w:t xml:space="preserve">DT-driven MPC optimisation of zone-by-zone temperature setpoints using CFD-calibrated models </w:t>
      </w:r>
      <w:r>
        <w:rPr>
          <w:color w:val="0066CC"/>
          <w:sz w:val="16"/>
        </w:rPr>
        <w:t>[SRC-ED-010]</w:t>
      </w:r>
    </w:p>
    <w:p>
      <w:pPr>
        <w:pStyle w:val="ListBullet"/>
      </w:pPr>
      <w:r>
        <w:rPr>
          <w:sz w:val="18"/>
        </w:rPr>
        <w:t>Pilot-scale trials at kiln vendor facility (M6-M12) to validate temperature uniformity before equipment purchase</w:t>
      </w:r>
    </w:p>
    <w:p>
      <w:pPr>
        <w:pStyle w:val="Heading4"/>
      </w:pPr>
      <w:r>
        <w:t>6.4.3 Electrified Spray Drying</w:t>
      </w:r>
    </w:p>
    <w:p>
      <w:r>
        <w:rPr>
          <w:sz w:val="18"/>
        </w:rPr>
        <w:t xml:space="preserve">Industrial electric spray dryers are commercially proven for ceramics and food processing at comparable throughputs and temperatures </w:t>
      </w:r>
      <w:r>
        <w:rPr>
          <w:color w:val="0066CC"/>
          <w:sz w:val="16"/>
        </w:rPr>
        <w:t>[SRC-ED-001, SRC-ED-009]</w:t>
      </w:r>
      <w:r>
        <w:rPr>
          <w:sz w:val="18"/>
        </w:rPr>
        <w:t xml:space="preserve">. The integration of high-temperature heat pump (HTHP) pre-heating with electric resistance final heating is the novel element. HTHP technology at COP 3.04 (120 C) is commercially available </w:t>
      </w:r>
      <w:r>
        <w:rPr>
          <w:color w:val="0066CC"/>
          <w:sz w:val="16"/>
        </w:rPr>
        <w:t>[SRC-ED-004]</w:t>
      </w:r>
      <w:r>
        <w:rPr>
          <w:sz w:val="18"/>
        </w:rPr>
        <w:t xml:space="preserve">; COP 3.6 at 200 C has been demonstrated in peer-reviewed thermodynamic analysis </w:t>
      </w:r>
      <w:r>
        <w:rPr>
          <w:color w:val="0066CC"/>
          <w:sz w:val="16"/>
        </w:rPr>
        <w:t>[SRC-ED-005]</w:t>
      </w:r>
      <w:r>
        <w:rPr>
          <w:sz w:val="18"/>
        </w:rPr>
        <w:t xml:space="preserve"> but requires emerging transcritical heat pump systems.</w:t>
      </w:r>
    </w:p>
    <w:p>
      <w:r>
        <w:rPr>
          <w:sz w:val="18"/>
        </w:rPr>
        <w:t>Scale-up mitigation: initial design uses proven electric resistance heating for all spray dryer thermal demand, with HTHP integration as a Phase 2 energy optimisation upgrade once commercial 200 C HTHP units become available.</w:t>
      </w:r>
    </w:p>
    <w:p>
      <w:pPr>
        <w:pStyle w:val="Heading4"/>
      </w:pPr>
      <w:r>
        <w:t>6.4.4 Digital Twin Scale-Up</w:t>
      </w:r>
    </w:p>
    <w:p>
      <w:r>
        <w:rPr>
          <w:sz w:val="18"/>
        </w:rPr>
        <w:t>The DT framework is designed with modular architecture: each production-line module has its own DT instance with local edge computing, connected to a plant-level supervisory DT via fog/cloud infrastructure. This architecture scales linearly with production capacity -- adding a production module adds a DT instance without requiring fundamental architectural changes.</w:t>
      </w:r>
    </w:p>
    <w:p>
      <w:r>
        <w:rPr>
          <w:sz w:val="18"/>
        </w:rPr>
        <w:t xml:space="preserve">The primary scale-up challenge is model calibration: physics-based models (CFD, PBM, reaction kinetics) developed from literature data and vendor test results must be recalibrated against production-scale data during commissioning </w:t>
      </w:r>
      <w:r>
        <w:rPr>
          <w:color w:val="0066CC"/>
          <w:sz w:val="16"/>
        </w:rPr>
        <w:t>[CLM-018]</w:t>
      </w:r>
      <w:r>
        <w:rPr>
          <w:sz w:val="18"/>
        </w:rPr>
        <w:t>. The systematic model calibration protocol (M42-M48) and hybrid physics + ML approach provide the recalibration pathway.</w:t>
      </w:r>
    </w:p>
    <w:p>
      <w:pPr>
        <w:pStyle w:val="Heading3"/>
      </w:pPr>
      <w:r>
        <w:t>6.5 Technology Readiness Assessment</w:t>
      </w:r>
    </w:p>
    <w:tbl>
      <w:tblPr>
        <w:tblStyle w:val="LightGrid-Accent1"/>
        <w:tblW w:type="auto" w:w="0"/>
        <w:tblLook w:firstColumn="1" w:firstRow="1" w:lastColumn="0" w:lastRow="0" w:noHBand="0" w:noVBand="1" w:val="04A0"/>
      </w:tblPr>
      <w:tblGrid>
        <w:gridCol w:w="1757"/>
        <w:gridCol w:w="1757"/>
        <w:gridCol w:w="1757"/>
        <w:gridCol w:w="1757"/>
        <w:gridCol w:w="1757"/>
        <w:gridCol w:w="1757"/>
      </w:tblGrid>
      <w:tr>
        <w:tc>
          <w:tcPr>
            <w:tcW w:type="dxa" w:w="1757"/>
          </w:tcPr>
          <w:p>
            <w:r>
              <w:rPr>
                <w:b/>
                <w:sz w:val="16"/>
              </w:rPr>
              <w:t>#</w:t>
            </w:r>
          </w:p>
        </w:tc>
        <w:tc>
          <w:tcPr>
            <w:tcW w:type="dxa" w:w="1757"/>
          </w:tcPr>
          <w:p>
            <w:r>
              <w:rPr>
                <w:b/>
                <w:sz w:val="16"/>
              </w:rPr>
              <w:t>Component</w:t>
            </w:r>
          </w:p>
        </w:tc>
        <w:tc>
          <w:tcPr>
            <w:tcW w:type="dxa" w:w="1757"/>
          </w:tcPr>
          <w:p>
            <w:r>
              <w:rPr>
                <w:b/>
                <w:sz w:val="16"/>
              </w:rPr>
              <w:t>Current TRL</w:t>
            </w:r>
          </w:p>
        </w:tc>
        <w:tc>
          <w:tcPr>
            <w:tcW w:type="dxa" w:w="1757"/>
          </w:tcPr>
          <w:p>
            <w:r>
              <w:rPr>
                <w:b/>
                <w:sz w:val="16"/>
              </w:rPr>
              <w:t>Target TRL at EiO</w:t>
            </w:r>
          </w:p>
        </w:tc>
        <w:tc>
          <w:tcPr>
            <w:tcW w:type="dxa" w:w="1757"/>
          </w:tcPr>
          <w:p>
            <w:r>
              <w:rPr>
                <w:b/>
                <w:sz w:val="16"/>
              </w:rPr>
              <w:t>Evidence for Current TRL</w:t>
            </w:r>
          </w:p>
        </w:tc>
        <w:tc>
          <w:tcPr>
            <w:tcW w:type="dxa" w:w="1757"/>
          </w:tcPr>
          <w:p>
            <w:r>
              <w:rPr>
                <w:b/>
                <w:sz w:val="16"/>
              </w:rPr>
              <w:t>Advancement Pathway</w:t>
            </w:r>
          </w:p>
        </w:tc>
      </w:tr>
      <w:tr>
        <w:tc>
          <w:tcPr>
            <w:tcW w:type="dxa" w:w="1757"/>
          </w:tcPr>
          <w:p>
            <w:r>
              <w:rPr>
                <w:sz w:val="16"/>
              </w:rPr>
              <w:t>T1</w:t>
            </w:r>
          </w:p>
        </w:tc>
        <w:tc>
          <w:tcPr>
            <w:tcW w:type="dxa" w:w="1757"/>
          </w:tcPr>
          <w:p>
            <w:r>
              <w:rPr>
                <w:sz w:val="16"/>
              </w:rPr>
              <w:t>LFP solid-state synthesis</w:t>
            </w:r>
          </w:p>
        </w:tc>
        <w:tc>
          <w:tcPr>
            <w:tcW w:type="dxa" w:w="1757"/>
          </w:tcPr>
          <w:p>
            <w:r>
              <w:rPr>
                <w:sz w:val="16"/>
              </w:rPr>
              <w:t>7-8</w:t>
            </w:r>
          </w:p>
        </w:tc>
        <w:tc>
          <w:tcPr>
            <w:tcW w:type="dxa" w:w="1757"/>
          </w:tcPr>
          <w:p>
            <w:r>
              <w:rPr>
                <w:sz w:val="16"/>
              </w:rPr>
              <w:t>9</w:t>
            </w:r>
          </w:p>
        </w:tc>
        <w:tc>
          <w:tcPr>
            <w:tcW w:type="dxa" w:w="1757"/>
          </w:tcPr>
          <w:p>
            <w:r>
              <w:rPr>
                <w:sz w:val="16"/>
              </w:rPr>
              <w:t>Dominant industrial route globally; proven at &gt;10,000 t/yr by Chinese producers [CLM-001, SRC-011]</w:t>
            </w:r>
          </w:p>
        </w:tc>
        <w:tc>
          <w:tcPr>
            <w:tcW w:type="dxa" w:w="1757"/>
          </w:tcPr>
          <w:p>
            <w:r>
              <w:rPr>
                <w:sz w:val="16"/>
              </w:rPr>
              <w:t>Process qualification at Brindisi; product certification with cell manufacturers</w:t>
            </w:r>
          </w:p>
        </w:tc>
      </w:tr>
      <w:tr>
        <w:tc>
          <w:tcPr>
            <w:tcW w:type="dxa" w:w="1757"/>
          </w:tcPr>
          <w:p>
            <w:r>
              <w:rPr>
                <w:sz w:val="16"/>
              </w:rPr>
              <w:t>T2</w:t>
            </w:r>
          </w:p>
        </w:tc>
        <w:tc>
          <w:tcPr>
            <w:tcW w:type="dxa" w:w="1757"/>
          </w:tcPr>
          <w:p>
            <w:r>
              <w:rPr>
                <w:sz w:val="16"/>
              </w:rPr>
              <w:t>Electrified spray drying (electric resistance)</w:t>
            </w:r>
          </w:p>
        </w:tc>
        <w:tc>
          <w:tcPr>
            <w:tcW w:type="dxa" w:w="1757"/>
          </w:tcPr>
          <w:p>
            <w:r>
              <w:rPr>
                <w:sz w:val="16"/>
              </w:rPr>
              <w:t>7</w:t>
            </w:r>
          </w:p>
        </w:tc>
        <w:tc>
          <w:tcPr>
            <w:tcW w:type="dxa" w:w="1757"/>
          </w:tcPr>
          <w:p>
            <w:r>
              <w:rPr>
                <w:sz w:val="16"/>
              </w:rPr>
              <w:t>9</w:t>
            </w:r>
          </w:p>
        </w:tc>
        <w:tc>
          <w:tcPr>
            <w:tcW w:type="dxa" w:w="1757"/>
          </w:tcPr>
          <w:p>
            <w:r>
              <w:rPr>
                <w:sz w:val="16"/>
              </w:rPr>
              <w:t>Commercially available equipment for ceramics/food (GEA, Buchi Industrial); proven at equivalent temperatures [SRC-ED-001]</w:t>
            </w:r>
          </w:p>
        </w:tc>
        <w:tc>
          <w:tcPr>
            <w:tcW w:type="dxa" w:w="1757"/>
          </w:tcPr>
          <w:p>
            <w:r>
              <w:rPr>
                <w:sz w:val="16"/>
              </w:rPr>
              <w:t>Integration with LFP precursor slurry; optimisation of drying parameters for LFP particle morphology</w:t>
            </w:r>
          </w:p>
        </w:tc>
      </w:tr>
      <w:tr>
        <w:tc>
          <w:tcPr>
            <w:tcW w:type="dxa" w:w="1757"/>
          </w:tcPr>
          <w:p>
            <w:r>
              <w:rPr>
                <w:sz w:val="16"/>
              </w:rPr>
              <w:t>T3</w:t>
            </w:r>
          </w:p>
        </w:tc>
        <w:tc>
          <w:tcPr>
            <w:tcW w:type="dxa" w:w="1757"/>
          </w:tcPr>
          <w:p>
            <w:r>
              <w:rPr>
                <w:sz w:val="16"/>
              </w:rPr>
              <w:t>HTHP for spray drying</w:t>
            </w:r>
          </w:p>
        </w:tc>
        <w:tc>
          <w:tcPr>
            <w:tcW w:type="dxa" w:w="1757"/>
          </w:tcPr>
          <w:p>
            <w:r>
              <w:rPr>
                <w:sz w:val="16"/>
              </w:rPr>
              <w:t>5-6</w:t>
            </w:r>
          </w:p>
        </w:tc>
        <w:tc>
          <w:tcPr>
            <w:tcW w:type="dxa" w:w="1757"/>
          </w:tcPr>
          <w:p>
            <w:r>
              <w:rPr>
                <w:sz w:val="16"/>
              </w:rPr>
              <w:t>7</w:t>
            </w:r>
          </w:p>
        </w:tc>
        <w:tc>
          <w:tcPr>
            <w:tcW w:type="dxa" w:w="1757"/>
          </w:tcPr>
          <w:p>
            <w:r>
              <w:rPr>
                <w:sz w:val="16"/>
              </w:rPr>
              <w:t>COP 3.04 at 120 C demonstrated [SRC-ED-004]; COP 3.6 at 200 C in simulation [SRC-ED-005]; not yet integrated with LFP process</w:t>
            </w:r>
          </w:p>
        </w:tc>
        <w:tc>
          <w:tcPr>
            <w:tcW w:type="dxa" w:w="1757"/>
          </w:tcPr>
          <w:p>
            <w:r>
              <w:rPr>
                <w:sz w:val="16"/>
              </w:rPr>
              <w:t>Qualification of commercial HTHP unit; integration with spray dryer air heating system</w:t>
            </w:r>
          </w:p>
        </w:tc>
      </w:tr>
      <w:tr>
        <w:tc>
          <w:tcPr>
            <w:tcW w:type="dxa" w:w="1757"/>
          </w:tcPr>
          <w:p>
            <w:r>
              <w:rPr>
                <w:sz w:val="16"/>
              </w:rPr>
              <w:t>T4</w:t>
            </w:r>
          </w:p>
        </w:tc>
        <w:tc>
          <w:tcPr>
            <w:tcW w:type="dxa" w:w="1757"/>
          </w:tcPr>
          <w:p>
            <w:r>
              <w:rPr>
                <w:sz w:val="16"/>
              </w:rPr>
              <w:t>Electric roller hearth kiln for calcination</w:t>
            </w:r>
          </w:p>
        </w:tc>
        <w:tc>
          <w:tcPr>
            <w:tcW w:type="dxa" w:w="1757"/>
          </w:tcPr>
          <w:p>
            <w:r>
              <w:rPr>
                <w:sz w:val="16"/>
              </w:rPr>
              <w:t>7</w:t>
            </w:r>
          </w:p>
        </w:tc>
        <w:tc>
          <w:tcPr>
            <w:tcW w:type="dxa" w:w="1757"/>
          </w:tcPr>
          <w:p>
            <w:r>
              <w:rPr>
                <w:sz w:val="16"/>
              </w:rPr>
              <w:t>9</w:t>
            </w:r>
          </w:p>
        </w:tc>
        <w:tc>
          <w:tcPr>
            <w:tcW w:type="dxa" w:w="1757"/>
          </w:tcPr>
          <w:p>
            <w:r>
              <w:rPr>
                <w:sz w:val="16"/>
              </w:rPr>
              <w:t>Commercially available (NGK, ONEJOON) and validated for NMC CAM at higher temperatures [SRC-ED-009, SRC-ED-010, SRC-ED-023]</w:t>
            </w:r>
          </w:p>
        </w:tc>
        <w:tc>
          <w:tcPr>
            <w:tcW w:type="dxa" w:w="1757"/>
          </w:tcPr>
          <w:p>
            <w:r>
              <w:rPr>
                <w:sz w:val="16"/>
              </w:rPr>
              <w:t>Validation with LFP-specific chemistry; atmosphere (N2/pO2 &lt;10 ppm) qualification</w:t>
            </w:r>
          </w:p>
        </w:tc>
      </w:tr>
      <w:tr>
        <w:tc>
          <w:tcPr>
            <w:tcW w:type="dxa" w:w="1757"/>
          </w:tcPr>
          <w:p>
            <w:r>
              <w:rPr>
                <w:sz w:val="16"/>
              </w:rPr>
              <w:t>T5</w:t>
            </w:r>
          </w:p>
        </w:tc>
        <w:tc>
          <w:tcPr>
            <w:tcW w:type="dxa" w:w="1757"/>
          </w:tcPr>
          <w:p>
            <w:r>
              <w:rPr>
                <w:sz w:val="16"/>
              </w:rPr>
              <w:t>DT for CAM synthesis</w:t>
            </w:r>
          </w:p>
        </w:tc>
        <w:tc>
          <w:tcPr>
            <w:tcW w:type="dxa" w:w="1757"/>
          </w:tcPr>
          <w:p>
            <w:r>
              <w:rPr>
                <w:sz w:val="16"/>
              </w:rPr>
              <w:t>3-4</w:t>
            </w:r>
          </w:p>
        </w:tc>
        <w:tc>
          <w:tcPr>
            <w:tcW w:type="dxa" w:w="1757"/>
          </w:tcPr>
          <w:p>
            <w:r>
              <w:rPr>
                <w:sz w:val="16"/>
              </w:rPr>
              <w:t>6-7</w:t>
            </w:r>
          </w:p>
        </w:tc>
        <w:tc>
          <w:tcPr>
            <w:tcW w:type="dxa" w:w="1757"/>
          </w:tcPr>
          <w:p>
            <w:r>
              <w:rPr>
                <w:sz w:val="16"/>
              </w:rPr>
              <w:t>Individual physics-based models validated: ARTISTIC (electrode DT [SRC-004]), TwinHeat (furnace DT), Ma et al. (sintering model [SRC-014]); no integrated LFP CAM DT exists [CLM-005]</w:t>
            </w:r>
          </w:p>
        </w:tc>
        <w:tc>
          <w:tcPr>
            <w:tcW w:type="dxa" w:w="1757"/>
          </w:tcPr>
          <w:p>
            <w:r>
              <w:rPr>
                <w:sz w:val="16"/>
              </w:rPr>
              <w:t>Model integration; sensor fusion; closed-loop MPC commissioning; industrial validation</w:t>
            </w:r>
          </w:p>
        </w:tc>
      </w:tr>
      <w:tr>
        <w:tc>
          <w:tcPr>
            <w:tcW w:type="dxa" w:w="1757"/>
          </w:tcPr>
          <w:p>
            <w:r>
              <w:rPr>
                <w:sz w:val="16"/>
              </w:rPr>
              <w:t>T6</w:t>
            </w:r>
          </w:p>
        </w:tc>
        <w:tc>
          <w:tcPr>
            <w:tcW w:type="dxa" w:w="1757"/>
          </w:tcPr>
          <w:p>
            <w:r>
              <w:rPr>
                <w:sz w:val="16"/>
              </w:rPr>
              <w:t>ISO 23247 for powder manufacturing</w:t>
            </w:r>
          </w:p>
        </w:tc>
        <w:tc>
          <w:tcPr>
            <w:tcW w:type="dxa" w:w="1757"/>
          </w:tcPr>
          <w:p>
            <w:r>
              <w:rPr>
                <w:sz w:val="16"/>
              </w:rPr>
              <w:t>3</w:t>
            </w:r>
          </w:p>
        </w:tc>
        <w:tc>
          <w:tcPr>
            <w:tcW w:type="dxa" w:w="1757"/>
          </w:tcPr>
          <w:p>
            <w:r>
              <w:rPr>
                <w:sz w:val="16"/>
              </w:rPr>
              <w:t>6</w:t>
            </w:r>
          </w:p>
        </w:tc>
        <w:tc>
          <w:tcPr>
            <w:tcW w:type="dxa" w:w="1757"/>
          </w:tcPr>
          <w:p>
            <w:r>
              <w:rPr>
                <w:sz w:val="16"/>
              </w:rPr>
              <w:t>Standard defined and validated for discrete manufacturing [SRC-007, SRC-009, SRC-010, CLM-008]; not applied to chemical powder processes</w:t>
            </w:r>
          </w:p>
        </w:tc>
        <w:tc>
          <w:tcPr>
            <w:tcW w:type="dxa" w:w="1757"/>
          </w:tcPr>
          <w:p>
            <w:r>
              <w:rPr>
                <w:sz w:val="16"/>
              </w:rPr>
              <w:t>Extend standard to chemical/powder domain; validate data exchange; demonstrate real-time capability</w:t>
            </w:r>
          </w:p>
        </w:tc>
      </w:tr>
      <w:tr>
        <w:tc>
          <w:tcPr>
            <w:tcW w:type="dxa" w:w="1757"/>
          </w:tcPr>
          <w:p>
            <w:r>
              <w:rPr>
                <w:sz w:val="16"/>
              </w:rPr>
              <w:t>T7</w:t>
            </w:r>
          </w:p>
        </w:tc>
        <w:tc>
          <w:tcPr>
            <w:tcW w:type="dxa" w:w="1757"/>
          </w:tcPr>
          <w:p>
            <w:r>
              <w:rPr>
                <w:sz w:val="16"/>
              </w:rPr>
              <w:t>PAT/QbD for LFP</w:t>
            </w:r>
          </w:p>
        </w:tc>
        <w:tc>
          <w:tcPr>
            <w:tcW w:type="dxa" w:w="1757"/>
          </w:tcPr>
          <w:p>
            <w:r>
              <w:rPr>
                <w:sz w:val="16"/>
              </w:rPr>
              <w:t>4</w:t>
            </w:r>
          </w:p>
        </w:tc>
        <w:tc>
          <w:tcPr>
            <w:tcW w:type="dxa" w:w="1757"/>
          </w:tcPr>
          <w:p>
            <w:r>
              <w:rPr>
                <w:sz w:val="16"/>
              </w:rPr>
              <w:t>7</w:t>
            </w:r>
          </w:p>
        </w:tc>
        <w:tc>
          <w:tcPr>
            <w:tcW w:type="dxa" w:w="1757"/>
          </w:tcPr>
          <w:p>
            <w:r>
              <w:rPr>
                <w:sz w:val="16"/>
              </w:rPr>
              <w:t>Pharmaceutical PAT mature (ICH Q8-Q11); individual sensors proven; CQA-CPP mapping documented [SRC-DT-REPORT]; not demonstrated for LFP CAM</w:t>
            </w:r>
          </w:p>
        </w:tc>
        <w:tc>
          <w:tcPr>
            <w:tcW w:type="dxa" w:w="1757"/>
          </w:tcPr>
          <w:p>
            <w:r>
              <w:rPr>
                <w:sz w:val="16"/>
              </w:rPr>
              <w:t>Formal CQA-CPP validation with production data; design space establishment; RTRT implementation</w:t>
            </w:r>
          </w:p>
        </w:tc>
      </w:tr>
      <w:tr>
        <w:tc>
          <w:tcPr>
            <w:tcW w:type="dxa" w:w="1757"/>
          </w:tcPr>
          <w:p>
            <w:r>
              <w:rPr>
                <w:sz w:val="16"/>
              </w:rPr>
              <w:t>T8</w:t>
            </w:r>
          </w:p>
        </w:tc>
        <w:tc>
          <w:tcPr>
            <w:tcW w:type="dxa" w:w="1757"/>
          </w:tcPr>
          <w:p>
            <w:r>
              <w:rPr>
                <w:sz w:val="16"/>
              </w:rPr>
              <w:t>Integrated plant (all components)</w:t>
            </w:r>
          </w:p>
        </w:tc>
        <w:tc>
          <w:tcPr>
            <w:tcW w:type="dxa" w:w="1757"/>
          </w:tcPr>
          <w:p>
            <w:r>
              <w:rPr>
                <w:sz w:val="16"/>
              </w:rPr>
              <w:t>4</w:t>
            </w:r>
          </w:p>
        </w:tc>
        <w:tc>
          <w:tcPr>
            <w:tcW w:type="dxa" w:w="1757"/>
          </w:tcPr>
          <w:p>
            <w:r>
              <w:rPr>
                <w:sz w:val="16"/>
              </w:rPr>
              <w:t>7</w:t>
            </w:r>
          </w:p>
        </w:tc>
        <w:tc>
          <w:tcPr>
            <w:tcW w:type="dxa" w:w="1757"/>
          </w:tcPr>
          <w:p>
            <w:r>
              <w:rPr>
                <w:sz w:val="16"/>
              </w:rPr>
              <w:t>Novel combination of T1-T7; no integrated electrified LFP CAM plant with DT exists globally</w:t>
            </w:r>
          </w:p>
        </w:tc>
        <w:tc>
          <w:tcPr>
            <w:tcW w:type="dxa" w:w="1757"/>
          </w:tcPr>
          <w:p>
            <w:r>
              <w:rPr>
                <w:sz w:val="16"/>
              </w:rPr>
              <w:t>System integration; commissioning; performance validation</w:t>
            </w:r>
          </w:p>
        </w:tc>
      </w:tr>
    </w:tbl>
    <w:p>
      <w:r>
        <w:rPr>
          <w:sz w:val="18"/>
        </w:rPr>
        <w:t>The composite starting TRL of 4 (for the integrated system) reflects the Innovation Fund's definition: individual components are demonstrated in laboratory or relevant environment, but the integrated system has not been validated in an operational environment. The target TRL of 7-9 (component-dependent) represents validated system performance in an operational environment, achieved through the project's phased commissioning programme.</w:t>
      </w:r>
    </w:p>
    <w:p>
      <w:pPr>
        <w:pStyle w:val="Heading3"/>
      </w:pPr>
      <w:r>
        <w:t>6.6 Process Flow Description</w:t>
      </w:r>
    </w:p>
    <w:p>
      <w:r>
        <w:rPr>
          <w:sz w:val="18"/>
        </w:rPr>
        <w:t xml:space="preserve">The following describes each of the seven process steps in technical detail. </w:t>
      </w:r>
      <w:r>
        <w:rPr>
          <w:i/>
          <w:sz w:val="18"/>
        </w:rPr>
        <w:t>See Figure 2 in the Word document for the annotated process flow diagram.</w:t>
      </w:r>
    </w:p>
    <w:p>
      <w:pPr>
        <w:pStyle w:val="Heading4"/>
      </w:pPr>
      <w:r>
        <w:t>Step 1: Raw Material Dosing and Dispersion</w:t>
      </w:r>
    </w:p>
    <w:p>
      <w:r>
        <w:rPr>
          <w:b/>
          <w:sz w:val="18"/>
        </w:rPr>
        <w:t>Inputs</w:t>
      </w:r>
      <w:r>
        <w:rPr>
          <w:sz w:val="18"/>
        </w:rPr>
        <w:t>: Iron phosphate (FePO4, powder), lithium carbonate (Li2CO3, powder), glucose (C6H12O6, powder or solution), deionised water.</w:t>
      </w:r>
    </w:p>
    <w:p>
      <w:r>
        <w:rPr>
          <w:b/>
          <w:sz w:val="18"/>
        </w:rPr>
        <w:t>Operation</w:t>
      </w:r>
      <w:r>
        <w:rPr>
          <w:sz w:val="18"/>
        </w:rPr>
        <w:t xml:space="preserve">: The three solid precursors are gravimetrically dosed from dedicated silos using loss-in-weight feeders (+/-0.1% accuracy) into a stirred dispersion tank filled with deionised water. The stoichiometric target is Li:Fe:P = 1.00:1.00:1.00 (molar), with a deliberate lithium excess of 2-5 mol% to compensate for lithium volatilisation during calcination </w:t>
      </w:r>
      <w:r>
        <w:rPr>
          <w:color w:val="0066CC"/>
          <w:sz w:val="16"/>
        </w:rPr>
        <w:t>[SRC-011]</w:t>
      </w:r>
      <w:r>
        <w:rPr>
          <w:sz w:val="18"/>
        </w:rPr>
        <w:t xml:space="preserve">. Glucose loading is 5-15 wt% relative to total solid content, providing the carbon precursor for in-situ carbon coating during the calcination step </w:t>
      </w:r>
      <w:r>
        <w:rPr>
          <w:color w:val="0066CC"/>
          <w:sz w:val="16"/>
        </w:rPr>
        <w:t>[CLM-020]</w:t>
      </w:r>
      <w:r>
        <w:rPr>
          <w:sz w:val="18"/>
        </w:rPr>
        <w:t>. The resulting aqueous slurry (30-45 wt% solids) is homogenised by high-shear mixing (typically 15-30 minutes).</w:t>
      </w:r>
    </w:p>
    <w:p>
      <w:r>
        <w:rPr>
          <w:b/>
          <w:sz w:val="18"/>
        </w:rPr>
        <w:t>Key process parameters</w:t>
      </w:r>
      <w:r>
        <w:rPr>
          <w:sz w:val="18"/>
        </w:rPr>
        <w:t>: Li:Fe:P molar ratio (CPP); glucose wt% (CPP); slurry solid content (CPP); mixing time and speed.</w:t>
      </w:r>
    </w:p>
    <w:p>
      <w:r>
        <w:rPr>
          <w:b/>
          <w:sz w:val="18"/>
        </w:rPr>
        <w:t>DT integration</w:t>
      </w:r>
      <w:r>
        <w:rPr>
          <w:sz w:val="18"/>
        </w:rPr>
        <w:t>: Loss-in-weight feeder data is logged in real-time via OPC-UA to the DT. The stoichiometry calculator validates the molar ratios against target specifications. Deviation triggers an automatic alert and dosing correction.</w:t>
      </w:r>
    </w:p>
    <w:p>
      <w:r>
        <w:rPr>
          <w:b/>
          <w:sz w:val="18"/>
        </w:rPr>
        <w:t>Outputs</w:t>
      </w:r>
      <w:r>
        <w:rPr>
          <w:sz w:val="18"/>
        </w:rPr>
        <w:t>: Homogeneous aqueous slurry of LFP precursors + glucose.</w:t>
      </w:r>
    </w:p>
    <w:p>
      <w:pPr>
        <w:pStyle w:val="Heading4"/>
      </w:pPr>
      <w:r>
        <w:t>Step 2: Bead Milling and Magnetic Particle Removal</w:t>
      </w:r>
    </w:p>
    <w:p>
      <w:r>
        <w:rPr>
          <w:b/>
          <w:sz w:val="18"/>
        </w:rPr>
        <w:t>Inputs</w:t>
      </w:r>
      <w:r>
        <w:rPr>
          <w:sz w:val="18"/>
        </w:rPr>
        <w:t>: Precursor slurry from Step 1.</w:t>
      </w:r>
    </w:p>
    <w:p>
      <w:r>
        <w:rPr>
          <w:b/>
          <w:sz w:val="18"/>
        </w:rPr>
        <w:t>Operation</w:t>
      </w:r>
      <w:r>
        <w:rPr>
          <w:sz w:val="18"/>
        </w:rPr>
        <w:t>: The slurry is pumped through a horizontal bead mill (bead mill) containing zirconia (ZrO2) grinding beads (0.3-0.5 mm diameter). The mill provides high-energy mixing and particle size reduction, achieving intimate contact between precursor particles and reducing D50 to &lt;5 um. The milled slurry is recirculated until the target particle size is confirmed by at-line laser diffraction. Following milling, the slurry passes through an electromagnetic demagnetiser to remove ferromagnetic contaminants (primarily iron wear particles from mill internals and bead fragments). Magnetic contamination above 0.1 ppm Fe metallic is a critical defect -- ferromagnetic particles can cause internal short circuits in finished battery cells.</w:t>
      </w:r>
    </w:p>
    <w:p>
      <w:r>
        <w:rPr>
          <w:b/>
          <w:sz w:val="18"/>
        </w:rPr>
        <w:t>Key process parameters</w:t>
      </w:r>
      <w:r>
        <w:rPr>
          <w:sz w:val="18"/>
        </w:rPr>
        <w:t>: Mill tip speed; bead loading; number of passes; residence time.</w:t>
      </w:r>
    </w:p>
    <w:p>
      <w:r>
        <w:rPr>
          <w:b/>
          <w:sz w:val="18"/>
        </w:rPr>
        <w:t>DT integration</w:t>
      </w:r>
      <w:r>
        <w:rPr>
          <w:sz w:val="18"/>
        </w:rPr>
        <w:t>: FBRM (Focused Beam Reflectance Measurement) probe provides in-line chord length distribution at 2-second update rate. The DT's population balance model (PBM) predicts D50 evolution and estimates milling endpoint. Laser diffraction provides at-line validation.</w:t>
      </w:r>
    </w:p>
    <w:p>
      <w:r>
        <w:rPr>
          <w:b/>
          <w:sz w:val="18"/>
        </w:rPr>
        <w:t>Outputs</w:t>
      </w:r>
      <w:r>
        <w:rPr>
          <w:sz w:val="18"/>
        </w:rPr>
        <w:t>: Finely milled slurry (D50 &lt;5 um) with magnetic contaminants removed.</w:t>
      </w:r>
    </w:p>
    <w:p>
      <w:pPr>
        <w:pStyle w:val="Heading4"/>
      </w:pPr>
      <w:r>
        <w:t>Step 3: Spray Drying (ELECTRIFIED)</w:t>
      </w:r>
    </w:p>
    <w:p>
      <w:r>
        <w:rPr>
          <w:b/>
          <w:sz w:val="18"/>
        </w:rPr>
        <w:t>Inputs</w:t>
      </w:r>
      <w:r>
        <w:rPr>
          <w:sz w:val="18"/>
        </w:rPr>
        <w:t>: Milled slurry from Step 2; electrically heated process air.</w:t>
      </w:r>
    </w:p>
    <w:p>
      <w:r>
        <w:rPr>
          <w:b/>
          <w:sz w:val="18"/>
        </w:rPr>
        <w:t>Operation</w:t>
      </w:r>
      <w:r>
        <w:rPr>
          <w:sz w:val="18"/>
        </w:rPr>
        <w:t>: The slurry is atomised (rotary atomiser or pressure nozzle) into a co-current spray dryer with electrically heated inlet air at 200-250 C. The outlet air temperature is controlled at 90-120 C. Water evaporates from the droplets, producing dry, free-flowing spherical secondary particles (typical D50 20-80 um for spray-dried granules) comprising intimately mixed LFP precursors with uniformly distributed glucose.</w:t>
      </w:r>
    </w:p>
    <w:p>
      <w:r>
        <w:rPr>
          <w:sz w:val="18"/>
        </w:rPr>
        <w:t xml:space="preserve">The spray dryer uses electric resistance heaters (Kanthal Tubothal or SiC elements, rated to 1,100 C </w:t>
      </w:r>
      <w:r>
        <w:rPr>
          <w:color w:val="0066CC"/>
          <w:sz w:val="16"/>
        </w:rPr>
        <w:t>[SRC-ED-009]</w:t>
      </w:r>
      <w:r>
        <w:rPr>
          <w:sz w:val="18"/>
        </w:rPr>
        <w:t xml:space="preserve">) for inlet air heating. Electric heating provides +/-1 C temperature control precision versus +/-5-10 C for gas burners </w:t>
      </w:r>
      <w:r>
        <w:rPr>
          <w:color w:val="0066CC"/>
          <w:sz w:val="16"/>
        </w:rPr>
        <w:t>[SRC-ED-018]</w:t>
      </w:r>
      <w:r>
        <w:rPr>
          <w:sz w:val="18"/>
        </w:rPr>
        <w:t>, which directly improves batch-to-batch reproducibility of dried particle properties.</w:t>
      </w:r>
    </w:p>
    <w:p>
      <w:r>
        <w:rPr>
          <w:b/>
          <w:sz w:val="18"/>
        </w:rPr>
        <w:t>HTHP integration (Phase 2)</w:t>
      </w:r>
      <w:r>
        <w:rPr>
          <w:sz w:val="18"/>
        </w:rPr>
        <w:t xml:space="preserve">: A high-temperature heat pump pre-heats the inlet air to 120-200 C (COP 3.04-3.6 </w:t>
      </w:r>
      <w:r>
        <w:rPr>
          <w:color w:val="0066CC"/>
          <w:sz w:val="16"/>
        </w:rPr>
        <w:t>[SRC-ED-004, SRC-ED-005]</w:t>
      </w:r>
      <w:r>
        <w:rPr>
          <w:sz w:val="18"/>
        </w:rPr>
        <w:t>), with electric resistance providing the final temperature boost to 200-250 C. This reduces electricity consumption for spray drying by 30-50% compared to resistance-only heating. Initial plant design uses resistance heating only, with HTHP integration as a retrofit upgrade.</w:t>
      </w:r>
    </w:p>
    <w:p>
      <w:r>
        <w:rPr>
          <w:sz w:val="18"/>
        </w:rPr>
        <w:t xml:space="preserve">Specific thermal energy demand: ~0.70-1.10 kWh per kg of water evaporated, based on Italian ceramics industry data for comparable spray dryers </w:t>
      </w:r>
      <w:r>
        <w:rPr>
          <w:color w:val="0066CC"/>
          <w:sz w:val="16"/>
        </w:rPr>
        <w:t>[SRC-ED-021]</w:t>
      </w:r>
      <w:r>
        <w:rPr>
          <w:sz w:val="18"/>
        </w:rPr>
        <w:t>.</w:t>
      </w:r>
    </w:p>
    <w:p>
      <w:r>
        <w:rPr>
          <w:b/>
          <w:sz w:val="18"/>
        </w:rPr>
        <w:t>Key process parameters</w:t>
      </w:r>
      <w:r>
        <w:rPr>
          <w:sz w:val="18"/>
        </w:rPr>
        <w:t>: Inlet temperature (CPP); outlet temperature (CPP); feed rate (CPP); atomiser speed (CPP); air flow rate.</w:t>
      </w:r>
    </w:p>
    <w:p>
      <w:r>
        <w:rPr>
          <w:b/>
          <w:sz w:val="18"/>
        </w:rPr>
        <w:t>DT integration</w:t>
      </w:r>
      <w:r>
        <w:rPr>
          <w:sz w:val="18"/>
        </w:rPr>
        <w:t>: Temperature mapping via thermocouples and IR camera at dryer inlet/outlet; humidity sensor for outlet air moisture; product collection rate monitoring. The DT spray drying model predicts dried particle properties (D50, morphology, residual moisture) from current operating conditions and adjusts inlet temperature and feed rate via MPC.</w:t>
      </w:r>
    </w:p>
    <w:p>
      <w:r>
        <w:rPr>
          <w:b/>
          <w:sz w:val="18"/>
        </w:rPr>
        <w:t>Outputs</w:t>
      </w:r>
      <w:r>
        <w:rPr>
          <w:sz w:val="18"/>
        </w:rPr>
        <w:t>: Dry, free-flowing precursor powder (spherical granules, residual moisture &lt;2 wt%).</w:t>
      </w:r>
    </w:p>
    <w:p>
      <w:pPr>
        <w:pStyle w:val="Heading4"/>
      </w:pPr>
      <w:r>
        <w:t>Step 4: Calcination (ELECTRIFIED -- Key Innovation Step)</w:t>
      </w:r>
    </w:p>
    <w:p>
      <w:r>
        <w:rPr>
          <w:b/>
          <w:sz w:val="18"/>
        </w:rPr>
        <w:t>Inputs</w:t>
      </w:r>
      <w:r>
        <w:rPr>
          <w:sz w:val="18"/>
        </w:rPr>
        <w:t>: Dried precursor powder from Step 3; nitrogen gas (&gt;99.99% purity).</w:t>
      </w:r>
    </w:p>
    <w:p>
      <w:r>
        <w:rPr>
          <w:b/>
          <w:sz w:val="18"/>
        </w:rPr>
        <w:t>Operation</w:t>
      </w:r>
      <w:r>
        <w:rPr>
          <w:sz w:val="18"/>
        </w:rPr>
        <w:t>: The dried precursor powder is loaded into refractory crucibles (alumina or graphite-lined) and introduced into the electric roller hearth kiln via an automated external rail system. The kiln operates under flowing nitrogen atmosphere (pO2 &lt;10 ppm) with a multi-zone temperature profile:</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108"/>
          </w:tcPr>
          <w:p>
            <w:r>
              <w:rPr>
                <w:b/>
                <w:sz w:val="16"/>
              </w:rPr>
              <w:t>Temperature Zone</w:t>
            </w:r>
          </w:p>
        </w:tc>
        <w:tc>
          <w:tcPr>
            <w:tcW w:type="dxa" w:w="2108"/>
          </w:tcPr>
          <w:p>
            <w:r>
              <w:rPr>
                <w:b/>
                <w:sz w:val="16"/>
              </w:rPr>
              <w:t>Range</w:t>
            </w:r>
          </w:p>
        </w:tc>
        <w:tc>
          <w:tcPr>
            <w:tcW w:type="dxa" w:w="2108"/>
          </w:tcPr>
          <w:p>
            <w:r>
              <w:rPr>
                <w:b/>
                <w:sz w:val="16"/>
              </w:rPr>
              <w:t>Duration</w:t>
            </w:r>
          </w:p>
        </w:tc>
        <w:tc>
          <w:tcPr>
            <w:tcW w:type="dxa" w:w="2108"/>
          </w:tcPr>
          <w:p>
            <w:r>
              <w:rPr>
                <w:b/>
                <w:sz w:val="16"/>
              </w:rPr>
              <w:t>Chemical Process</w:t>
            </w:r>
          </w:p>
        </w:tc>
        <w:tc>
          <w:tcPr>
            <w:tcW w:type="dxa" w:w="2108"/>
          </w:tcPr>
          <w:p>
            <w:r>
              <w:rPr>
                <w:b/>
                <w:sz w:val="16"/>
              </w:rPr>
              <w:t>Activation Energy</w:t>
            </w:r>
          </w:p>
        </w:tc>
      </w:tr>
      <w:tr>
        <w:tc>
          <w:tcPr>
            <w:tcW w:type="dxa" w:w="2108"/>
          </w:tcPr>
          <w:p>
            <w:r>
              <w:rPr>
                <w:sz w:val="16"/>
              </w:rPr>
              <w:t>Ramp-up</w:t>
            </w:r>
          </w:p>
        </w:tc>
        <w:tc>
          <w:tcPr>
            <w:tcW w:type="dxa" w:w="2108"/>
          </w:tcPr>
          <w:p>
            <w:r>
              <w:rPr>
                <w:sz w:val="16"/>
              </w:rPr>
              <w:t>RT to 200 C</w:t>
            </w:r>
          </w:p>
        </w:tc>
        <w:tc>
          <w:tcPr>
            <w:tcW w:type="dxa" w:w="2108"/>
          </w:tcPr>
          <w:p>
            <w:r>
              <w:rPr>
                <w:sz w:val="16"/>
              </w:rPr>
              <w:t>~1 h</w:t>
            </w:r>
          </w:p>
        </w:tc>
        <w:tc>
          <w:tcPr>
            <w:tcW w:type="dxa" w:w="2108"/>
          </w:tcPr>
          <w:p>
            <w:r>
              <w:rPr>
                <w:sz w:val="16"/>
              </w:rPr>
              <w:t>Moisture removal</w:t>
            </w:r>
          </w:p>
        </w:tc>
        <w:tc>
          <w:tcPr>
            <w:tcW w:type="dxa" w:w="2108"/>
          </w:tcPr>
          <w:p>
            <w:r>
              <w:rPr>
                <w:sz w:val="16"/>
              </w:rPr>
              <w:t>--</w:t>
            </w:r>
          </w:p>
        </w:tc>
      </w:tr>
      <w:tr>
        <w:tc>
          <w:tcPr>
            <w:tcW w:type="dxa" w:w="2108"/>
          </w:tcPr>
          <w:p>
            <w:r>
              <w:rPr>
                <w:sz w:val="16"/>
              </w:rPr>
              <w:t>Decomposition</w:t>
            </w:r>
          </w:p>
        </w:tc>
        <w:tc>
          <w:tcPr>
            <w:tcW w:type="dxa" w:w="2108"/>
          </w:tcPr>
          <w:p>
            <w:r>
              <w:rPr>
                <w:sz w:val="16"/>
              </w:rPr>
              <w:t>200-400 C</w:t>
            </w:r>
          </w:p>
        </w:tc>
        <w:tc>
          <w:tcPr>
            <w:tcW w:type="dxa" w:w="2108"/>
          </w:tcPr>
          <w:p>
            <w:r>
              <w:rPr>
                <w:sz w:val="16"/>
              </w:rPr>
              <w:t>~2 h</w:t>
            </w:r>
          </w:p>
        </w:tc>
        <w:tc>
          <w:tcPr>
            <w:tcW w:type="dxa" w:w="2108"/>
          </w:tcPr>
          <w:p>
            <w:r>
              <w:rPr>
                <w:sz w:val="16"/>
              </w:rPr>
              <w:t>Glucose pyrolysis; amorphous carbon formation</w:t>
            </w:r>
          </w:p>
        </w:tc>
        <w:tc>
          <w:tcPr>
            <w:tcW w:type="dxa" w:w="2108"/>
          </w:tcPr>
          <w:p>
            <w:r>
              <w:rPr>
                <w:sz w:val="16"/>
              </w:rPr>
              <w:t>65-90 kJ/mol</w:t>
            </w:r>
          </w:p>
        </w:tc>
      </w:tr>
      <w:tr>
        <w:tc>
          <w:tcPr>
            <w:tcW w:type="dxa" w:w="2108"/>
          </w:tcPr>
          <w:p>
            <w:r>
              <w:rPr>
                <w:sz w:val="16"/>
              </w:rPr>
              <w:t>Carbothermal reduction</w:t>
            </w:r>
          </w:p>
        </w:tc>
        <w:tc>
          <w:tcPr>
            <w:tcW w:type="dxa" w:w="2108"/>
          </w:tcPr>
          <w:p>
            <w:r>
              <w:rPr>
                <w:sz w:val="16"/>
              </w:rPr>
              <w:t>400-550 C</w:t>
            </w:r>
          </w:p>
        </w:tc>
        <w:tc>
          <w:tcPr>
            <w:tcW w:type="dxa" w:w="2108"/>
          </w:tcPr>
          <w:p>
            <w:r>
              <w:rPr>
                <w:sz w:val="16"/>
              </w:rPr>
              <w:t>~2 h</w:t>
            </w:r>
          </w:p>
        </w:tc>
        <w:tc>
          <w:tcPr>
            <w:tcW w:type="dxa" w:w="2108"/>
          </w:tcPr>
          <w:p>
            <w:r>
              <w:rPr>
                <w:sz w:val="16"/>
              </w:rPr>
              <w:t>Fe3+ reduced to Fe2+ by carbon; intermediate phases form (Li3Fe2(PO4)3, Fe2O3)</w:t>
            </w:r>
          </w:p>
        </w:tc>
        <w:tc>
          <w:tcPr>
            <w:tcW w:type="dxa" w:w="2108"/>
          </w:tcPr>
          <w:p>
            <w:r>
              <w:rPr>
                <w:sz w:val="16"/>
              </w:rPr>
              <w:t>90-120 kJ/mol</w:t>
            </w:r>
          </w:p>
        </w:tc>
      </w:tr>
      <w:tr>
        <w:tc>
          <w:tcPr>
            <w:tcW w:type="dxa" w:w="2108"/>
          </w:tcPr>
          <w:p>
            <w:r>
              <w:rPr>
                <w:sz w:val="16"/>
              </w:rPr>
              <w:t>Olivine crystallisation</w:t>
            </w:r>
          </w:p>
        </w:tc>
        <w:tc>
          <w:tcPr>
            <w:tcW w:type="dxa" w:w="2108"/>
          </w:tcPr>
          <w:p>
            <w:r>
              <w:rPr>
                <w:sz w:val="16"/>
              </w:rPr>
              <w:t>550-700 C</w:t>
            </w:r>
          </w:p>
        </w:tc>
        <w:tc>
          <w:tcPr>
            <w:tcW w:type="dxa" w:w="2108"/>
          </w:tcPr>
          <w:p>
            <w:r>
              <w:rPr>
                <w:sz w:val="16"/>
              </w:rPr>
              <w:t>4-8 h (main dwell)</w:t>
            </w:r>
          </w:p>
        </w:tc>
        <w:tc>
          <w:tcPr>
            <w:tcW w:type="dxa" w:w="2108"/>
          </w:tcPr>
          <w:p>
            <w:r>
              <w:rPr>
                <w:sz w:val="16"/>
              </w:rPr>
              <w:t>Nucleation and growth of LiFePO4 olivine phase (Jander/Avrami kinetics)</w:t>
            </w:r>
          </w:p>
        </w:tc>
        <w:tc>
          <w:tcPr>
            <w:tcW w:type="dxa" w:w="2108"/>
          </w:tcPr>
          <w:p>
            <w:r>
              <w:rPr>
                <w:sz w:val="16"/>
              </w:rPr>
              <w:t>120-180 kJ/mol</w:t>
            </w:r>
          </w:p>
        </w:tc>
      </w:tr>
      <w:tr>
        <w:tc>
          <w:tcPr>
            <w:tcW w:type="dxa" w:w="2108"/>
          </w:tcPr>
          <w:p>
            <w:r>
              <w:rPr>
                <w:sz w:val="16"/>
              </w:rPr>
              <w:t>Carbon coating consolidation</w:t>
            </w:r>
          </w:p>
        </w:tc>
        <w:tc>
          <w:tcPr>
            <w:tcW w:type="dxa" w:w="2108"/>
          </w:tcPr>
          <w:p>
            <w:r>
              <w:rPr>
                <w:sz w:val="16"/>
              </w:rPr>
              <w:t>700-800 C</w:t>
            </w:r>
          </w:p>
        </w:tc>
        <w:tc>
          <w:tcPr>
            <w:tcW w:type="dxa" w:w="2108"/>
          </w:tcPr>
          <w:p>
            <w:r>
              <w:rPr>
                <w:sz w:val="16"/>
              </w:rPr>
              <w:t>Concurrent with above</w:t>
            </w:r>
          </w:p>
        </w:tc>
        <w:tc>
          <w:tcPr>
            <w:tcW w:type="dxa" w:w="2108"/>
          </w:tcPr>
          <w:p>
            <w:r>
              <w:rPr>
                <w:sz w:val="16"/>
              </w:rPr>
              <w:t>Residual carbon forms 2-5 nm conductive coating on LFP particles</w:t>
            </w:r>
          </w:p>
        </w:tc>
        <w:tc>
          <w:tcPr>
            <w:tcW w:type="dxa" w:w="2108"/>
          </w:tcPr>
          <w:p>
            <w:r>
              <w:rPr>
                <w:sz w:val="16"/>
              </w:rPr>
              <w:t>--</w:t>
            </w:r>
          </w:p>
        </w:tc>
      </w:tr>
      <w:tr>
        <w:tc>
          <w:tcPr>
            <w:tcW w:type="dxa" w:w="2108"/>
          </w:tcPr>
          <w:p>
            <w:r>
              <w:rPr>
                <w:sz w:val="16"/>
              </w:rPr>
              <w:t>Controlled cooling</w:t>
            </w:r>
          </w:p>
        </w:tc>
        <w:tc>
          <w:tcPr>
            <w:tcW w:type="dxa" w:w="2108"/>
          </w:tcPr>
          <w:p>
            <w:r>
              <w:rPr>
                <w:sz w:val="16"/>
              </w:rPr>
              <w:t>700 C to RT</w:t>
            </w:r>
          </w:p>
        </w:tc>
        <w:tc>
          <w:tcPr>
            <w:tcW w:type="dxa" w:w="2108"/>
          </w:tcPr>
          <w:p>
            <w:r>
              <w:rPr>
                <w:sz w:val="16"/>
              </w:rPr>
              <w:t>~4 h</w:t>
            </w:r>
          </w:p>
        </w:tc>
        <w:tc>
          <w:tcPr>
            <w:tcW w:type="dxa" w:w="2108"/>
          </w:tcPr>
          <w:p>
            <w:r>
              <w:rPr>
                <w:sz w:val="16"/>
              </w:rPr>
              <w:t>Slow cooling to avoid thermal stress cracking; maintained under N2</w:t>
            </w:r>
          </w:p>
        </w:tc>
        <w:tc>
          <w:tcPr>
            <w:tcW w:type="dxa" w:w="2108"/>
          </w:tcPr>
          <w:p>
            <w:r>
              <w:rPr>
                <w:sz w:val="16"/>
              </w:rPr>
              <w:t>--</w:t>
            </w:r>
          </w:p>
        </w:tc>
      </w:tr>
    </w:tbl>
    <w:p>
      <w:r>
        <w:rPr>
          <w:color w:val="0066CC"/>
          <w:sz w:val="16"/>
        </w:rPr>
        <w:t>[CLM-020, SRC-011, SRC-DT-REPORT]</w:t>
      </w:r>
    </w:p>
    <w:p>
      <w:r>
        <w:rPr>
          <w:sz w:val="18"/>
        </w:rPr>
        <w:t xml:space="preserve">The electric roller hearth kiln achieves 95% thermal efficiency versus 25-60% for gas-fired kilns </w:t>
      </w:r>
      <w:r>
        <w:rPr>
          <w:color w:val="0066CC"/>
          <w:sz w:val="16"/>
        </w:rPr>
        <w:t>[CLM-023, SRC-ED-009]</w:t>
      </w:r>
      <w:r>
        <w:rPr>
          <w:sz w:val="18"/>
        </w:rPr>
        <w:t>. Multi-zone independent PID temperature control with Kanthal SiC or Tubothal heating elements enables precise temperature profile shaping compatible with DT-driven MPC optimisation. The absence of combustion gases simplifies atmosphere control -- in a gas-fired kiln, combustion products (H2O, CO2, trace O2) contaminate the N2 atmosphere, making strict pO2 control more challenging.</w:t>
      </w:r>
    </w:p>
    <w:p>
      <w:r>
        <w:rPr>
          <w:b/>
          <w:sz w:val="18"/>
        </w:rPr>
        <w:t>Critical process control requirements</w:t>
      </w:r>
      <w:r>
        <w:rPr>
          <w:sz w:val="18"/>
        </w:rPr>
        <w:t>:</w:t>
      </w:r>
    </w:p>
    <w:p>
      <w:pPr>
        <w:pStyle w:val="ListBullet"/>
      </w:pPr>
      <w:r>
        <w:rPr>
          <w:sz w:val="18"/>
        </w:rPr>
        <w:t>pO2 must remain &lt;10 ppm throughout calcination to prevent Fe2+ surface oxidation to Fe3+, which degrades electronic conductivity and electrochemical capacity</w:t>
      </w:r>
    </w:p>
    <w:p>
      <w:pPr>
        <w:pStyle w:val="ListBullet"/>
      </w:pPr>
      <w:r>
        <w:rPr>
          <w:sz w:val="18"/>
        </w:rPr>
        <w:t>Temperature must not exceed ~750 C to avoid formation of impurity phases (Li3PO4, Fe2P)</w:t>
      </w:r>
    </w:p>
    <w:p>
      <w:pPr>
        <w:pStyle w:val="ListBullet"/>
      </w:pPr>
      <w:r>
        <w:rPr>
          <w:sz w:val="18"/>
        </w:rPr>
        <w:t>Cooling rate must be controlled to prevent thermal stress-induced particle cracking</w:t>
      </w:r>
    </w:p>
    <w:p>
      <w:r>
        <w:rPr>
          <w:b/>
          <w:sz w:val="18"/>
        </w:rPr>
        <w:t>Key process parameters</w:t>
      </w:r>
      <w:r>
        <w:rPr>
          <w:sz w:val="18"/>
        </w:rPr>
        <w:t>: Temperature profile (CPP -- zone-by-zone setpoints); N2 flow rate (CPP); pO2 level (CPP); dwell time at peak temperature (CPP); cooling rate (CPP).</w:t>
      </w:r>
    </w:p>
    <w:p>
      <w:r>
        <w:rPr>
          <w:b/>
          <w:sz w:val="18"/>
        </w:rPr>
        <w:t>DT integration</w:t>
      </w:r>
      <w:r>
        <w:rPr>
          <w:sz w:val="18"/>
        </w:rPr>
        <w:t xml:space="preserve">: This is the highest-value DT intervention point. Sensor suite includes: Type K/S thermocouples (contact, +/-1.5 C), ratio pyrometers (non-contact, +/-0.5%), IR cameras (full-field 2D thermal mapping), zirconia O2 sensors (&lt;10 ppm resolution), NDIR analysers for CO2/CO/CH4 evolved gas analysis </w:t>
      </w:r>
      <w:r>
        <w:rPr>
          <w:color w:val="0066CC"/>
          <w:sz w:val="16"/>
        </w:rPr>
        <w:t>[SRC-DT-REPORT]</w:t>
      </w:r>
      <w:r>
        <w:rPr>
          <w:sz w:val="18"/>
        </w:rPr>
        <w:t>. The DT core runs a CFD-calibrated thermal model combined with multi-step reaction kinetics (Jander/Avrami) to predict olivine conversion, impurity formation, and carbon coating quality in real-time. MPC optimises the temperature profile to minimise energy consumption while maintaining CQA targets within the validated design space.</w:t>
      </w:r>
    </w:p>
    <w:p>
      <w:r>
        <w:rPr>
          <w:sz w:val="18"/>
        </w:rPr>
        <w:t>Post-calcination at-line analysis: Raman spectroscopy (olivine phase at 950 cm-1, carbon D/G ratio, impurity phases), XRD (phase purity by Rietveld refinement), XRF (elemental composition verification).</w:t>
      </w:r>
    </w:p>
    <w:p>
      <w:r>
        <w:rPr>
          <w:b/>
          <w:sz w:val="18"/>
        </w:rPr>
        <w:t>Outputs</w:t>
      </w:r>
      <w:r>
        <w:rPr>
          <w:sz w:val="18"/>
        </w:rPr>
        <w:t>: Calcined LFP/C powder with target phase purity &gt;98% olivine, carbon content 1.0-1.8 wt%.</w:t>
      </w:r>
    </w:p>
    <w:p>
      <w:pPr>
        <w:pStyle w:val="Heading4"/>
      </w:pPr>
      <w:r>
        <w:t>Step 5: Jet Milling</w:t>
      </w:r>
    </w:p>
    <w:p>
      <w:r>
        <w:rPr>
          <w:b/>
          <w:sz w:val="18"/>
        </w:rPr>
        <w:t>Inputs</w:t>
      </w:r>
      <w:r>
        <w:rPr>
          <w:sz w:val="18"/>
        </w:rPr>
        <w:t>: Calcined LFP/C powder from Step 4.</w:t>
      </w:r>
    </w:p>
    <w:p>
      <w:r>
        <w:rPr>
          <w:b/>
          <w:sz w:val="18"/>
        </w:rPr>
        <w:t>Operation</w:t>
      </w:r>
      <w:r>
        <w:rPr>
          <w:sz w:val="18"/>
        </w:rPr>
        <w:t>: The calcined product consists of sintered agglomerates that must be de-agglomerated to the final target particle size (D50 0.7-2.5 um). A compressed gas jet mill (nitrogen or air) achieves high-velocity interparticle collisions that break agglomerates while preserving the olivine crystal structure and carbon coating integrity. The built-in classifier ensures only particles below the target D90 exit the mill.</w:t>
      </w:r>
    </w:p>
    <w:p>
      <w:r>
        <w:rPr>
          <w:b/>
          <w:sz w:val="18"/>
        </w:rPr>
        <w:t>Key process parameters</w:t>
      </w:r>
      <w:r>
        <w:rPr>
          <w:sz w:val="18"/>
        </w:rPr>
        <w:t>: Grinding gas pressure (CPP); classifier speed (CPP); feed rate.</w:t>
      </w:r>
    </w:p>
    <w:p>
      <w:r>
        <w:rPr>
          <w:b/>
          <w:sz w:val="18"/>
        </w:rPr>
        <w:t>DT integration</w:t>
      </w:r>
      <w:r>
        <w:rPr>
          <w:sz w:val="18"/>
        </w:rPr>
        <w:t>: The DT's DEM (Discrete Element Method) model predicts particle breakage kinetics and final PSD from milling energy and classifier settings. FBRM provides in-line chord length distribution; laser diffraction provides at-line D10/D50/D90 validation.</w:t>
      </w:r>
    </w:p>
    <w:p>
      <w:r>
        <w:rPr>
          <w:b/>
          <w:sz w:val="18"/>
        </w:rPr>
        <w:t>Outputs</w:t>
      </w:r>
      <w:r>
        <w:rPr>
          <w:sz w:val="18"/>
        </w:rPr>
        <w:t>: De-agglomerated LFP/C powder (D50 0.7-2.5 um).</w:t>
      </w:r>
    </w:p>
    <w:p>
      <w:pPr>
        <w:pStyle w:val="Heading4"/>
      </w:pPr>
      <w:r>
        <w:t>Step 6: Ultrasonic Sieving and Demagnetisation</w:t>
      </w:r>
    </w:p>
    <w:p>
      <w:r>
        <w:rPr>
          <w:b/>
          <w:sz w:val="18"/>
        </w:rPr>
        <w:t>Inputs</w:t>
      </w:r>
      <w:r>
        <w:rPr>
          <w:sz w:val="18"/>
        </w:rPr>
        <w:t>: Milled LFP/C powder from Step 5.</w:t>
      </w:r>
    </w:p>
    <w:p>
      <w:r>
        <w:rPr>
          <w:b/>
          <w:sz w:val="18"/>
        </w:rPr>
        <w:t>Operation</w:t>
      </w:r>
      <w:r>
        <w:rPr>
          <w:sz w:val="18"/>
        </w:rPr>
        <w:t>: The powder passes through an ultrasonic vibrating sieve (cut-off 10-20 um) to remove oversized particles and any residual agglomerates. Subsequently, an electromagnetic dry powder separator removes ferromagnetic contaminants potentially introduced during milling. The final D50, span, and magnetic contamination level are verified by at-line measurements.</w:t>
      </w:r>
    </w:p>
    <w:p>
      <w:r>
        <w:rPr>
          <w:b/>
          <w:sz w:val="18"/>
        </w:rPr>
        <w:t>Key process parameters</w:t>
      </w:r>
      <w:r>
        <w:rPr>
          <w:sz w:val="18"/>
        </w:rPr>
        <w:t>: Sieve aperture; ultrasonic frequency/amplitude; magnetic field strength.</w:t>
      </w:r>
    </w:p>
    <w:p>
      <w:r>
        <w:rPr>
          <w:b/>
          <w:sz w:val="18"/>
        </w:rPr>
        <w:t>DT integration</w:t>
      </w:r>
      <w:r>
        <w:rPr>
          <w:sz w:val="18"/>
        </w:rPr>
        <w:t>: At-line laser diffraction and magnetic susceptibility measurements feed into the DT for batch disposition decision.</w:t>
      </w:r>
    </w:p>
    <w:p>
      <w:r>
        <w:rPr>
          <w:b/>
          <w:sz w:val="18"/>
        </w:rPr>
        <w:t>Outputs</w:t>
      </w:r>
      <w:r>
        <w:rPr>
          <w:sz w:val="18"/>
        </w:rPr>
        <w:t>: Classified, demagnetised LFP/C powder meeting final PSD and purity specifications.</w:t>
      </w:r>
    </w:p>
    <w:p>
      <w:pPr>
        <w:pStyle w:val="Heading4"/>
      </w:pPr>
      <w:r>
        <w:t>Step 7: Automated Packaging</w:t>
      </w:r>
    </w:p>
    <w:p>
      <w:r>
        <w:rPr>
          <w:b/>
          <w:sz w:val="18"/>
        </w:rPr>
        <w:t>Inputs</w:t>
      </w:r>
      <w:r>
        <w:rPr>
          <w:sz w:val="18"/>
        </w:rPr>
        <w:t>: Qualified LFP/C powder from Step 6.</w:t>
      </w:r>
    </w:p>
    <w:p>
      <w:r>
        <w:rPr>
          <w:b/>
          <w:sz w:val="18"/>
        </w:rPr>
        <w:t>Operation</w:t>
      </w:r>
      <w:r>
        <w:rPr>
          <w:sz w:val="18"/>
        </w:rPr>
        <w:t>: Product is automatically weighed and packaged under nitrogen atmosphere (N2 blanketing) in multi-layer moisture-barrier bags. Each bag is sealed, labelled with lot number and QR code, and palletised. Full batch traceability is maintained -- the DT records all process parameters, sensor data, and quality test results against the lot number, forming the basis for Battery Passport data.</w:t>
      </w:r>
    </w:p>
    <w:p>
      <w:r>
        <w:rPr>
          <w:b/>
          <w:sz w:val="18"/>
        </w:rPr>
        <w:t>Key process parameters</w:t>
      </w:r>
      <w:r>
        <w:rPr>
          <w:sz w:val="18"/>
        </w:rPr>
        <w:t>: Package weight; N2 blanket purity; seal integrity.</w:t>
      </w:r>
    </w:p>
    <w:p>
      <w:r>
        <w:rPr>
          <w:b/>
          <w:sz w:val="18"/>
        </w:rPr>
        <w:t>DT integration</w:t>
      </w:r>
      <w:r>
        <w:rPr>
          <w:sz w:val="18"/>
        </w:rPr>
        <w:t>: Final batch quality report generated automatically. DT compares all CQA measurements against specifications and issues pass/fail disposition. All data archived in time-series database for Battery Passport compliance.</w:t>
      </w:r>
    </w:p>
    <w:p>
      <w:r>
        <w:rPr>
          <w:b/>
          <w:sz w:val="18"/>
        </w:rPr>
        <w:t>Outputs</w:t>
      </w:r>
      <w:r>
        <w:rPr>
          <w:sz w:val="18"/>
        </w:rPr>
        <w:t>: Packaged, qualified battery-grade LiFePO4/C cathode active material.</w:t>
      </w:r>
    </w:p>
    <w:p>
      <w:pPr>
        <w:pStyle w:val="Heading3"/>
      </w:pPr>
      <w:r>
        <w:t>6.7 Mass and Energy Balances</w:t>
      </w:r>
    </w:p>
    <w:p>
      <w:pPr>
        <w:pStyle w:val="Heading4"/>
      </w:pPr>
      <w:r>
        <w:t>6.7.1 Mass Balance (per tonne of LFP CAM product)</w:t>
      </w:r>
    </w:p>
    <w:p>
      <w:r>
        <w:rPr>
          <w:sz w:val="18"/>
        </w:rPr>
        <w:t>The solid-state synthesis reaction can be summarised as:</w:t>
      </w:r>
    </w:p>
    <w:p>
      <w:r>
        <w:rPr>
          <w:sz w:val="18"/>
        </w:rPr>
        <w:t>LiFePO4 formation: Li2CO3 + 2 FePO4 + C6H12O6 -&gt; 2 LiFePO4/C + CO2 + H2O (simplified)</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Input</w:t>
            </w:r>
          </w:p>
        </w:tc>
        <w:tc>
          <w:tcPr>
            <w:tcW w:type="dxa" w:w="3513"/>
          </w:tcPr>
          <w:p>
            <w:r>
              <w:rPr>
                <w:b/>
                <w:sz w:val="16"/>
              </w:rPr>
              <w:t>Quantity (per t LFP CAM)</w:t>
            </w:r>
          </w:p>
        </w:tc>
        <w:tc>
          <w:tcPr>
            <w:tcW w:type="dxa" w:w="3513"/>
          </w:tcPr>
          <w:p>
            <w:r>
              <w:rPr>
                <w:b/>
                <w:sz w:val="16"/>
              </w:rPr>
              <w:t>Notes</w:t>
            </w:r>
          </w:p>
        </w:tc>
      </w:tr>
      <w:tr>
        <w:tc>
          <w:tcPr>
            <w:tcW w:type="dxa" w:w="3513"/>
          </w:tcPr>
          <w:p>
            <w:r>
              <w:rPr>
                <w:sz w:val="16"/>
              </w:rPr>
              <w:t>FePO4 (iron phosphate)</w:t>
            </w:r>
          </w:p>
        </w:tc>
        <w:tc>
          <w:tcPr>
            <w:tcW w:type="dxa" w:w="3513"/>
          </w:tcPr>
          <w:p>
            <w:r>
              <w:rPr>
                <w:sz w:val="16"/>
              </w:rPr>
              <w:t>980 kg</w:t>
            </w:r>
          </w:p>
        </w:tc>
        <w:tc>
          <w:tcPr>
            <w:tcW w:type="dxa" w:w="3513"/>
          </w:tcPr>
          <w:p>
            <w:r>
              <w:rPr>
                <w:sz w:val="16"/>
              </w:rPr>
              <w:t>Per production document</w:t>
            </w:r>
          </w:p>
        </w:tc>
      </w:tr>
      <w:tr>
        <w:tc>
          <w:tcPr>
            <w:tcW w:type="dxa" w:w="3513"/>
          </w:tcPr>
          <w:p>
            <w:r>
              <w:rPr>
                <w:sz w:val="16"/>
              </w:rPr>
              <w:t>Li2CO3 (lithium carbonate)</w:t>
            </w:r>
          </w:p>
        </w:tc>
        <w:tc>
          <w:tcPr>
            <w:tcW w:type="dxa" w:w="3513"/>
          </w:tcPr>
          <w:p>
            <w:r>
              <w:rPr>
                <w:sz w:val="16"/>
              </w:rPr>
              <w:t>250 kg</w:t>
            </w:r>
          </w:p>
        </w:tc>
        <w:tc>
          <w:tcPr>
            <w:tcW w:type="dxa" w:w="3513"/>
          </w:tcPr>
          <w:p>
            <w:r>
              <w:rPr>
                <w:sz w:val="16"/>
              </w:rPr>
              <w:t>Per production document</w:t>
            </w:r>
          </w:p>
        </w:tc>
      </w:tr>
      <w:tr>
        <w:tc>
          <w:tcPr>
            <w:tcW w:type="dxa" w:w="3513"/>
          </w:tcPr>
          <w:p>
            <w:r>
              <w:rPr>
                <w:sz w:val="16"/>
              </w:rPr>
              <w:t>Glucose (C6H12O6)</w:t>
            </w:r>
          </w:p>
        </w:tc>
        <w:tc>
          <w:tcPr>
            <w:tcW w:type="dxa" w:w="3513"/>
          </w:tcPr>
          <w:p>
            <w:r>
              <w:rPr>
                <w:sz w:val="16"/>
              </w:rPr>
              <w:t>10 kg</w:t>
            </w:r>
          </w:p>
        </w:tc>
        <w:tc>
          <w:tcPr>
            <w:tcW w:type="dxa" w:w="3513"/>
          </w:tcPr>
          <w:p>
            <w:r>
              <w:rPr>
                <w:sz w:val="16"/>
              </w:rPr>
              <w:t>Per production document; carbon source for in-situ coating</w:t>
            </w:r>
          </w:p>
        </w:tc>
      </w:tr>
      <w:tr>
        <w:tc>
          <w:tcPr>
            <w:tcW w:type="dxa" w:w="3513"/>
          </w:tcPr>
          <w:p>
            <w:r>
              <w:rPr>
                <w:sz w:val="16"/>
              </w:rPr>
              <w:t>TiO2</w:t>
            </w:r>
          </w:p>
        </w:tc>
        <w:tc>
          <w:tcPr>
            <w:tcW w:type="dxa" w:w="3513"/>
          </w:tcPr>
          <w:p>
            <w:r>
              <w:rPr>
                <w:sz w:val="16"/>
              </w:rPr>
              <w:t>8 kg</w:t>
            </w:r>
          </w:p>
        </w:tc>
        <w:tc>
          <w:tcPr>
            <w:tcW w:type="dxa" w:w="3513"/>
          </w:tcPr>
          <w:p>
            <w:r>
              <w:rPr>
                <w:sz w:val="16"/>
              </w:rPr>
              <w:t>Per production document; doping/coating additive</w:t>
            </w:r>
          </w:p>
        </w:tc>
      </w:tr>
      <w:tr>
        <w:tc>
          <w:tcPr>
            <w:tcW w:type="dxa" w:w="3513"/>
          </w:tcPr>
          <w:p>
            <w:r>
              <w:rPr>
                <w:sz w:val="16"/>
              </w:rPr>
              <w:t>H3PO4</w:t>
            </w:r>
          </w:p>
        </w:tc>
        <w:tc>
          <w:tcPr>
            <w:tcW w:type="dxa" w:w="3513"/>
          </w:tcPr>
          <w:p>
            <w:r>
              <w:rPr>
                <w:sz w:val="16"/>
              </w:rPr>
              <w:t>6 kg</w:t>
            </w:r>
          </w:p>
        </w:tc>
        <w:tc>
          <w:tcPr>
            <w:tcW w:type="dxa" w:w="3513"/>
          </w:tcPr>
          <w:p>
            <w:r>
              <w:rPr>
                <w:sz w:val="16"/>
              </w:rPr>
              <w:t>Per production document; supplementary phosphorus source</w:t>
            </w:r>
          </w:p>
        </w:tc>
      </w:tr>
      <w:tr>
        <w:tc>
          <w:tcPr>
            <w:tcW w:type="dxa" w:w="3513"/>
          </w:tcPr>
          <w:p>
            <w:r>
              <w:rPr>
                <w:sz w:val="16"/>
              </w:rPr>
              <w:t>Production water</w:t>
            </w:r>
          </w:p>
        </w:tc>
        <w:tc>
          <w:tcPr>
            <w:tcW w:type="dxa" w:w="3513"/>
          </w:tcPr>
          <w:p>
            <w:r>
              <w:rPr>
                <w:sz w:val="16"/>
              </w:rPr>
              <w:t>4,000 L (4 t)</w:t>
            </w:r>
          </w:p>
        </w:tc>
        <w:tc>
          <w:tcPr>
            <w:tcW w:type="dxa" w:w="3513"/>
          </w:tcPr>
          <w:p>
            <w:r>
              <w:rPr>
                <w:sz w:val="16"/>
              </w:rPr>
              <w:t>Per production document; partially recovered from spray dryer condensate</w:t>
            </w:r>
          </w:p>
        </w:tc>
      </w:tr>
      <w:tr>
        <w:tc>
          <w:tcPr>
            <w:tcW w:type="dxa" w:w="3513"/>
          </w:tcPr>
          <w:p>
            <w:r>
              <w:rPr>
                <w:sz w:val="16"/>
              </w:rPr>
              <w:t>Pure water</w:t>
            </w:r>
          </w:p>
        </w:tc>
        <w:tc>
          <w:tcPr>
            <w:tcW w:type="dxa" w:w="3513"/>
          </w:tcPr>
          <w:p>
            <w:r>
              <w:rPr>
                <w:sz w:val="16"/>
              </w:rPr>
              <w:t>5,000 L (5 t)</w:t>
            </w:r>
          </w:p>
        </w:tc>
        <w:tc>
          <w:tcPr>
            <w:tcW w:type="dxa" w:w="3513"/>
          </w:tcPr>
          <w:p>
            <w:r>
              <w:rPr>
                <w:sz w:val="16"/>
              </w:rPr>
              <w:t>Per production document; high-purity process applications</w:t>
            </w:r>
          </w:p>
        </w:tc>
      </w:tr>
      <w:tr>
        <w:tc>
          <w:tcPr>
            <w:tcW w:type="dxa" w:w="3513"/>
          </w:tcPr>
          <w:p>
            <w:r>
              <w:rPr>
                <w:sz w:val="16"/>
              </w:rPr>
              <w:t>Nitrogen gas</w:t>
            </w:r>
          </w:p>
        </w:tc>
        <w:tc>
          <w:tcPr>
            <w:tcW w:type="dxa" w:w="3513"/>
          </w:tcPr>
          <w:p>
            <w:r>
              <w:rPr>
                <w:sz w:val="16"/>
              </w:rPr>
              <w:t>850 m3</w:t>
            </w:r>
          </w:p>
        </w:tc>
        <w:tc>
          <w:tcPr>
            <w:tcW w:type="dxa" w:w="3513"/>
          </w:tcPr>
          <w:p>
            <w:r>
              <w:rPr>
                <w:sz w:val="16"/>
              </w:rPr>
              <w:t>Per production document; calcination atmosphere; partially recycled</w:t>
            </w:r>
          </w:p>
        </w:tc>
      </w:tr>
      <w:tr>
        <w:tc>
          <w:tcPr>
            <w:tcW w:type="dxa" w:w="3513"/>
          </w:tcPr>
          <w:p>
            <w:r>
              <w:rPr>
                <w:sz w:val="16"/>
              </w:rPr>
              <w:t>Electricity</w:t>
            </w:r>
          </w:p>
        </w:tc>
        <w:tc>
          <w:tcPr>
            <w:tcW w:type="dxa" w:w="3513"/>
          </w:tcPr>
          <w:p>
            <w:r>
              <w:rPr>
                <w:sz w:val="16"/>
              </w:rPr>
              <w:t>3,580 kWh</w:t>
            </w:r>
          </w:p>
        </w:tc>
        <w:tc>
          <w:tcPr>
            <w:tcW w:type="dxa" w:w="3513"/>
          </w:tcPr>
          <w:p>
            <w:r>
              <w:rPr>
                <w:sz w:val="16"/>
              </w:rPr>
              <w:t>Per production document</w:t>
            </w:r>
          </w:p>
        </w:tc>
      </w:tr>
      <w:tr>
        <w:tc>
          <w:tcPr>
            <w:tcW w:type="dxa" w:w="3513"/>
          </w:tcPr>
          <w:p>
            <w:r>
              <w:rPr>
                <w:sz w:val="16"/>
              </w:rPr>
              <w:t>Natural gas</w:t>
            </w:r>
          </w:p>
        </w:tc>
        <w:tc>
          <w:tcPr>
            <w:tcW w:type="dxa" w:w="3513"/>
          </w:tcPr>
          <w:p>
            <w:r>
              <w:rPr>
                <w:sz w:val="16"/>
              </w:rPr>
              <w:t>189 m3</w:t>
            </w:r>
          </w:p>
        </w:tc>
        <w:tc>
          <w:tcPr>
            <w:tcW w:type="dxa" w:w="3513"/>
          </w:tcPr>
          <w:p>
            <w:r>
              <w:rPr>
                <w:sz w:val="16"/>
              </w:rPr>
              <w:t>Per production document; auxiliary heating (progressive electrification)</w:t>
            </w:r>
          </w:p>
        </w:tc>
      </w:tr>
    </w:tbl>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Output</w:t>
            </w:r>
          </w:p>
        </w:tc>
        <w:tc>
          <w:tcPr>
            <w:tcW w:type="dxa" w:w="3513"/>
          </w:tcPr>
          <w:p>
            <w:r>
              <w:rPr>
                <w:b/>
                <w:sz w:val="16"/>
              </w:rPr>
              <w:t>Quantity (per t LFP CAM)</w:t>
            </w:r>
          </w:p>
        </w:tc>
        <w:tc>
          <w:tcPr>
            <w:tcW w:type="dxa" w:w="3513"/>
          </w:tcPr>
          <w:p>
            <w:r>
              <w:rPr>
                <w:b/>
                <w:sz w:val="16"/>
              </w:rPr>
              <w:t>Notes</w:t>
            </w:r>
          </w:p>
        </w:tc>
      </w:tr>
      <w:tr>
        <w:tc>
          <w:tcPr>
            <w:tcW w:type="dxa" w:w="3513"/>
          </w:tcPr>
          <w:p>
            <w:r>
              <w:rPr>
                <w:sz w:val="16"/>
              </w:rPr>
              <w:t>LiFePO4/C product</w:t>
            </w:r>
          </w:p>
        </w:tc>
        <w:tc>
          <w:tcPr>
            <w:tcW w:type="dxa" w:w="3513"/>
          </w:tcPr>
          <w:p>
            <w:r>
              <w:rPr>
                <w:sz w:val="16"/>
              </w:rPr>
              <w:t>1,000 kg</w:t>
            </w:r>
          </w:p>
        </w:tc>
        <w:tc>
          <w:tcPr>
            <w:tcW w:type="dxa" w:w="3513"/>
          </w:tcPr>
          <w:p>
            <w:r>
              <w:rPr>
                <w:sz w:val="16"/>
              </w:rPr>
              <w:t>Battery-grade, packaged</w:t>
            </w:r>
          </w:p>
        </w:tc>
      </w:tr>
      <w:tr>
        <w:tc>
          <w:tcPr>
            <w:tcW w:type="dxa" w:w="3513"/>
          </w:tcPr>
          <w:p>
            <w:r>
              <w:rPr>
                <w:sz w:val="16"/>
              </w:rPr>
              <w:t>CO2 (from Li2CO3 decomposition)</w:t>
            </w:r>
          </w:p>
        </w:tc>
        <w:tc>
          <w:tcPr>
            <w:tcW w:type="dxa" w:w="3513"/>
          </w:tcPr>
          <w:p>
            <w:r>
              <w:rPr>
                <w:sz w:val="16"/>
              </w:rPr>
              <w:t>~280 kg</w:t>
            </w:r>
          </w:p>
        </w:tc>
        <w:tc>
          <w:tcPr>
            <w:tcW w:type="dxa" w:w="3513"/>
          </w:tcPr>
          <w:p>
            <w:r>
              <w:rPr>
                <w:sz w:val="16"/>
              </w:rPr>
              <w:t>Process CO2; stoichiometric from carbonate</w:t>
            </w:r>
          </w:p>
        </w:tc>
      </w:tr>
      <w:tr>
        <w:tc>
          <w:tcPr>
            <w:tcW w:type="dxa" w:w="3513"/>
          </w:tcPr>
          <w:p>
            <w:r>
              <w:rPr>
                <w:sz w:val="16"/>
              </w:rPr>
              <w:t>CO2/H2O (from glucose pyrolysis)</w:t>
            </w:r>
          </w:p>
        </w:tc>
        <w:tc>
          <w:tcPr>
            <w:tcW w:type="dxa" w:w="3513"/>
          </w:tcPr>
          <w:p>
            <w:r>
              <w:rPr>
                <w:sz w:val="16"/>
              </w:rPr>
              <w:t>~50-100 kg</w:t>
            </w:r>
          </w:p>
        </w:tc>
        <w:tc>
          <w:tcPr>
            <w:tcW w:type="dxa" w:w="3513"/>
          </w:tcPr>
          <w:p>
            <w:r>
              <w:rPr>
                <w:sz w:val="16"/>
              </w:rPr>
              <w:t>Volatile products captured in off-gas treatment</w:t>
            </w:r>
          </w:p>
        </w:tc>
      </w:tr>
      <w:tr>
        <w:tc>
          <w:tcPr>
            <w:tcW w:type="dxa" w:w="3513"/>
          </w:tcPr>
          <w:p>
            <w:r>
              <w:rPr>
                <w:sz w:val="16"/>
              </w:rPr>
              <w:t>Water vapour (from spray drying)</w:t>
            </w:r>
          </w:p>
        </w:tc>
        <w:tc>
          <w:tcPr>
            <w:tcW w:type="dxa" w:w="3513"/>
          </w:tcPr>
          <w:p>
            <w:r>
              <w:rPr>
                <w:sz w:val="16"/>
              </w:rPr>
              <w:t>~4,000-5,000 kg</w:t>
            </w:r>
          </w:p>
        </w:tc>
        <w:tc>
          <w:tcPr>
            <w:tcW w:type="dxa" w:w="3513"/>
          </w:tcPr>
          <w:p>
            <w:r>
              <w:rPr>
                <w:sz w:val="16"/>
              </w:rPr>
              <w:t>Partially recovered from spray dryer condensate</w:t>
            </w:r>
          </w:p>
        </w:tc>
      </w:tr>
      <w:tr>
        <w:tc>
          <w:tcPr>
            <w:tcW w:type="dxa" w:w="3513"/>
          </w:tcPr>
          <w:p>
            <w:r>
              <w:rPr>
                <w:sz w:val="16"/>
              </w:rPr>
              <w:t>Off-spec product</w:t>
            </w:r>
          </w:p>
        </w:tc>
        <w:tc>
          <w:tcPr>
            <w:tcW w:type="dxa" w:w="3513"/>
          </w:tcPr>
          <w:p>
            <w:r>
              <w:rPr>
                <w:sz w:val="16"/>
              </w:rPr>
              <w:t>&lt;50 kg (&lt;5%)</w:t>
            </w:r>
          </w:p>
        </w:tc>
        <w:tc>
          <w:tcPr>
            <w:tcW w:type="dxa" w:w="3513"/>
          </w:tcPr>
          <w:p>
            <w:r>
              <w:rPr>
                <w:sz w:val="16"/>
              </w:rPr>
              <w:t>Recycled to precursor stage</w:t>
            </w:r>
          </w:p>
        </w:tc>
      </w:tr>
      <w:tr>
        <w:tc>
          <w:tcPr>
            <w:tcW w:type="dxa" w:w="3513"/>
          </w:tcPr>
          <w:p>
            <w:r>
              <w:rPr>
                <w:sz w:val="16"/>
              </w:rPr>
              <w:t>Spent grinding media</w:t>
            </w:r>
          </w:p>
        </w:tc>
        <w:tc>
          <w:tcPr>
            <w:tcW w:type="dxa" w:w="3513"/>
          </w:tcPr>
          <w:p>
            <w:r>
              <w:rPr>
                <w:sz w:val="16"/>
              </w:rPr>
              <w:t>Negligible (replaced periodically)</w:t>
            </w:r>
          </w:p>
        </w:tc>
        <w:tc>
          <w:tcPr>
            <w:tcW w:type="dxa" w:w="3513"/>
          </w:tcPr>
          <w:p>
            <w:r>
              <w:rPr>
                <w:sz w:val="16"/>
              </w:rPr>
              <w:t>ZrO2 beads; metal recycling</w:t>
            </w:r>
          </w:p>
        </w:tc>
      </w:tr>
    </w:tbl>
    <w:p>
      <w:r>
        <w:rPr>
          <w:sz w:val="18"/>
        </w:rPr>
        <w:t>Product yield: &gt;95% (Li and Fe-P basis), with primary mass losses from CO2 evolution during carbonate decomposition and volatile organic evolution during glucose pyrolysis.</w:t>
      </w:r>
    </w:p>
    <w:p>
      <w:pPr>
        <w:pStyle w:val="Heading4"/>
      </w:pPr>
      <w:r>
        <w:t>6.7.2 Energy Balance (per tonne of LFP CAM product)</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Process Step</w:t>
            </w:r>
          </w:p>
        </w:tc>
        <w:tc>
          <w:tcPr>
            <w:tcW w:type="dxa" w:w="2635"/>
          </w:tcPr>
          <w:p>
            <w:r>
              <w:rPr>
                <w:b/>
                <w:sz w:val="16"/>
              </w:rPr>
              <w:t>Gas-Fired Reference (kWh_thermal)</w:t>
            </w:r>
          </w:p>
        </w:tc>
        <w:tc>
          <w:tcPr>
            <w:tcW w:type="dxa" w:w="2635"/>
          </w:tcPr>
          <w:p>
            <w:r>
              <w:rPr>
                <w:b/>
                <w:sz w:val="16"/>
              </w:rPr>
              <w:t>FACE (Progressive Electrification)</w:t>
            </w:r>
          </w:p>
        </w:tc>
        <w:tc>
          <w:tcPr>
            <w:tcW w:type="dxa" w:w="2635"/>
          </w:tcPr>
          <w:p>
            <w:r>
              <w:rPr>
                <w:b/>
                <w:sz w:val="16"/>
              </w:rPr>
              <w:t>Source</w:t>
            </w:r>
          </w:p>
        </w:tc>
      </w:tr>
      <w:tr>
        <w:tc>
          <w:tcPr>
            <w:tcW w:type="dxa" w:w="2635"/>
          </w:tcPr>
          <w:p>
            <w:r>
              <w:rPr>
                <w:sz w:val="16"/>
              </w:rPr>
              <w:t>Spray drying</w:t>
            </w:r>
          </w:p>
        </w:tc>
        <w:tc>
          <w:tcPr>
            <w:tcW w:type="dxa" w:w="2635"/>
          </w:tcPr>
          <w:p>
            <w:r>
              <w:rPr>
                <w:sz w:val="16"/>
              </w:rPr>
              <w:t>~800-1,200 kWh_th (gas)</w:t>
            </w:r>
          </w:p>
        </w:tc>
        <w:tc>
          <w:tcPr>
            <w:tcW w:type="dxa" w:w="2635"/>
          </w:tcPr>
          <w:p>
            <w:r>
              <w:rPr>
                <w:sz w:val="16"/>
              </w:rPr>
              <w:t>Electric resistance primary + limited gas auxiliary</w:t>
            </w:r>
          </w:p>
        </w:tc>
        <w:tc>
          <w:tcPr>
            <w:tcW w:type="dxa" w:w="2635"/>
          </w:tcPr>
          <w:p>
            <w:r>
              <w:rPr>
                <w:sz w:val="16"/>
              </w:rPr>
              <w:t>[SRC-ED-001, SRC-ED-005, SRC-ED-021]</w:t>
            </w:r>
          </w:p>
        </w:tc>
      </w:tr>
      <w:tr>
        <w:tc>
          <w:tcPr>
            <w:tcW w:type="dxa" w:w="2635"/>
          </w:tcPr>
          <w:p>
            <w:r>
              <w:rPr>
                <w:sz w:val="16"/>
              </w:rPr>
              <w:t>Calcination</w:t>
            </w:r>
          </w:p>
        </w:tc>
        <w:tc>
          <w:tcPr>
            <w:tcW w:type="dxa" w:w="2635"/>
          </w:tcPr>
          <w:p>
            <w:r>
              <w:rPr>
                <w:sz w:val="16"/>
              </w:rPr>
              <w:t>~1,500-2,500 kWh_th (gas, at 25-60% efficiency)</w:t>
            </w:r>
          </w:p>
        </w:tc>
        <w:tc>
          <w:tcPr>
            <w:tcW w:type="dxa" w:w="2635"/>
          </w:tcPr>
          <w:p>
            <w:r>
              <w:rPr>
                <w:sz w:val="16"/>
              </w:rPr>
              <w:t>Electric roller hearth kiln primary + limited gas auxiliary; calcination in saggars under N2</w:t>
            </w:r>
          </w:p>
        </w:tc>
        <w:tc>
          <w:tcPr>
            <w:tcW w:type="dxa" w:w="2635"/>
          </w:tcPr>
          <w:p>
            <w:r>
              <w:rPr>
                <w:sz w:val="16"/>
              </w:rPr>
              <w:t>[CLM-023, SRC-ED-009, SRC-ED-010]</w:t>
            </w:r>
          </w:p>
        </w:tc>
      </w:tr>
      <w:tr>
        <w:tc>
          <w:tcPr>
            <w:tcW w:type="dxa" w:w="2635"/>
          </w:tcPr>
          <w:p>
            <w:r>
              <w:rPr>
                <w:sz w:val="16"/>
              </w:rPr>
              <w:t>Milling (sand + jet)</w:t>
            </w:r>
          </w:p>
        </w:tc>
        <w:tc>
          <w:tcPr>
            <w:tcW w:type="dxa" w:w="2635"/>
          </w:tcPr>
          <w:p>
            <w:r>
              <w:rPr>
                <w:sz w:val="16"/>
              </w:rPr>
              <w:t>~200-400 kWh_e</w:t>
            </w:r>
          </w:p>
        </w:tc>
        <w:tc>
          <w:tcPr>
            <w:tcW w:type="dxa" w:w="2635"/>
          </w:tcPr>
          <w:p>
            <w:r>
              <w:rPr>
                <w:sz w:val="16"/>
              </w:rPr>
              <w:t>~200-400 kWh_e (same; electric in both cases)</w:t>
            </w:r>
          </w:p>
        </w:tc>
        <w:tc>
          <w:tcPr>
            <w:tcW w:type="dxa" w:w="2635"/>
          </w:tcPr>
          <w:p>
            <w:r>
              <w:rPr>
                <w:sz w:val="16"/>
              </w:rPr>
              <w:t>--</w:t>
            </w:r>
          </w:p>
        </w:tc>
      </w:tr>
      <w:tr>
        <w:tc>
          <w:tcPr>
            <w:tcW w:type="dxa" w:w="2635"/>
          </w:tcPr>
          <w:p>
            <w:r>
              <w:rPr>
                <w:sz w:val="16"/>
              </w:rPr>
              <w:t>Auxiliaries (mixing, conveying, packaging, HVAC, water treatment)</w:t>
            </w:r>
          </w:p>
        </w:tc>
        <w:tc>
          <w:tcPr>
            <w:tcW w:type="dxa" w:w="2635"/>
          </w:tcPr>
          <w:p>
            <w:r>
              <w:rPr>
                <w:sz w:val="16"/>
              </w:rPr>
              <w:t>~200-400 kWh</w:t>
            </w:r>
          </w:p>
        </w:tc>
        <w:tc>
          <w:tcPr>
            <w:tcW w:type="dxa" w:w="2635"/>
          </w:tcPr>
          <w:p>
            <w:r>
              <w:rPr>
                <w:sz w:val="16"/>
              </w:rPr>
              <w:t>~200-400 kWh_e (same)</w:t>
            </w:r>
          </w:p>
        </w:tc>
        <w:tc>
          <w:tcPr>
            <w:tcW w:type="dxa" w:w="2635"/>
          </w:tcPr>
          <w:p>
            <w:r>
              <w:rPr>
                <w:sz w:val="16"/>
              </w:rPr>
              <w:t>--</w:t>
            </w:r>
          </w:p>
        </w:tc>
      </w:tr>
      <w:tr>
        <w:tc>
          <w:tcPr>
            <w:tcW w:type="dxa" w:w="2635"/>
          </w:tcPr>
          <w:p>
            <w:r>
              <w:rPr>
                <w:sz w:val="16"/>
              </w:rPr>
              <w:t>**Total (measured)**</w:t>
            </w:r>
          </w:p>
        </w:tc>
        <w:tc>
          <w:tcPr>
            <w:tcW w:type="dxa" w:w="2635"/>
          </w:tcPr>
          <w:p>
            <w:r>
              <w:rPr>
                <w:sz w:val="16"/>
              </w:rPr>
              <w:t>**~2,700-4,500 kWh/t** (gas thermal + electric)</w:t>
            </w:r>
          </w:p>
        </w:tc>
        <w:tc>
          <w:tcPr>
            <w:tcW w:type="dxa" w:w="2635"/>
          </w:tcPr>
          <w:p>
            <w:r>
              <w:rPr>
                <w:sz w:val="16"/>
              </w:rPr>
              <w:t>**3,580 kWh_e/t + 189 m3 gas/t**</w:t>
            </w:r>
          </w:p>
        </w:tc>
        <w:tc>
          <w:tcPr>
            <w:tcW w:type="dxa" w:w="2635"/>
          </w:tcPr>
          <w:p>
            <w:r>
              <w:rPr>
                <w:sz w:val="16"/>
              </w:rPr>
              <w:t>Production information document</w:t>
            </w:r>
          </w:p>
        </w:tc>
      </w:tr>
    </w:tbl>
    <w:p>
      <w:r>
        <w:rPr>
          <w:sz w:val="18"/>
        </w:rPr>
        <w:t xml:space="preserve">The measured electricity consumption of 3,580 kWh/t from the production information document is consistent with the estimated range from NMC CAM analog data (~4 kWh/kg = 4,000 kWh/t </w:t>
      </w:r>
      <w:r>
        <w:rPr>
          <w:color w:val="0066CC"/>
          <w:sz w:val="16"/>
        </w:rPr>
        <w:t>[SRC-ED-011]</w:t>
      </w:r>
      <w:r>
        <w:rPr>
          <w:sz w:val="18"/>
        </w:rPr>
        <w:t xml:space="preserve">). The natural gas consumption of 189 m3/t reflects the initial configuration; the progressive electrification strategy aims to reduce and ultimately eliminate this residual gas use. LFP-specific published industrial energy data remains scarce </w:t>
      </w:r>
      <w:r>
        <w:rPr>
          <w:color w:val="0066CC"/>
          <w:sz w:val="16"/>
        </w:rPr>
        <w:t>[CLM-028]</w:t>
      </w:r>
      <w:r>
        <w:rPr>
          <w:sz w:val="18"/>
        </w:rPr>
        <w:t>, and the FACE project will generate the first comprehensive primary LFP CAM energy dataset.</w:t>
      </w:r>
    </w:p>
    <w:p>
      <w:r>
        <w:rPr>
          <w:sz w:val="18"/>
        </w:rPr>
        <w:t>The electrified process achieves lower total energy consumption than the gas-fired reference because:</w:t>
      </w:r>
    </w:p>
    <w:p>
      <w:pPr>
        <w:pStyle w:val="ListNumber"/>
      </w:pPr>
      <w:r>
        <w:rPr>
          <w:sz w:val="18"/>
        </w:rPr>
        <w:t xml:space="preserve">Electric kilns operate at 95% thermal efficiency versus 25-60% for gas </w:t>
      </w:r>
      <w:r>
        <w:rPr>
          <w:color w:val="0066CC"/>
          <w:sz w:val="16"/>
        </w:rPr>
        <w:t>[CLM-023]</w:t>
      </w:r>
    </w:p>
    <w:p>
      <w:pPr>
        <w:pStyle w:val="ListNumber"/>
      </w:pPr>
      <w:r>
        <w:rPr>
          <w:sz w:val="18"/>
        </w:rPr>
        <w:t>Electric heating eliminates combustion gas losses and atmosphere contamination</w:t>
      </w:r>
    </w:p>
    <w:p>
      <w:pPr>
        <w:pStyle w:val="ListNumber"/>
      </w:pPr>
      <w:r>
        <w:rPr>
          <w:sz w:val="18"/>
        </w:rPr>
        <w:t xml:space="preserve">HTHP provides 3.0-3.6x thermodynamic advantage for spray drying pre-heating </w:t>
      </w:r>
      <w:r>
        <w:rPr>
          <w:color w:val="0066CC"/>
          <w:sz w:val="16"/>
        </w:rPr>
        <w:t>[SRC-ED-004, SRC-ED-005]</w:t>
      </w:r>
    </w:p>
    <w:p>
      <w:pPr>
        <w:pStyle w:val="Heading3"/>
      </w:pPr>
      <w:r>
        <w:t>6.8 Digital Twin Architecture</w:t>
      </w:r>
    </w:p>
    <w:p>
      <w:r>
        <w:rPr>
          <w:sz w:val="18"/>
        </w:rPr>
        <w:t xml:space="preserve">The FACE digital twin implements the ISO 23247:2021 four-layer manufacturing digital twin architecture </w:t>
      </w:r>
      <w:r>
        <w:rPr>
          <w:color w:val="0066CC"/>
          <w:sz w:val="16"/>
        </w:rPr>
        <w:t>[CLM-008, SRC-007, SRC-008]</w:t>
      </w:r>
      <w:r>
        <w:rPr>
          <w:sz w:val="18"/>
        </w:rPr>
        <w:t>. This section describes each layer in detail.</w:t>
      </w:r>
    </w:p>
    <w:p>
      <w:pPr>
        <w:pStyle w:val="Heading4"/>
      </w:pPr>
      <w:r>
        <w:t>6.8.1 Layer 1 -- Observable Manufacturing Element (OME)</w:t>
      </w:r>
    </w:p>
    <w:p>
      <w:r>
        <w:rPr>
          <w:sz w:val="18"/>
        </w:rPr>
        <w:t>Layer 1 comprises the physical plant assets and their associated instrumentation. Each major equipment unit is assigned a unique asset identifier within the DT framework.</w:t>
      </w:r>
    </w:p>
    <w:p>
      <w:r>
        <w:rPr>
          <w:b/>
          <w:sz w:val="18"/>
        </w:rPr>
        <w:t>Equipment inventory</w:t>
      </w:r>
      <w:r>
        <w:rPr>
          <w:sz w:val="18"/>
        </w:rPr>
        <w:t>:</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Asset ID</w:t>
            </w:r>
          </w:p>
        </w:tc>
        <w:tc>
          <w:tcPr>
            <w:tcW w:type="dxa" w:w="2635"/>
          </w:tcPr>
          <w:p>
            <w:r>
              <w:rPr>
                <w:b/>
                <w:sz w:val="16"/>
              </w:rPr>
              <w:t>Equipment</w:t>
            </w:r>
          </w:p>
        </w:tc>
        <w:tc>
          <w:tcPr>
            <w:tcW w:type="dxa" w:w="2635"/>
          </w:tcPr>
          <w:p>
            <w:r>
              <w:rPr>
                <w:b/>
                <w:sz w:val="16"/>
              </w:rPr>
              <w:t>Location</w:t>
            </w:r>
          </w:p>
        </w:tc>
        <w:tc>
          <w:tcPr>
            <w:tcW w:type="dxa" w:w="2635"/>
          </w:tcPr>
          <w:p>
            <w:r>
              <w:rPr>
                <w:b/>
                <w:sz w:val="16"/>
              </w:rPr>
              <w:t>Key Instruments</w:t>
            </w:r>
          </w:p>
        </w:tc>
      </w:tr>
      <w:tr>
        <w:tc>
          <w:tcPr>
            <w:tcW w:type="dxa" w:w="2635"/>
          </w:tcPr>
          <w:p>
            <w:r>
              <w:rPr>
                <w:sz w:val="16"/>
              </w:rPr>
              <w:t>OME-001</w:t>
            </w:r>
          </w:p>
        </w:tc>
        <w:tc>
          <w:tcPr>
            <w:tcW w:type="dxa" w:w="2635"/>
          </w:tcPr>
          <w:p>
            <w:r>
              <w:rPr>
                <w:sz w:val="16"/>
              </w:rPr>
              <w:t>Gravimetric feeders (x3)</w:t>
            </w:r>
          </w:p>
        </w:tc>
        <w:tc>
          <w:tcPr>
            <w:tcW w:type="dxa" w:w="2635"/>
          </w:tcPr>
          <w:p>
            <w:r>
              <w:rPr>
                <w:sz w:val="16"/>
              </w:rPr>
              <w:t>Step 1 - Dosing</w:t>
            </w:r>
          </w:p>
        </w:tc>
        <w:tc>
          <w:tcPr>
            <w:tcW w:type="dxa" w:w="2635"/>
          </w:tcPr>
          <w:p>
            <w:r>
              <w:rPr>
                <w:sz w:val="16"/>
              </w:rPr>
              <w:t>Load cells, flow meters</w:t>
            </w:r>
          </w:p>
        </w:tc>
      </w:tr>
      <w:tr>
        <w:tc>
          <w:tcPr>
            <w:tcW w:type="dxa" w:w="2635"/>
          </w:tcPr>
          <w:p>
            <w:r>
              <w:rPr>
                <w:sz w:val="16"/>
              </w:rPr>
              <w:t>OME-002</w:t>
            </w:r>
          </w:p>
        </w:tc>
        <w:tc>
          <w:tcPr>
            <w:tcW w:type="dxa" w:w="2635"/>
          </w:tcPr>
          <w:p>
            <w:r>
              <w:rPr>
                <w:sz w:val="16"/>
              </w:rPr>
              <w:t>Dispersion tank</w:t>
            </w:r>
          </w:p>
        </w:tc>
        <w:tc>
          <w:tcPr>
            <w:tcW w:type="dxa" w:w="2635"/>
          </w:tcPr>
          <w:p>
            <w:r>
              <w:rPr>
                <w:sz w:val="16"/>
              </w:rPr>
              <w:t>Step 1 - Mixing</w:t>
            </w:r>
          </w:p>
        </w:tc>
        <w:tc>
          <w:tcPr>
            <w:tcW w:type="dxa" w:w="2635"/>
          </w:tcPr>
          <w:p>
            <w:r>
              <w:rPr>
                <w:sz w:val="16"/>
              </w:rPr>
              <w:t>Level, temperature, viscosity</w:t>
            </w:r>
          </w:p>
        </w:tc>
      </w:tr>
      <w:tr>
        <w:tc>
          <w:tcPr>
            <w:tcW w:type="dxa" w:w="2635"/>
          </w:tcPr>
          <w:p>
            <w:r>
              <w:rPr>
                <w:sz w:val="16"/>
              </w:rPr>
              <w:t>OME-003</w:t>
            </w:r>
          </w:p>
        </w:tc>
        <w:tc>
          <w:tcPr>
            <w:tcW w:type="dxa" w:w="2635"/>
          </w:tcPr>
          <w:p>
            <w:r>
              <w:rPr>
                <w:sz w:val="16"/>
              </w:rPr>
              <w:t>Bead mill</w:t>
            </w:r>
          </w:p>
        </w:tc>
        <w:tc>
          <w:tcPr>
            <w:tcW w:type="dxa" w:w="2635"/>
          </w:tcPr>
          <w:p>
            <w:r>
              <w:rPr>
                <w:sz w:val="16"/>
              </w:rPr>
              <w:t>Step 2 - Milling</w:t>
            </w:r>
          </w:p>
        </w:tc>
        <w:tc>
          <w:tcPr>
            <w:tcW w:type="dxa" w:w="2635"/>
          </w:tcPr>
          <w:p>
            <w:r>
              <w:rPr>
                <w:sz w:val="16"/>
              </w:rPr>
              <w:t>Power draw, temperature, FBRM probe</w:t>
            </w:r>
          </w:p>
        </w:tc>
      </w:tr>
      <w:tr>
        <w:tc>
          <w:tcPr>
            <w:tcW w:type="dxa" w:w="2635"/>
          </w:tcPr>
          <w:p>
            <w:r>
              <w:rPr>
                <w:sz w:val="16"/>
              </w:rPr>
              <w:t>OME-004</w:t>
            </w:r>
          </w:p>
        </w:tc>
        <w:tc>
          <w:tcPr>
            <w:tcW w:type="dxa" w:w="2635"/>
          </w:tcPr>
          <w:p>
            <w:r>
              <w:rPr>
                <w:sz w:val="16"/>
              </w:rPr>
              <w:t>Demagnetiser (pre-spray)</w:t>
            </w:r>
          </w:p>
        </w:tc>
        <w:tc>
          <w:tcPr>
            <w:tcW w:type="dxa" w:w="2635"/>
          </w:tcPr>
          <w:p>
            <w:r>
              <w:rPr>
                <w:sz w:val="16"/>
              </w:rPr>
              <w:t>Step 2 - Mag separation</w:t>
            </w:r>
          </w:p>
        </w:tc>
        <w:tc>
          <w:tcPr>
            <w:tcW w:type="dxa" w:w="2635"/>
          </w:tcPr>
          <w:p>
            <w:r>
              <w:rPr>
                <w:sz w:val="16"/>
              </w:rPr>
              <w:t>Magnetic field strength, throughput</w:t>
            </w:r>
          </w:p>
        </w:tc>
      </w:tr>
      <w:tr>
        <w:tc>
          <w:tcPr>
            <w:tcW w:type="dxa" w:w="2635"/>
          </w:tcPr>
          <w:p>
            <w:r>
              <w:rPr>
                <w:sz w:val="16"/>
              </w:rPr>
              <w:t>OME-005</w:t>
            </w:r>
          </w:p>
        </w:tc>
        <w:tc>
          <w:tcPr>
            <w:tcW w:type="dxa" w:w="2635"/>
          </w:tcPr>
          <w:p>
            <w:r>
              <w:rPr>
                <w:sz w:val="16"/>
              </w:rPr>
              <w:t>Electric spray dryer</w:t>
            </w:r>
          </w:p>
        </w:tc>
        <w:tc>
          <w:tcPr>
            <w:tcW w:type="dxa" w:w="2635"/>
          </w:tcPr>
          <w:p>
            <w:r>
              <w:rPr>
                <w:sz w:val="16"/>
              </w:rPr>
              <w:t>Step 3 - Drying</w:t>
            </w:r>
          </w:p>
        </w:tc>
        <w:tc>
          <w:tcPr>
            <w:tcW w:type="dxa" w:w="2635"/>
          </w:tcPr>
          <w:p>
            <w:r>
              <w:rPr>
                <w:sz w:val="16"/>
              </w:rPr>
              <w:t>Inlet/outlet T, humidity, product rate</w:t>
            </w:r>
          </w:p>
        </w:tc>
      </w:tr>
      <w:tr>
        <w:tc>
          <w:tcPr>
            <w:tcW w:type="dxa" w:w="2635"/>
          </w:tcPr>
          <w:p>
            <w:r>
              <w:rPr>
                <w:sz w:val="16"/>
              </w:rPr>
              <w:t>OME-006</w:t>
            </w:r>
          </w:p>
        </w:tc>
        <w:tc>
          <w:tcPr>
            <w:tcW w:type="dxa" w:w="2635"/>
          </w:tcPr>
          <w:p>
            <w:r>
              <w:rPr>
                <w:sz w:val="16"/>
              </w:rPr>
              <w:t>Electric roller hearth kiln</w:t>
            </w:r>
          </w:p>
        </w:tc>
        <w:tc>
          <w:tcPr>
            <w:tcW w:type="dxa" w:w="2635"/>
          </w:tcPr>
          <w:p>
            <w:r>
              <w:rPr>
                <w:sz w:val="16"/>
              </w:rPr>
              <w:t>Step 4 - Calcination</w:t>
            </w:r>
          </w:p>
        </w:tc>
        <w:tc>
          <w:tcPr>
            <w:tcW w:type="dxa" w:w="2635"/>
          </w:tcPr>
          <w:p>
            <w:r>
              <w:rPr>
                <w:sz w:val="16"/>
              </w:rPr>
              <w:t>Multi-zone T, pO2, CO2/CO, IR camera</w:t>
            </w:r>
          </w:p>
        </w:tc>
      </w:tr>
      <w:tr>
        <w:tc>
          <w:tcPr>
            <w:tcW w:type="dxa" w:w="2635"/>
          </w:tcPr>
          <w:p>
            <w:r>
              <w:rPr>
                <w:sz w:val="16"/>
              </w:rPr>
              <w:t>OME-007</w:t>
            </w:r>
          </w:p>
        </w:tc>
        <w:tc>
          <w:tcPr>
            <w:tcW w:type="dxa" w:w="2635"/>
          </w:tcPr>
          <w:p>
            <w:r>
              <w:rPr>
                <w:sz w:val="16"/>
              </w:rPr>
              <w:t>Jet mill</w:t>
            </w:r>
          </w:p>
        </w:tc>
        <w:tc>
          <w:tcPr>
            <w:tcW w:type="dxa" w:w="2635"/>
          </w:tcPr>
          <w:p>
            <w:r>
              <w:rPr>
                <w:sz w:val="16"/>
              </w:rPr>
              <w:t>Step 5 - Milling</w:t>
            </w:r>
          </w:p>
        </w:tc>
        <w:tc>
          <w:tcPr>
            <w:tcW w:type="dxa" w:w="2635"/>
          </w:tcPr>
          <w:p>
            <w:r>
              <w:rPr>
                <w:sz w:val="16"/>
              </w:rPr>
              <w:t>Air pressure, classifier speed, power</w:t>
            </w:r>
          </w:p>
        </w:tc>
      </w:tr>
      <w:tr>
        <w:tc>
          <w:tcPr>
            <w:tcW w:type="dxa" w:w="2635"/>
          </w:tcPr>
          <w:p>
            <w:r>
              <w:rPr>
                <w:sz w:val="16"/>
              </w:rPr>
              <w:t>OME-008</w:t>
            </w:r>
          </w:p>
        </w:tc>
        <w:tc>
          <w:tcPr>
            <w:tcW w:type="dxa" w:w="2635"/>
          </w:tcPr>
          <w:p>
            <w:r>
              <w:rPr>
                <w:sz w:val="16"/>
              </w:rPr>
              <w:t>Ultrasonic sieve</w:t>
            </w:r>
          </w:p>
        </w:tc>
        <w:tc>
          <w:tcPr>
            <w:tcW w:type="dxa" w:w="2635"/>
          </w:tcPr>
          <w:p>
            <w:r>
              <w:rPr>
                <w:sz w:val="16"/>
              </w:rPr>
              <w:t>Step 6 - Classification</w:t>
            </w:r>
          </w:p>
        </w:tc>
        <w:tc>
          <w:tcPr>
            <w:tcW w:type="dxa" w:w="2635"/>
          </w:tcPr>
          <w:p>
            <w:r>
              <w:rPr>
                <w:sz w:val="16"/>
              </w:rPr>
              <w:t>Vibration frequency, throughput</w:t>
            </w:r>
          </w:p>
        </w:tc>
      </w:tr>
      <w:tr>
        <w:tc>
          <w:tcPr>
            <w:tcW w:type="dxa" w:w="2635"/>
          </w:tcPr>
          <w:p>
            <w:r>
              <w:rPr>
                <w:sz w:val="16"/>
              </w:rPr>
              <w:t>OME-009</w:t>
            </w:r>
          </w:p>
        </w:tc>
        <w:tc>
          <w:tcPr>
            <w:tcW w:type="dxa" w:w="2635"/>
          </w:tcPr>
          <w:p>
            <w:r>
              <w:rPr>
                <w:sz w:val="16"/>
              </w:rPr>
              <w:t>Demagnetiser (post-mill)</w:t>
            </w:r>
          </w:p>
        </w:tc>
        <w:tc>
          <w:tcPr>
            <w:tcW w:type="dxa" w:w="2635"/>
          </w:tcPr>
          <w:p>
            <w:r>
              <w:rPr>
                <w:sz w:val="16"/>
              </w:rPr>
              <w:t>Step 6 - Mag separation</w:t>
            </w:r>
          </w:p>
        </w:tc>
        <w:tc>
          <w:tcPr>
            <w:tcW w:type="dxa" w:w="2635"/>
          </w:tcPr>
          <w:p>
            <w:r>
              <w:rPr>
                <w:sz w:val="16"/>
              </w:rPr>
              <w:t>Magnetic field strength</w:t>
            </w:r>
          </w:p>
        </w:tc>
      </w:tr>
      <w:tr>
        <w:tc>
          <w:tcPr>
            <w:tcW w:type="dxa" w:w="2635"/>
          </w:tcPr>
          <w:p>
            <w:r>
              <w:rPr>
                <w:sz w:val="16"/>
              </w:rPr>
              <w:t>OME-010</w:t>
            </w:r>
          </w:p>
        </w:tc>
        <w:tc>
          <w:tcPr>
            <w:tcW w:type="dxa" w:w="2635"/>
          </w:tcPr>
          <w:p>
            <w:r>
              <w:rPr>
                <w:sz w:val="16"/>
              </w:rPr>
              <w:t>Packaging line</w:t>
            </w:r>
          </w:p>
        </w:tc>
        <w:tc>
          <w:tcPr>
            <w:tcW w:type="dxa" w:w="2635"/>
          </w:tcPr>
          <w:p>
            <w:r>
              <w:rPr>
                <w:sz w:val="16"/>
              </w:rPr>
              <w:t>Step 7 - Packaging</w:t>
            </w:r>
          </w:p>
        </w:tc>
        <w:tc>
          <w:tcPr>
            <w:tcW w:type="dxa" w:w="2635"/>
          </w:tcPr>
          <w:p>
            <w:r>
              <w:rPr>
                <w:sz w:val="16"/>
              </w:rPr>
              <w:t>Weight, N2 purity, seal integrity</w:t>
            </w:r>
          </w:p>
        </w:tc>
      </w:tr>
    </w:tbl>
    <w:p>
      <w:pPr>
        <w:pStyle w:val="Heading4"/>
      </w:pPr>
      <w:r>
        <w:t>6.8.2 Layer 2 -- Data Collection and Device Control (DCDC)</w:t>
      </w:r>
    </w:p>
    <w:p>
      <w:r>
        <w:rPr>
          <w:sz w:val="18"/>
        </w:rPr>
        <w:t>Layer 2 manages all physical-digital data exchange through a hierarchical communication architecture:</w:t>
      </w:r>
    </w:p>
    <w:p>
      <w:r>
        <w:rPr>
          <w:b/>
          <w:sz w:val="18"/>
        </w:rPr>
        <w:t>Communication architecture</w:t>
      </w:r>
      <w:r>
        <w:rPr>
          <w:sz w:val="18"/>
        </w:rPr>
        <w:t>:</w:t>
      </w:r>
    </w:p>
    <w:p>
      <w:pPr>
        <w:pStyle w:val="ListBullet"/>
      </w:pPr>
      <w:r>
        <w:rPr>
          <w:b/>
          <w:sz w:val="18"/>
        </w:rPr>
        <w:t>Field level</w:t>
      </w:r>
      <w:r>
        <w:rPr>
          <w:sz w:val="18"/>
        </w:rPr>
        <w:t>: Sensors and actuators communicate via industrial fieldbus (PROFINET, EtherNet/IP) to local PLCs</w:t>
      </w:r>
    </w:p>
    <w:p>
      <w:pPr>
        <w:pStyle w:val="ListBullet"/>
      </w:pPr>
      <w:r>
        <w:rPr>
          <w:b/>
          <w:sz w:val="18"/>
        </w:rPr>
        <w:t>Edge level</w:t>
      </w:r>
      <w:r>
        <w:rPr>
          <w:sz w:val="18"/>
        </w:rPr>
        <w:t>: Edge computing nodes (industrial PCs) aggregate data from PLCs via OPC-UA, perform data pre-processing (filtering, feature extraction, anomaly flagging), and publish to the fog layer via MQTT</w:t>
      </w:r>
    </w:p>
    <w:p>
      <w:pPr>
        <w:pStyle w:val="ListBullet"/>
      </w:pPr>
      <w:r>
        <w:rPr>
          <w:b/>
          <w:sz w:val="18"/>
        </w:rPr>
        <w:t>Fog level</w:t>
      </w:r>
      <w:r>
        <w:rPr>
          <w:sz w:val="18"/>
        </w:rPr>
        <w:t>: On-site fog servers run time-critical DT models (surrogate inference &lt;1 second) and MPC controllers</w:t>
      </w:r>
    </w:p>
    <w:p>
      <w:pPr>
        <w:pStyle w:val="ListBullet"/>
      </w:pPr>
      <w:r>
        <w:rPr>
          <w:b/>
          <w:sz w:val="18"/>
        </w:rPr>
        <w:t>Cloud level</w:t>
      </w:r>
      <w:r>
        <w:rPr>
          <w:sz w:val="18"/>
        </w:rPr>
        <w:t>: Off-site or on-site cloud infrastructure handles batch archival, model retraining, reporting, and long-term analytics</w:t>
      </w:r>
    </w:p>
    <w:p>
      <w:r>
        <w:rPr>
          <w:b/>
          <w:sz w:val="18"/>
        </w:rPr>
        <w:t>Target latencies</w:t>
      </w:r>
      <w:r>
        <w:rPr>
          <w:sz w:val="18"/>
        </w:rPr>
        <w:t>: Field-to-edge &lt;10 ms; edge-to-fog &lt;100 ms; fog-to-cloud &lt;1 second.</w:t>
      </w:r>
    </w:p>
    <w:p>
      <w:r>
        <w:rPr>
          <w:b/>
          <w:sz w:val="18"/>
        </w:rPr>
        <w:t>PAT sensor deployment table</w:t>
      </w:r>
      <w:r>
        <w:rPr>
          <w:sz w:val="18"/>
        </w:rPr>
        <w:t>:</w:t>
      </w:r>
    </w:p>
    <w:tbl>
      <w:tblPr>
        <w:tblStyle w:val="LightGrid-Accent1"/>
        <w:tblW w:type="auto" w:w="0"/>
        <w:tblLook w:firstColumn="1" w:firstRow="1" w:lastColumn="0" w:lastRow="0" w:noHBand="0" w:noVBand="1" w:val="04A0"/>
      </w:tblPr>
      <w:tblGrid>
        <w:gridCol w:w="1506"/>
        <w:gridCol w:w="1506"/>
        <w:gridCol w:w="1506"/>
        <w:gridCol w:w="1506"/>
        <w:gridCol w:w="1506"/>
        <w:gridCol w:w="1506"/>
        <w:gridCol w:w="1506"/>
      </w:tblGrid>
      <w:tr>
        <w:tc>
          <w:tcPr>
            <w:tcW w:type="dxa" w:w="1506"/>
          </w:tcPr>
          <w:p>
            <w:r>
              <w:rPr>
                <w:b/>
                <w:sz w:val="16"/>
              </w:rPr>
              <w:t>#</w:t>
            </w:r>
          </w:p>
        </w:tc>
        <w:tc>
          <w:tcPr>
            <w:tcW w:type="dxa" w:w="1506"/>
          </w:tcPr>
          <w:p>
            <w:r>
              <w:rPr>
                <w:b/>
                <w:sz w:val="16"/>
              </w:rPr>
              <w:t>Measurement</w:t>
            </w:r>
          </w:p>
        </w:tc>
        <w:tc>
          <w:tcPr>
            <w:tcW w:type="dxa" w:w="1506"/>
          </w:tcPr>
          <w:p>
            <w:r>
              <w:rPr>
                <w:b/>
                <w:sz w:val="16"/>
              </w:rPr>
              <w:t>Technology</w:t>
            </w:r>
          </w:p>
        </w:tc>
        <w:tc>
          <w:tcPr>
            <w:tcW w:type="dxa" w:w="1506"/>
          </w:tcPr>
          <w:p>
            <w:r>
              <w:rPr>
                <w:b/>
                <w:sz w:val="16"/>
              </w:rPr>
              <w:t>Location</w:t>
            </w:r>
          </w:p>
        </w:tc>
        <w:tc>
          <w:tcPr>
            <w:tcW w:type="dxa" w:w="1506"/>
          </w:tcPr>
          <w:p>
            <w:r>
              <w:rPr>
                <w:b/>
                <w:sz w:val="16"/>
              </w:rPr>
              <w:t>Frequency</w:t>
            </w:r>
          </w:p>
        </w:tc>
        <w:tc>
          <w:tcPr>
            <w:tcW w:type="dxa" w:w="1506"/>
          </w:tcPr>
          <w:p>
            <w:r>
              <w:rPr>
                <w:b/>
                <w:sz w:val="16"/>
              </w:rPr>
              <w:t>Primary CQA Target</w:t>
            </w:r>
          </w:p>
        </w:tc>
        <w:tc>
          <w:tcPr>
            <w:tcW w:type="dxa" w:w="1506"/>
          </w:tcPr>
          <w:p>
            <w:r>
              <w:rPr>
                <w:b/>
                <w:sz w:val="16"/>
              </w:rPr>
              <w:t>Inline/Atline</w:t>
            </w:r>
          </w:p>
        </w:tc>
      </w:tr>
      <w:tr>
        <w:tc>
          <w:tcPr>
            <w:tcW w:type="dxa" w:w="1506"/>
          </w:tcPr>
          <w:p>
            <w:r>
              <w:rPr>
                <w:sz w:val="16"/>
              </w:rPr>
              <w:t>S1</w:t>
            </w:r>
          </w:p>
        </w:tc>
        <w:tc>
          <w:tcPr>
            <w:tcW w:type="dxa" w:w="1506"/>
          </w:tcPr>
          <w:p>
            <w:r>
              <w:rPr>
                <w:sz w:val="16"/>
              </w:rPr>
              <w:t>Temperature (contact)</w:t>
            </w:r>
          </w:p>
        </w:tc>
        <w:tc>
          <w:tcPr>
            <w:tcW w:type="dxa" w:w="1506"/>
          </w:tcPr>
          <w:p>
            <w:r>
              <w:rPr>
                <w:sz w:val="16"/>
              </w:rPr>
              <w:t>Type K thermocouple (+/-1.5 C)</w:t>
            </w:r>
          </w:p>
        </w:tc>
        <w:tc>
          <w:tcPr>
            <w:tcW w:type="dxa" w:w="1506"/>
          </w:tcPr>
          <w:p>
            <w:r>
              <w:rPr>
                <w:sz w:val="16"/>
              </w:rPr>
              <w:t>Calcination kiln -- multiple zones</w:t>
            </w:r>
          </w:p>
        </w:tc>
        <w:tc>
          <w:tcPr>
            <w:tcW w:type="dxa" w:w="1506"/>
          </w:tcPr>
          <w:p>
            <w:r>
              <w:rPr>
                <w:sz w:val="16"/>
              </w:rPr>
              <w:t>1-10 Hz</w:t>
            </w:r>
          </w:p>
        </w:tc>
        <w:tc>
          <w:tcPr>
            <w:tcW w:type="dxa" w:w="1506"/>
          </w:tcPr>
          <w:p>
            <w:r>
              <w:rPr>
                <w:sz w:val="16"/>
              </w:rPr>
              <w:t>Phase purity, carbon quality</w:t>
            </w:r>
          </w:p>
        </w:tc>
        <w:tc>
          <w:tcPr>
            <w:tcW w:type="dxa" w:w="1506"/>
          </w:tcPr>
          <w:p>
            <w:r>
              <w:rPr>
                <w:sz w:val="16"/>
              </w:rPr>
              <w:t>In-line</w:t>
            </w:r>
          </w:p>
        </w:tc>
      </w:tr>
      <w:tr>
        <w:tc>
          <w:tcPr>
            <w:tcW w:type="dxa" w:w="1506"/>
          </w:tcPr>
          <w:p>
            <w:r>
              <w:rPr>
                <w:sz w:val="16"/>
              </w:rPr>
              <w:t>S2</w:t>
            </w:r>
          </w:p>
        </w:tc>
        <w:tc>
          <w:tcPr>
            <w:tcW w:type="dxa" w:w="1506"/>
          </w:tcPr>
          <w:p>
            <w:r>
              <w:rPr>
                <w:sz w:val="16"/>
              </w:rPr>
              <w:t>Temperature (non-contact)</w:t>
            </w:r>
          </w:p>
        </w:tc>
        <w:tc>
          <w:tcPr>
            <w:tcW w:type="dxa" w:w="1506"/>
          </w:tcPr>
          <w:p>
            <w:r>
              <w:rPr>
                <w:sz w:val="16"/>
              </w:rPr>
              <w:t>Ratio pyrometer (+/-0.5%)</w:t>
            </w:r>
          </w:p>
        </w:tc>
        <w:tc>
          <w:tcPr>
            <w:tcW w:type="dxa" w:w="1506"/>
          </w:tcPr>
          <w:p>
            <w:r>
              <w:rPr>
                <w:sz w:val="16"/>
              </w:rPr>
              <w:t>Calcination kiln exit</w:t>
            </w:r>
          </w:p>
        </w:tc>
        <w:tc>
          <w:tcPr>
            <w:tcW w:type="dxa" w:w="1506"/>
          </w:tcPr>
          <w:p>
            <w:r>
              <w:rPr>
                <w:sz w:val="16"/>
              </w:rPr>
              <w:t>1-10 Hz</w:t>
            </w:r>
          </w:p>
        </w:tc>
        <w:tc>
          <w:tcPr>
            <w:tcW w:type="dxa" w:w="1506"/>
          </w:tcPr>
          <w:p>
            <w:r>
              <w:rPr>
                <w:sz w:val="16"/>
              </w:rPr>
              <w:t>Phase purity</w:t>
            </w:r>
          </w:p>
        </w:tc>
        <w:tc>
          <w:tcPr>
            <w:tcW w:type="dxa" w:w="1506"/>
          </w:tcPr>
          <w:p>
            <w:r>
              <w:rPr>
                <w:sz w:val="16"/>
              </w:rPr>
              <w:t>In-line</w:t>
            </w:r>
          </w:p>
        </w:tc>
      </w:tr>
      <w:tr>
        <w:tc>
          <w:tcPr>
            <w:tcW w:type="dxa" w:w="1506"/>
          </w:tcPr>
          <w:p>
            <w:r>
              <w:rPr>
                <w:sz w:val="16"/>
              </w:rPr>
              <w:t>S3</w:t>
            </w:r>
          </w:p>
        </w:tc>
        <w:tc>
          <w:tcPr>
            <w:tcW w:type="dxa" w:w="1506"/>
          </w:tcPr>
          <w:p>
            <w:r>
              <w:rPr>
                <w:sz w:val="16"/>
              </w:rPr>
              <w:t>Temperature field (2D)</w:t>
            </w:r>
          </w:p>
        </w:tc>
        <w:tc>
          <w:tcPr>
            <w:tcW w:type="dxa" w:w="1506"/>
          </w:tcPr>
          <w:p>
            <w:r>
              <w:rPr>
                <w:sz w:val="16"/>
              </w:rPr>
              <w:t>IR camera</w:t>
            </w:r>
          </w:p>
        </w:tc>
        <w:tc>
          <w:tcPr>
            <w:tcW w:type="dxa" w:w="1506"/>
          </w:tcPr>
          <w:p>
            <w:r>
              <w:rPr>
                <w:sz w:val="16"/>
              </w:rPr>
              <w:t>Kiln exit, spray dryer</w:t>
            </w:r>
          </w:p>
        </w:tc>
        <w:tc>
          <w:tcPr>
            <w:tcW w:type="dxa" w:w="1506"/>
          </w:tcPr>
          <w:p>
            <w:r>
              <w:rPr>
                <w:sz w:val="16"/>
              </w:rPr>
              <w:t>10 Hz</w:t>
            </w:r>
          </w:p>
        </w:tc>
        <w:tc>
          <w:tcPr>
            <w:tcW w:type="dxa" w:w="1506"/>
          </w:tcPr>
          <w:p>
            <w:r>
              <w:rPr>
                <w:sz w:val="16"/>
              </w:rPr>
              <w:t>Temperature uniformity</w:t>
            </w:r>
          </w:p>
        </w:tc>
        <w:tc>
          <w:tcPr>
            <w:tcW w:type="dxa" w:w="1506"/>
          </w:tcPr>
          <w:p>
            <w:r>
              <w:rPr>
                <w:sz w:val="16"/>
              </w:rPr>
              <w:t>In-line</w:t>
            </w:r>
          </w:p>
        </w:tc>
      </w:tr>
      <w:tr>
        <w:tc>
          <w:tcPr>
            <w:tcW w:type="dxa" w:w="1506"/>
          </w:tcPr>
          <w:p>
            <w:r>
              <w:rPr>
                <w:sz w:val="16"/>
              </w:rPr>
              <w:t>S4</w:t>
            </w:r>
          </w:p>
        </w:tc>
        <w:tc>
          <w:tcPr>
            <w:tcW w:type="dxa" w:w="1506"/>
          </w:tcPr>
          <w:p>
            <w:r>
              <w:rPr>
                <w:sz w:val="16"/>
              </w:rPr>
              <w:t>Particle size (slurry)</w:t>
            </w:r>
          </w:p>
        </w:tc>
        <w:tc>
          <w:tcPr>
            <w:tcW w:type="dxa" w:w="1506"/>
          </w:tcPr>
          <w:p>
            <w:r>
              <w:rPr>
                <w:sz w:val="16"/>
              </w:rPr>
              <w:t>FBRM probe (0.5-2000 um)</w:t>
            </w:r>
          </w:p>
        </w:tc>
        <w:tc>
          <w:tcPr>
            <w:tcW w:type="dxa" w:w="1506"/>
          </w:tcPr>
          <w:p>
            <w:r>
              <w:rPr>
                <w:sz w:val="16"/>
              </w:rPr>
              <w:t>Bead mill outlet</w:t>
            </w:r>
          </w:p>
        </w:tc>
        <w:tc>
          <w:tcPr>
            <w:tcW w:type="dxa" w:w="1506"/>
          </w:tcPr>
          <w:p>
            <w:r>
              <w:rPr>
                <w:sz w:val="16"/>
              </w:rPr>
              <w:t>2 sec</w:t>
            </w:r>
          </w:p>
        </w:tc>
        <w:tc>
          <w:tcPr>
            <w:tcW w:type="dxa" w:w="1506"/>
          </w:tcPr>
          <w:p>
            <w:r>
              <w:rPr>
                <w:sz w:val="16"/>
              </w:rPr>
              <w:t>D50 (milled slurry)</w:t>
            </w:r>
          </w:p>
        </w:tc>
        <w:tc>
          <w:tcPr>
            <w:tcW w:type="dxa" w:w="1506"/>
          </w:tcPr>
          <w:p>
            <w:r>
              <w:rPr>
                <w:sz w:val="16"/>
              </w:rPr>
              <w:t>In-line</w:t>
            </w:r>
          </w:p>
        </w:tc>
      </w:tr>
      <w:tr>
        <w:tc>
          <w:tcPr>
            <w:tcW w:type="dxa" w:w="1506"/>
          </w:tcPr>
          <w:p>
            <w:r>
              <w:rPr>
                <w:sz w:val="16"/>
              </w:rPr>
              <w:t>S5</w:t>
            </w:r>
          </w:p>
        </w:tc>
        <w:tc>
          <w:tcPr>
            <w:tcW w:type="dxa" w:w="1506"/>
          </w:tcPr>
          <w:p>
            <w:r>
              <w:rPr>
                <w:sz w:val="16"/>
              </w:rPr>
              <w:t>Particle size (powder)</w:t>
            </w:r>
          </w:p>
        </w:tc>
        <w:tc>
          <w:tcPr>
            <w:tcW w:type="dxa" w:w="1506"/>
          </w:tcPr>
          <w:p>
            <w:r>
              <w:rPr>
                <w:sz w:val="16"/>
              </w:rPr>
              <w:t>Laser diffraction</w:t>
            </w:r>
          </w:p>
        </w:tc>
        <w:tc>
          <w:tcPr>
            <w:tcW w:type="dxa" w:w="1506"/>
          </w:tcPr>
          <w:p>
            <w:r>
              <w:rPr>
                <w:sz w:val="16"/>
              </w:rPr>
              <w:t>Post-jet mill (at-line)</w:t>
            </w:r>
          </w:p>
        </w:tc>
        <w:tc>
          <w:tcPr>
            <w:tcW w:type="dxa" w:w="1506"/>
          </w:tcPr>
          <w:p>
            <w:r>
              <w:rPr>
                <w:sz w:val="16"/>
              </w:rPr>
              <w:t>60 sec</w:t>
            </w:r>
          </w:p>
        </w:tc>
        <w:tc>
          <w:tcPr>
            <w:tcW w:type="dxa" w:w="1506"/>
          </w:tcPr>
          <w:p>
            <w:r>
              <w:rPr>
                <w:sz w:val="16"/>
              </w:rPr>
              <w:t>D50, D10, D90</w:t>
            </w:r>
          </w:p>
        </w:tc>
        <w:tc>
          <w:tcPr>
            <w:tcW w:type="dxa" w:w="1506"/>
          </w:tcPr>
          <w:p>
            <w:r>
              <w:rPr>
                <w:sz w:val="16"/>
              </w:rPr>
              <w:t>At-line</w:t>
            </w:r>
          </w:p>
        </w:tc>
      </w:tr>
      <w:tr>
        <w:tc>
          <w:tcPr>
            <w:tcW w:type="dxa" w:w="1506"/>
          </w:tcPr>
          <w:p>
            <w:r>
              <w:rPr>
                <w:sz w:val="16"/>
              </w:rPr>
              <w:t>S6</w:t>
            </w:r>
          </w:p>
        </w:tc>
        <w:tc>
          <w:tcPr>
            <w:tcW w:type="dxa" w:w="1506"/>
          </w:tcPr>
          <w:p>
            <w:r>
              <w:rPr>
                <w:sz w:val="16"/>
              </w:rPr>
              <w:t>Phase composition</w:t>
            </w:r>
          </w:p>
        </w:tc>
        <w:tc>
          <w:tcPr>
            <w:tcW w:type="dxa" w:w="1506"/>
          </w:tcPr>
          <w:p>
            <w:r>
              <w:rPr>
                <w:sz w:val="16"/>
              </w:rPr>
              <w:t>At-line Raman probe (950 cm-1 olivine)</w:t>
            </w:r>
          </w:p>
        </w:tc>
        <w:tc>
          <w:tcPr>
            <w:tcW w:type="dxa" w:w="1506"/>
          </w:tcPr>
          <w:p>
            <w:r>
              <w:rPr>
                <w:sz w:val="16"/>
              </w:rPr>
              <w:t>Post-calcination sampling</w:t>
            </w:r>
          </w:p>
        </w:tc>
        <w:tc>
          <w:tcPr>
            <w:tcW w:type="dxa" w:w="1506"/>
          </w:tcPr>
          <w:p>
            <w:r>
              <w:rPr>
                <w:sz w:val="16"/>
              </w:rPr>
              <w:t>30-60 sec</w:t>
            </w:r>
          </w:p>
        </w:tc>
        <w:tc>
          <w:tcPr>
            <w:tcW w:type="dxa" w:w="1506"/>
          </w:tcPr>
          <w:p>
            <w:r>
              <w:rPr>
                <w:sz w:val="16"/>
              </w:rPr>
              <w:t>Phase purity, carbon D/G</w:t>
            </w:r>
          </w:p>
        </w:tc>
        <w:tc>
          <w:tcPr>
            <w:tcW w:type="dxa" w:w="1506"/>
          </w:tcPr>
          <w:p>
            <w:r>
              <w:rPr>
                <w:sz w:val="16"/>
              </w:rPr>
              <w:t>At-line</w:t>
            </w:r>
          </w:p>
        </w:tc>
      </w:tr>
      <w:tr>
        <w:tc>
          <w:tcPr>
            <w:tcW w:type="dxa" w:w="1506"/>
          </w:tcPr>
          <w:p>
            <w:r>
              <w:rPr>
                <w:sz w:val="16"/>
              </w:rPr>
              <w:t>S7</w:t>
            </w:r>
          </w:p>
        </w:tc>
        <w:tc>
          <w:tcPr>
            <w:tcW w:type="dxa" w:w="1506"/>
          </w:tcPr>
          <w:p>
            <w:r>
              <w:rPr>
                <w:sz w:val="16"/>
              </w:rPr>
              <w:t>Atmosphere O2</w:t>
            </w:r>
          </w:p>
        </w:tc>
        <w:tc>
          <w:tcPr>
            <w:tcW w:type="dxa" w:w="1506"/>
          </w:tcPr>
          <w:p>
            <w:r>
              <w:rPr>
                <w:sz w:val="16"/>
              </w:rPr>
              <w:t>Zirconia O2 sensor (&lt;10 ppm)</w:t>
            </w:r>
          </w:p>
        </w:tc>
        <w:tc>
          <w:tcPr>
            <w:tcW w:type="dxa" w:w="1506"/>
          </w:tcPr>
          <w:p>
            <w:r>
              <w:rPr>
                <w:sz w:val="16"/>
              </w:rPr>
              <w:t>Calcination kiln atmosphere</w:t>
            </w:r>
          </w:p>
        </w:tc>
        <w:tc>
          <w:tcPr>
            <w:tcW w:type="dxa" w:w="1506"/>
          </w:tcPr>
          <w:p>
            <w:r>
              <w:rPr>
                <w:sz w:val="16"/>
              </w:rPr>
              <w:t>1-5 sec</w:t>
            </w:r>
          </w:p>
        </w:tc>
        <w:tc>
          <w:tcPr>
            <w:tcW w:type="dxa" w:w="1506"/>
          </w:tcPr>
          <w:p>
            <w:r>
              <w:rPr>
                <w:sz w:val="16"/>
              </w:rPr>
              <w:t>Fe2+/Fe3+ ratio</w:t>
            </w:r>
          </w:p>
        </w:tc>
        <w:tc>
          <w:tcPr>
            <w:tcW w:type="dxa" w:w="1506"/>
          </w:tcPr>
          <w:p>
            <w:r>
              <w:rPr>
                <w:sz w:val="16"/>
              </w:rPr>
              <w:t>In-line</w:t>
            </w:r>
          </w:p>
        </w:tc>
      </w:tr>
      <w:tr>
        <w:tc>
          <w:tcPr>
            <w:tcW w:type="dxa" w:w="1506"/>
          </w:tcPr>
          <w:p>
            <w:r>
              <w:rPr>
                <w:sz w:val="16"/>
              </w:rPr>
              <w:t>S8</w:t>
            </w:r>
          </w:p>
        </w:tc>
        <w:tc>
          <w:tcPr>
            <w:tcW w:type="dxa" w:w="1506"/>
          </w:tcPr>
          <w:p>
            <w:r>
              <w:rPr>
                <w:sz w:val="16"/>
              </w:rPr>
              <w:t>Evolved gas</w:t>
            </w:r>
          </w:p>
        </w:tc>
        <w:tc>
          <w:tcPr>
            <w:tcW w:type="dxa" w:w="1506"/>
          </w:tcPr>
          <w:p>
            <w:r>
              <w:rPr>
                <w:sz w:val="16"/>
              </w:rPr>
              <w:t>NDIR (CO2, CO, CH4)</w:t>
            </w:r>
          </w:p>
        </w:tc>
        <w:tc>
          <w:tcPr>
            <w:tcW w:type="dxa" w:w="1506"/>
          </w:tcPr>
          <w:p>
            <w:r>
              <w:rPr>
                <w:sz w:val="16"/>
              </w:rPr>
              <w:t>Calcination kiln exhaust</w:t>
            </w:r>
          </w:p>
        </w:tc>
        <w:tc>
          <w:tcPr>
            <w:tcW w:type="dxa" w:w="1506"/>
          </w:tcPr>
          <w:p>
            <w:r>
              <w:rPr>
                <w:sz w:val="16"/>
              </w:rPr>
              <w:t>1-5 sec</w:t>
            </w:r>
          </w:p>
        </w:tc>
        <w:tc>
          <w:tcPr>
            <w:tcW w:type="dxa" w:w="1506"/>
          </w:tcPr>
          <w:p>
            <w:r>
              <w:rPr>
                <w:sz w:val="16"/>
              </w:rPr>
              <w:t>Reaction progress</w:t>
            </w:r>
          </w:p>
        </w:tc>
        <w:tc>
          <w:tcPr>
            <w:tcW w:type="dxa" w:w="1506"/>
          </w:tcPr>
          <w:p>
            <w:r>
              <w:rPr>
                <w:sz w:val="16"/>
              </w:rPr>
              <w:t>In-line</w:t>
            </w:r>
          </w:p>
        </w:tc>
      </w:tr>
      <w:tr>
        <w:tc>
          <w:tcPr>
            <w:tcW w:type="dxa" w:w="1506"/>
          </w:tcPr>
          <w:p>
            <w:r>
              <w:rPr>
                <w:sz w:val="16"/>
              </w:rPr>
              <w:t>S9</w:t>
            </w:r>
          </w:p>
        </w:tc>
        <w:tc>
          <w:tcPr>
            <w:tcW w:type="dxa" w:w="1506"/>
          </w:tcPr>
          <w:p>
            <w:r>
              <w:rPr>
                <w:sz w:val="16"/>
              </w:rPr>
              <w:t>Elemental composition</w:t>
            </w:r>
          </w:p>
        </w:tc>
        <w:tc>
          <w:tcPr>
            <w:tcW w:type="dxa" w:w="1506"/>
          </w:tcPr>
          <w:p>
            <w:r>
              <w:rPr>
                <w:sz w:val="16"/>
              </w:rPr>
              <w:t>XRF</w:t>
            </w:r>
          </w:p>
        </w:tc>
        <w:tc>
          <w:tcPr>
            <w:tcW w:type="dxa" w:w="1506"/>
          </w:tcPr>
          <w:p>
            <w:r>
              <w:rPr>
                <w:sz w:val="16"/>
              </w:rPr>
              <w:t>Post-milling sampling</w:t>
            </w:r>
          </w:p>
        </w:tc>
        <w:tc>
          <w:tcPr>
            <w:tcW w:type="dxa" w:w="1506"/>
          </w:tcPr>
          <w:p>
            <w:r>
              <w:rPr>
                <w:sz w:val="16"/>
              </w:rPr>
              <w:t>5 min</w:t>
            </w:r>
          </w:p>
        </w:tc>
        <w:tc>
          <w:tcPr>
            <w:tcW w:type="dxa" w:w="1506"/>
          </w:tcPr>
          <w:p>
            <w:r>
              <w:rPr>
                <w:sz w:val="16"/>
              </w:rPr>
              <w:t>Li:Fe:P stoichiometry</w:t>
            </w:r>
          </w:p>
        </w:tc>
        <w:tc>
          <w:tcPr>
            <w:tcW w:type="dxa" w:w="1506"/>
          </w:tcPr>
          <w:p>
            <w:r>
              <w:rPr>
                <w:sz w:val="16"/>
              </w:rPr>
              <w:t>At-line</w:t>
            </w:r>
          </w:p>
        </w:tc>
      </w:tr>
      <w:tr>
        <w:tc>
          <w:tcPr>
            <w:tcW w:type="dxa" w:w="1506"/>
          </w:tcPr>
          <w:p>
            <w:r>
              <w:rPr>
                <w:sz w:val="16"/>
              </w:rPr>
              <w:t>S10</w:t>
            </w:r>
          </w:p>
        </w:tc>
        <w:tc>
          <w:tcPr>
            <w:tcW w:type="dxa" w:w="1506"/>
          </w:tcPr>
          <w:p>
            <w:r>
              <w:rPr>
                <w:sz w:val="16"/>
              </w:rPr>
              <w:t>Moisture</w:t>
            </w:r>
          </w:p>
        </w:tc>
        <w:tc>
          <w:tcPr>
            <w:tcW w:type="dxa" w:w="1506"/>
          </w:tcPr>
          <w:p>
            <w:r>
              <w:rPr>
                <w:sz w:val="16"/>
              </w:rPr>
              <w:t>NIR probe</w:t>
            </w:r>
          </w:p>
        </w:tc>
        <w:tc>
          <w:tcPr>
            <w:tcW w:type="dxa" w:w="1506"/>
          </w:tcPr>
          <w:p>
            <w:r>
              <w:rPr>
                <w:sz w:val="16"/>
              </w:rPr>
              <w:t>Spray dryer product, packaging</w:t>
            </w:r>
          </w:p>
        </w:tc>
        <w:tc>
          <w:tcPr>
            <w:tcW w:type="dxa" w:w="1506"/>
          </w:tcPr>
          <w:p>
            <w:r>
              <w:rPr>
                <w:sz w:val="16"/>
              </w:rPr>
              <w:t>Continuous</w:t>
            </w:r>
          </w:p>
        </w:tc>
        <w:tc>
          <w:tcPr>
            <w:tcW w:type="dxa" w:w="1506"/>
          </w:tcPr>
          <w:p>
            <w:r>
              <w:rPr>
                <w:sz w:val="16"/>
              </w:rPr>
              <w:t>Moisture &lt;750 ppm</w:t>
            </w:r>
          </w:p>
        </w:tc>
        <w:tc>
          <w:tcPr>
            <w:tcW w:type="dxa" w:w="1506"/>
          </w:tcPr>
          <w:p>
            <w:r>
              <w:rPr>
                <w:sz w:val="16"/>
              </w:rPr>
              <w:t>In-line</w:t>
            </w:r>
          </w:p>
        </w:tc>
      </w:tr>
      <w:tr>
        <w:tc>
          <w:tcPr>
            <w:tcW w:type="dxa" w:w="1506"/>
          </w:tcPr>
          <w:p>
            <w:r>
              <w:rPr>
                <w:sz w:val="16"/>
              </w:rPr>
              <w:t>S11</w:t>
            </w:r>
          </w:p>
        </w:tc>
        <w:tc>
          <w:tcPr>
            <w:tcW w:type="dxa" w:w="1506"/>
          </w:tcPr>
          <w:p>
            <w:r>
              <w:rPr>
                <w:sz w:val="16"/>
              </w:rPr>
              <w:t>Magnetic contamination</w:t>
            </w:r>
          </w:p>
        </w:tc>
        <w:tc>
          <w:tcPr>
            <w:tcW w:type="dxa" w:w="1506"/>
          </w:tcPr>
          <w:p>
            <w:r>
              <w:rPr>
                <w:sz w:val="16"/>
              </w:rPr>
              <w:t>Magnetic susceptibility meter</w:t>
            </w:r>
          </w:p>
        </w:tc>
        <w:tc>
          <w:tcPr>
            <w:tcW w:type="dxa" w:w="1506"/>
          </w:tcPr>
          <w:p>
            <w:r>
              <w:rPr>
                <w:sz w:val="16"/>
              </w:rPr>
              <w:t>Post-demagnetisation</w:t>
            </w:r>
          </w:p>
        </w:tc>
        <w:tc>
          <w:tcPr>
            <w:tcW w:type="dxa" w:w="1506"/>
          </w:tcPr>
          <w:p>
            <w:r>
              <w:rPr>
                <w:sz w:val="16"/>
              </w:rPr>
              <w:t>Per batch</w:t>
            </w:r>
          </w:p>
        </w:tc>
        <w:tc>
          <w:tcPr>
            <w:tcW w:type="dxa" w:w="1506"/>
          </w:tcPr>
          <w:p>
            <w:r>
              <w:rPr>
                <w:sz w:val="16"/>
              </w:rPr>
              <w:t>Ferromagnetic particles</w:t>
            </w:r>
          </w:p>
        </w:tc>
        <w:tc>
          <w:tcPr>
            <w:tcW w:type="dxa" w:w="1506"/>
          </w:tcPr>
          <w:p>
            <w:r>
              <w:rPr>
                <w:sz w:val="16"/>
              </w:rPr>
              <w:t>At-line</w:t>
            </w:r>
          </w:p>
        </w:tc>
      </w:tr>
    </w:tbl>
    <w:p>
      <w:pPr>
        <w:pStyle w:val="Heading4"/>
      </w:pPr>
      <w:r>
        <w:t>6.8.3 Layer 3 -- Digital Twin Core Entity</w:t>
      </w:r>
    </w:p>
    <w:p>
      <w:r>
        <w:rPr>
          <w:sz w:val="18"/>
        </w:rPr>
        <w:t>Layer 3 is the computational engine of the DT, comprising physics-based models, data-driven models, and the data management infrastructure.</w:t>
      </w:r>
    </w:p>
    <w:p>
      <w:r>
        <w:rPr>
          <w:b/>
          <w:sz w:val="18"/>
        </w:rPr>
        <w:t>Multi-scale model hierarchy</w:t>
      </w:r>
      <w:r>
        <w:rPr>
          <w:sz w:val="18"/>
        </w:rPr>
        <w:t>:</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108"/>
          </w:tcPr>
          <w:p>
            <w:r>
              <w:rPr>
                <w:b/>
                <w:sz w:val="16"/>
              </w:rPr>
              <w:t>Scale</w:t>
            </w:r>
          </w:p>
        </w:tc>
        <w:tc>
          <w:tcPr>
            <w:tcW w:type="dxa" w:w="2108"/>
          </w:tcPr>
          <w:p>
            <w:r>
              <w:rPr>
                <w:b/>
                <w:sz w:val="16"/>
              </w:rPr>
              <w:t>Method</w:t>
            </w:r>
          </w:p>
        </w:tc>
        <w:tc>
          <w:tcPr>
            <w:tcW w:type="dxa" w:w="2108"/>
          </w:tcPr>
          <w:p>
            <w:r>
              <w:rPr>
                <w:b/>
                <w:sz w:val="16"/>
              </w:rPr>
              <w:t>Software</w:t>
            </w:r>
          </w:p>
        </w:tc>
        <w:tc>
          <w:tcPr>
            <w:tcW w:type="dxa" w:w="2108"/>
          </w:tcPr>
          <w:p>
            <w:r>
              <w:rPr>
                <w:b/>
                <w:sz w:val="16"/>
              </w:rPr>
              <w:t>Application</w:t>
            </w:r>
          </w:p>
        </w:tc>
        <w:tc>
          <w:tcPr>
            <w:tcW w:type="dxa" w:w="2108"/>
          </w:tcPr>
          <w:p>
            <w:r>
              <w:rPr>
                <w:b/>
                <w:sz w:val="16"/>
              </w:rPr>
              <w:t>Execution Mode</w:t>
            </w:r>
          </w:p>
        </w:tc>
      </w:tr>
      <w:tr>
        <w:tc>
          <w:tcPr>
            <w:tcW w:type="dxa" w:w="2108"/>
          </w:tcPr>
          <w:p>
            <w:r>
              <w:rPr>
                <w:sz w:val="16"/>
              </w:rPr>
              <w:t>Atomistic</w:t>
            </w:r>
          </w:p>
        </w:tc>
        <w:tc>
          <w:tcPr>
            <w:tcW w:type="dxa" w:w="2108"/>
          </w:tcPr>
          <w:p>
            <w:r>
              <w:rPr>
                <w:sz w:val="16"/>
              </w:rPr>
              <w:t>DFT (Density Functional Theory)</w:t>
            </w:r>
          </w:p>
        </w:tc>
        <w:tc>
          <w:tcPr>
            <w:tcW w:type="dxa" w:w="2108"/>
          </w:tcPr>
          <w:p>
            <w:r>
              <w:rPr>
                <w:sz w:val="16"/>
              </w:rPr>
              <w:t>VASP / Quantum ESPRESSO</w:t>
            </w:r>
          </w:p>
        </w:tc>
        <w:tc>
          <w:tcPr>
            <w:tcW w:type="dxa" w:w="2108"/>
          </w:tcPr>
          <w:p>
            <w:r>
              <w:rPr>
                <w:sz w:val="16"/>
              </w:rPr>
              <w:t>LFP olivine formation energetics, defect energies, Li+ migration barriers</w:t>
            </w:r>
          </w:p>
        </w:tc>
        <w:tc>
          <w:tcPr>
            <w:tcW w:type="dxa" w:w="2108"/>
          </w:tcPr>
          <w:p>
            <w:r>
              <w:rPr>
                <w:sz w:val="16"/>
              </w:rPr>
              <w:t>Offline (hours/run); populates material property database</w:t>
            </w:r>
          </w:p>
        </w:tc>
      </w:tr>
      <w:tr>
        <w:tc>
          <w:tcPr>
            <w:tcW w:type="dxa" w:w="2108"/>
          </w:tcPr>
          <w:p>
            <w:r>
              <w:rPr>
                <w:sz w:val="16"/>
              </w:rPr>
              <w:t>Molecular</w:t>
            </w:r>
          </w:p>
        </w:tc>
        <w:tc>
          <w:tcPr>
            <w:tcW w:type="dxa" w:w="2108"/>
          </w:tcPr>
          <w:p>
            <w:r>
              <w:rPr>
                <w:sz w:val="16"/>
              </w:rPr>
              <w:t>Classical MD</w:t>
            </w:r>
          </w:p>
        </w:tc>
        <w:tc>
          <w:tcPr>
            <w:tcW w:type="dxa" w:w="2108"/>
          </w:tcPr>
          <w:p>
            <w:r>
              <w:rPr>
                <w:sz w:val="16"/>
              </w:rPr>
              <w:t>LAMMPS</w:t>
            </w:r>
          </w:p>
        </w:tc>
        <w:tc>
          <w:tcPr>
            <w:tcW w:type="dxa" w:w="2108"/>
          </w:tcPr>
          <w:p>
            <w:r>
              <w:rPr>
                <w:sz w:val="16"/>
              </w:rPr>
              <w:t>Carbon coating pyrolysis mechanisms, surface adsorption</w:t>
            </w:r>
          </w:p>
        </w:tc>
        <w:tc>
          <w:tcPr>
            <w:tcW w:type="dxa" w:w="2108"/>
          </w:tcPr>
          <w:p>
            <w:r>
              <w:rPr>
                <w:sz w:val="16"/>
              </w:rPr>
              <w:t>Offline (hours/run); calibrates mesoscale models</w:t>
            </w:r>
          </w:p>
        </w:tc>
      </w:tr>
      <w:tr>
        <w:tc>
          <w:tcPr>
            <w:tcW w:type="dxa" w:w="2108"/>
          </w:tcPr>
          <w:p>
            <w:r>
              <w:rPr>
                <w:sz w:val="16"/>
              </w:rPr>
              <w:t>Mesoscale</w:t>
            </w:r>
          </w:p>
        </w:tc>
        <w:tc>
          <w:tcPr>
            <w:tcW w:type="dxa" w:w="2108"/>
          </w:tcPr>
          <w:p>
            <w:r>
              <w:rPr>
                <w:sz w:val="16"/>
              </w:rPr>
              <w:t>Phase-field / Kinetic Monte Carlo</w:t>
            </w:r>
          </w:p>
        </w:tc>
        <w:tc>
          <w:tcPr>
            <w:tcW w:type="dxa" w:w="2108"/>
          </w:tcPr>
          <w:p>
            <w:r>
              <w:rPr>
                <w:sz w:val="16"/>
              </w:rPr>
              <w:t>Custom / MOOSE</w:t>
            </w:r>
          </w:p>
        </w:tc>
        <w:tc>
          <w:tcPr>
            <w:tcW w:type="dxa" w:w="2108"/>
          </w:tcPr>
          <w:p>
            <w:r>
              <w:rPr>
                <w:sz w:val="16"/>
              </w:rPr>
              <w:t>Nucleation and grain growth kinetics during calcination</w:t>
            </w:r>
          </w:p>
        </w:tc>
        <w:tc>
          <w:tcPr>
            <w:tcW w:type="dxa" w:w="2108"/>
          </w:tcPr>
          <w:p>
            <w:r>
              <w:rPr>
                <w:sz w:val="16"/>
              </w:rPr>
              <w:t>Offline (minutes-hours/run); generates kinetic parameters</w:t>
            </w:r>
          </w:p>
        </w:tc>
      </w:tr>
      <w:tr>
        <w:tc>
          <w:tcPr>
            <w:tcW w:type="dxa" w:w="2108"/>
          </w:tcPr>
          <w:p>
            <w:r>
              <w:rPr>
                <w:sz w:val="16"/>
              </w:rPr>
              <w:t>Continuum</w:t>
            </w:r>
          </w:p>
        </w:tc>
        <w:tc>
          <w:tcPr>
            <w:tcW w:type="dxa" w:w="2108"/>
          </w:tcPr>
          <w:p>
            <w:r>
              <w:rPr>
                <w:sz w:val="16"/>
              </w:rPr>
              <w:t>CFD + PBM + reaction kinetics</w:t>
            </w:r>
          </w:p>
        </w:tc>
        <w:tc>
          <w:tcPr>
            <w:tcW w:type="dxa" w:w="2108"/>
          </w:tcPr>
          <w:p>
            <w:r>
              <w:rPr>
                <w:sz w:val="16"/>
              </w:rPr>
              <w:t>COMSOL / OpenFOAM + custom PBM</w:t>
            </w:r>
          </w:p>
        </w:tc>
        <w:tc>
          <w:tcPr>
            <w:tcW w:type="dxa" w:w="2108"/>
          </w:tcPr>
          <w:p>
            <w:r>
              <w:rPr>
                <w:sz w:val="16"/>
              </w:rPr>
              <w:t>Calcination kiln heat/mass transfer; spray dryer droplet drying; Jander/Avrami reaction kinetics</w:t>
            </w:r>
          </w:p>
        </w:tc>
        <w:tc>
          <w:tcPr>
            <w:tcW w:type="dxa" w:w="2108"/>
          </w:tcPr>
          <w:p>
            <w:r>
              <w:rPr>
                <w:sz w:val="16"/>
              </w:rPr>
              <w:t>Offline for training data; surrogate (PINN) for real-time</w:t>
            </w:r>
          </w:p>
        </w:tc>
      </w:tr>
      <w:tr>
        <w:tc>
          <w:tcPr>
            <w:tcW w:type="dxa" w:w="2108"/>
          </w:tcPr>
          <w:p>
            <w:r>
              <w:rPr>
                <w:sz w:val="16"/>
              </w:rPr>
              <w:t>Equipment</w:t>
            </w:r>
          </w:p>
        </w:tc>
        <w:tc>
          <w:tcPr>
            <w:tcW w:type="dxa" w:w="2108"/>
          </w:tcPr>
          <w:p>
            <w:r>
              <w:rPr>
                <w:sz w:val="16"/>
              </w:rPr>
              <w:t>DEM (Discrete Element Method)</w:t>
            </w:r>
          </w:p>
        </w:tc>
        <w:tc>
          <w:tcPr>
            <w:tcW w:type="dxa" w:w="2108"/>
          </w:tcPr>
          <w:p>
            <w:r>
              <w:rPr>
                <w:sz w:val="16"/>
              </w:rPr>
              <w:t>EDEM / LIGGGHTS</w:t>
            </w:r>
          </w:p>
        </w:tc>
        <w:tc>
          <w:tcPr>
            <w:tcW w:type="dxa" w:w="2108"/>
          </w:tcPr>
          <w:p>
            <w:r>
              <w:rPr>
                <w:sz w:val="16"/>
              </w:rPr>
              <w:t>Jet mill particle breakage and classification</w:t>
            </w:r>
          </w:p>
        </w:tc>
        <w:tc>
          <w:tcPr>
            <w:tcW w:type="dxa" w:w="2108"/>
          </w:tcPr>
          <w:p>
            <w:r>
              <w:rPr>
                <w:sz w:val="16"/>
              </w:rPr>
              <w:t>Offline; lookup tables for real-time</w:t>
            </w:r>
          </w:p>
        </w:tc>
      </w:tr>
      <w:tr>
        <w:tc>
          <w:tcPr>
            <w:tcW w:type="dxa" w:w="2108"/>
          </w:tcPr>
          <w:p>
            <w:r>
              <w:rPr>
                <w:sz w:val="16"/>
              </w:rPr>
              <w:t>Plant</w:t>
            </w:r>
          </w:p>
        </w:tc>
        <w:tc>
          <w:tcPr>
            <w:tcW w:type="dxa" w:w="2108"/>
          </w:tcPr>
          <w:p>
            <w:r>
              <w:rPr>
                <w:sz w:val="16"/>
              </w:rPr>
              <w:t>Flowsheet simulation</w:t>
            </w:r>
          </w:p>
        </w:tc>
        <w:tc>
          <w:tcPr>
            <w:tcW w:type="dxa" w:w="2108"/>
          </w:tcPr>
          <w:p>
            <w:r>
              <w:rPr>
                <w:sz w:val="16"/>
              </w:rPr>
              <w:t>Aspen Plus / gPROMS</w:t>
            </w:r>
          </w:p>
        </w:tc>
        <w:tc>
          <w:tcPr>
            <w:tcW w:type="dxa" w:w="2108"/>
          </w:tcPr>
          <w:p>
            <w:r>
              <w:rPr>
                <w:sz w:val="16"/>
              </w:rPr>
              <w:t>Mass/energy balance; throughput optimisation; batch scheduling</w:t>
            </w:r>
          </w:p>
        </w:tc>
        <w:tc>
          <w:tcPr>
            <w:tcW w:type="dxa" w:w="2108"/>
          </w:tcPr>
          <w:p>
            <w:r>
              <w:rPr>
                <w:sz w:val="16"/>
              </w:rPr>
              <w:t>Batch-level (minutes)</w:t>
            </w:r>
          </w:p>
        </w:tc>
      </w:tr>
    </w:tbl>
    <w:p>
      <w:r>
        <w:rPr>
          <w:b/>
          <w:sz w:val="18"/>
        </w:rPr>
        <w:t>Physics-Informed Neural Networks (PINNs)</w:t>
      </w:r>
      <w:r>
        <w:rPr>
          <w:sz w:val="18"/>
        </w:rPr>
        <w:t xml:space="preserve">: The key to real-time capability. High-fidelity CFD and PBM simulations are computationally expensive (hours per calcination cycle simulation). PINNs are trained on libraries of pre-computed simulation results to provide surrogate predictions with &lt;1 second inference time. The PINN architecture encodes the governing physics (energy balance, reaction kinetics) as constraints in the loss function, ensuring predictions remain physically consistent even for extrapolation beyond the training data range. This approach is validated by TwinHeat (MINES Paris), which achieved &lt;1 C prediction accuracy for furnace temperature fields using neural network surrogates trained on CFD data </w:t>
      </w:r>
      <w:r>
        <w:rPr>
          <w:color w:val="0066CC"/>
          <w:sz w:val="16"/>
        </w:rPr>
        <w:t>[CLM-016]</w:t>
      </w:r>
      <w:r>
        <w:rPr>
          <w:sz w:val="18"/>
        </w:rPr>
        <w:t>.</w:t>
      </w:r>
    </w:p>
    <w:p>
      <w:r>
        <w:rPr>
          <w:b/>
          <w:sz w:val="18"/>
        </w:rPr>
        <w:t>Data pipeline</w:t>
      </w:r>
      <w:r>
        <w:rPr>
          <w:sz w:val="18"/>
        </w:rPr>
        <w:t>:</w:t>
      </w:r>
    </w:p>
    <w:p>
      <w:pPr>
        <w:pStyle w:val="ListBullet"/>
      </w:pPr>
      <w:r>
        <w:rPr>
          <w:sz w:val="18"/>
        </w:rPr>
        <w:t>Time-series sensor data: InfluxDB (high-frequency ingestion, retention policies, downsampling)</w:t>
      </w:r>
    </w:p>
    <w:p>
      <w:pPr>
        <w:pStyle w:val="ListBullet"/>
      </w:pPr>
      <w:r>
        <w:rPr>
          <w:sz w:val="18"/>
        </w:rPr>
        <w:t>Batch archival: HDF5 files per batch (complete process trajectory + quality data)</w:t>
      </w:r>
    </w:p>
    <w:p>
      <w:pPr>
        <w:pStyle w:val="ListBullet"/>
      </w:pPr>
      <w:r>
        <w:rPr>
          <w:sz w:val="18"/>
        </w:rPr>
        <w:t>Data lake: Delta Lake on cloud storage for long-term analytics and model retraining</w:t>
      </w:r>
    </w:p>
    <w:p>
      <w:pPr>
        <w:pStyle w:val="ListBullet"/>
      </w:pPr>
      <w:r>
        <w:rPr>
          <w:sz w:val="18"/>
        </w:rPr>
        <w:t>Model registry: MLflow for surrogate model versioning, deployment, and performance tracking</w:t>
      </w:r>
    </w:p>
    <w:p>
      <w:r>
        <w:rPr>
          <w:b/>
          <w:sz w:val="18"/>
        </w:rPr>
        <w:t>ML pipelines</w:t>
      </w:r>
      <w:r>
        <w:rPr>
          <w:sz w:val="18"/>
        </w:rPr>
        <w:t>:</w:t>
      </w:r>
    </w:p>
    <w:p>
      <w:pPr>
        <w:pStyle w:val="ListBullet"/>
      </w:pPr>
      <w:r>
        <w:rPr>
          <w:sz w:val="18"/>
        </w:rPr>
        <w:t xml:space="preserve">Anomaly detection: Autoencoder-based (following Fraunhofer DiBaZ approach </w:t>
      </w:r>
      <w:r>
        <w:rPr>
          <w:color w:val="0066CC"/>
          <w:sz w:val="16"/>
        </w:rPr>
        <w:t>[CLM-017]</w:t>
      </w:r>
      <w:r>
        <w:rPr>
          <w:sz w:val="18"/>
        </w:rPr>
        <w:t>) for detecting out-of-distribution process behaviour</w:t>
      </w:r>
    </w:p>
    <w:p>
      <w:pPr>
        <w:pStyle w:val="ListBullet"/>
      </w:pPr>
      <w:r>
        <w:rPr>
          <w:sz w:val="18"/>
        </w:rPr>
        <w:t>Multivariate SPC: PCA/PLS-based process monitoring with T2 and SPE control charts</w:t>
      </w:r>
    </w:p>
    <w:p>
      <w:pPr>
        <w:pStyle w:val="ListBullet"/>
      </w:pPr>
      <w:r>
        <w:rPr>
          <w:sz w:val="18"/>
        </w:rPr>
        <w:t>Predictive quality: Gradient boosting / neural network models correlating CPP trajectories to final CQAs</w:t>
      </w:r>
    </w:p>
    <w:p>
      <w:pPr>
        <w:pStyle w:val="ListBullet"/>
      </w:pPr>
      <w:r>
        <w:rPr>
          <w:sz w:val="18"/>
        </w:rPr>
        <w:t xml:space="preserve">Bayesian optimisation: For iterative process optimisation during ramp-up (following ARTISTIC approach </w:t>
      </w:r>
      <w:r>
        <w:rPr>
          <w:color w:val="0066CC"/>
          <w:sz w:val="16"/>
        </w:rPr>
        <w:t>[SRC-004]</w:t>
      </w:r>
      <w:r>
        <w:rPr>
          <w:sz w:val="18"/>
        </w:rPr>
        <w:t>)</w:t>
      </w:r>
    </w:p>
    <w:p>
      <w:pPr>
        <w:pStyle w:val="Heading4"/>
      </w:pPr>
      <w:r>
        <w:t>6.8.4 Layer 4 -- User Entity</w:t>
      </w:r>
    </w:p>
    <w:p>
      <w:r>
        <w:rPr>
          <w:sz w:val="18"/>
        </w:rPr>
        <w:t>Layer 4 provides the human-machine interface:</w:t>
      </w:r>
    </w:p>
    <w:p>
      <w:pPr>
        <w:pStyle w:val="ListBullet"/>
      </w:pPr>
      <w:r>
        <w:rPr>
          <w:b/>
          <w:sz w:val="18"/>
        </w:rPr>
        <w:t>Real-time dashboards</w:t>
      </w:r>
      <w:r>
        <w:rPr>
          <w:sz w:val="18"/>
        </w:rPr>
        <w:t xml:space="preserve"> (Grafana): Process state visualisation, CQA predictions with confidence intervals, control action log, equipment health indicators</w:t>
      </w:r>
    </w:p>
    <w:p>
      <w:pPr>
        <w:pStyle w:val="ListBullet"/>
      </w:pPr>
      <w:r>
        <w:rPr>
          <w:b/>
          <w:sz w:val="18"/>
        </w:rPr>
        <w:t>MPC operator interface</w:t>
      </w:r>
      <w:r>
        <w:rPr>
          <w:sz w:val="18"/>
        </w:rPr>
        <w:t>: Model-predictive control for calcination temperature profile optimisation, spray drying parameter adjustment, milling energy control. The MPC operates on a receding-horizon optimisation minimising a cost function combining CQA deviation, energy consumption, and throughput.</w:t>
      </w:r>
    </w:p>
    <w:p>
      <w:pPr>
        <w:pStyle w:val="ListBullet"/>
      </w:pPr>
      <w:r>
        <w:rPr>
          <w:b/>
          <w:sz w:val="18"/>
        </w:rPr>
        <w:t>Batch quality reports</w:t>
      </w:r>
      <w:r>
        <w:rPr>
          <w:sz w:val="18"/>
        </w:rPr>
        <w:t>: Automatic generation at batch completion with CQA measurements vs specifications, process trajectory analysis, DT-predicted vs actual comparison, and pass/fail disposition</w:t>
      </w:r>
    </w:p>
    <w:p>
      <w:pPr>
        <w:pStyle w:val="ListBullet"/>
      </w:pPr>
      <w:r>
        <w:rPr>
          <w:b/>
          <w:sz w:val="18"/>
        </w:rPr>
        <w:t>Predictive maintenance</w:t>
      </w:r>
      <w:r>
        <w:rPr>
          <w:sz w:val="18"/>
        </w:rPr>
        <w:t>: Equipment health indicators derived from DT analysis of sensor trends (heating element degradation, sensor drift, mechanical wear). Maintenance scheduling recommendations based on condition rather than calendar.</w:t>
      </w:r>
    </w:p>
    <w:p>
      <w:pPr>
        <w:pStyle w:val="ListBullet"/>
      </w:pPr>
      <w:r>
        <w:rPr>
          <w:b/>
          <w:sz w:val="18"/>
        </w:rPr>
        <w:t>Battery Passport interface</w:t>
      </w:r>
      <w:r>
        <w:rPr>
          <w:sz w:val="18"/>
        </w:rPr>
        <w:t>: Structured data export compliant with Battery Regulation 2023/1542 requirements, providing full material and process traceability per lot.</w:t>
      </w:r>
    </w:p>
    <w:p>
      <w:r>
        <w:rPr>
          <w:sz w:val="18"/>
        </w:rPr>
        <w:t>---</w:t>
      </w:r>
    </w:p>
    <w:p>
      <w:pPr>
        <w:pStyle w:val="Heading2"/>
      </w:pPr>
      <w:r>
        <w:t>7. Expected Project Output</w:t>
      </w:r>
    </w:p>
    <w:p>
      <w:pPr>
        <w:pStyle w:val="Heading3"/>
      </w:pPr>
      <w:r>
        <w:t>7.1 Production Volume</w:t>
      </w:r>
    </w:p>
    <w:p>
      <w:r>
        <w:rPr>
          <w:sz w:val="18"/>
        </w:rPr>
        <w:t xml:space="preserve">The target annual production capacity is </w:t>
      </w:r>
      <w:r>
        <w:rPr>
          <w:b/>
          <w:sz w:val="18"/>
        </w:rPr>
        <w:t>50,000 tonnes (50 kton/yr)</w:t>
      </w:r>
      <w:r>
        <w:rPr>
          <w:sz w:val="18"/>
        </w:rPr>
        <w:t xml:space="preserve"> of battery-grade LFP CAM, achievable through installation of </w:t>
      </w:r>
      <w:r>
        <w:rPr>
          <w:b/>
          <w:sz w:val="18"/>
        </w:rPr>
        <w:t>4 modular production lines</w:t>
      </w:r>
      <w:r>
        <w:rPr>
          <w:sz w:val="18"/>
        </w:rPr>
        <w:t xml:space="preserve"> of 12,500 t/yr each. With FREYR's cancellation of its 30,000 t/yr project </w:t>
      </w:r>
      <w:r>
        <w:rPr>
          <w:color w:val="0066CC"/>
          <w:sz w:val="16"/>
        </w:rPr>
        <w:t>[SRC-025]</w:t>
      </w:r>
      <w:r>
        <w:rPr>
          <w:sz w:val="18"/>
        </w:rPr>
        <w:t>, the Brindisi facility would be the only planned LFP CAM plant in Europe. The product mix is 75% nanosized LFP and 25% spherical LFP. The target market is primarily ESS cell manufacturers, where LFP's cycle life (potentially &gt;6,000 cycles at cell level) and safety advantages are decisive.</w:t>
      </w:r>
    </w:p>
    <w:p>
      <w:r>
        <w:rPr>
          <w:b/>
          <w:sz w:val="18"/>
        </w:rPr>
        <w:t>Ramp-up trajectory</w:t>
      </w:r>
      <w:r>
        <w:rPr>
          <w:sz w:val="18"/>
        </w:rPr>
        <w:t>:</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Year</w:t>
            </w:r>
          </w:p>
        </w:tc>
        <w:tc>
          <w:tcPr>
            <w:tcW w:type="dxa" w:w="3513"/>
          </w:tcPr>
          <w:p>
            <w:r>
              <w:rPr>
                <w:b/>
                <w:sz w:val="16"/>
              </w:rPr>
              <w:t>Capacity Utilisation</w:t>
            </w:r>
          </w:p>
        </w:tc>
        <w:tc>
          <w:tcPr>
            <w:tcW w:type="dxa" w:w="3513"/>
          </w:tcPr>
          <w:p>
            <w:r>
              <w:rPr>
                <w:b/>
                <w:sz w:val="16"/>
              </w:rPr>
              <w:t>Estimated Output</w:t>
            </w:r>
          </w:p>
        </w:tc>
      </w:tr>
      <w:tr>
        <w:tc>
          <w:tcPr>
            <w:tcW w:type="dxa" w:w="3513"/>
          </w:tcPr>
          <w:p>
            <w:r>
              <w:rPr>
                <w:sz w:val="16"/>
              </w:rPr>
              <w:t>Year 1 (post-EiO)</w:t>
            </w:r>
          </w:p>
        </w:tc>
        <w:tc>
          <w:tcPr>
            <w:tcW w:type="dxa" w:w="3513"/>
          </w:tcPr>
          <w:p>
            <w:r>
              <w:rPr>
                <w:sz w:val="16"/>
              </w:rPr>
              <w:t>50% average</w:t>
            </w:r>
          </w:p>
        </w:tc>
        <w:tc>
          <w:tcPr>
            <w:tcW w:type="dxa" w:w="3513"/>
          </w:tcPr>
          <w:p>
            <w:r>
              <w:rPr>
                <w:sz w:val="16"/>
              </w:rPr>
              <w:t>~25,000 t</w:t>
            </w:r>
          </w:p>
        </w:tc>
      </w:tr>
      <w:tr>
        <w:tc>
          <w:tcPr>
            <w:tcW w:type="dxa" w:w="3513"/>
          </w:tcPr>
          <w:p>
            <w:r>
              <w:rPr>
                <w:sz w:val="16"/>
              </w:rPr>
              <w:t>Year 2</w:t>
            </w:r>
          </w:p>
        </w:tc>
        <w:tc>
          <w:tcPr>
            <w:tcW w:type="dxa" w:w="3513"/>
          </w:tcPr>
          <w:p>
            <w:r>
              <w:rPr>
                <w:sz w:val="16"/>
              </w:rPr>
              <w:t>80%</w:t>
            </w:r>
          </w:p>
        </w:tc>
        <w:tc>
          <w:tcPr>
            <w:tcW w:type="dxa" w:w="3513"/>
          </w:tcPr>
          <w:p>
            <w:r>
              <w:rPr>
                <w:sz w:val="16"/>
              </w:rPr>
              <w:t>~40,000 t</w:t>
            </w:r>
          </w:p>
        </w:tc>
      </w:tr>
      <w:tr>
        <w:tc>
          <w:tcPr>
            <w:tcW w:type="dxa" w:w="3513"/>
          </w:tcPr>
          <w:p>
            <w:r>
              <w:rPr>
                <w:sz w:val="16"/>
              </w:rPr>
              <w:t>Year 3+</w:t>
            </w:r>
          </w:p>
        </w:tc>
        <w:tc>
          <w:tcPr>
            <w:tcW w:type="dxa" w:w="3513"/>
          </w:tcPr>
          <w:p>
            <w:r>
              <w:rPr>
                <w:sz w:val="16"/>
              </w:rPr>
              <w:t>100% (nameplate)</w:t>
            </w:r>
          </w:p>
        </w:tc>
        <w:tc>
          <w:tcPr>
            <w:tcW w:type="dxa" w:w="3513"/>
          </w:tcPr>
          <w:p>
            <w:r>
              <w:rPr>
                <w:sz w:val="16"/>
              </w:rPr>
              <w:t>50,000 t/yr</w:t>
            </w:r>
          </w:p>
        </w:tc>
      </w:tr>
    </w:tbl>
    <w:p>
      <w:pPr>
        <w:pStyle w:val="Heading3"/>
      </w:pPr>
      <w:r>
        <w:t>7.2 Product Quality</w:t>
      </w:r>
    </w:p>
    <w:p>
      <w:r>
        <w:rPr>
          <w:sz w:val="18"/>
        </w:rPr>
        <w:t>The FACE plant produces battery-grade LiFePO4/C powder meeting the following CQA specifications:</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108"/>
          </w:tcPr>
          <w:p>
            <w:r>
              <w:rPr>
                <w:b/>
                <w:sz w:val="16"/>
              </w:rPr>
              <w:t>CQA</w:t>
            </w:r>
          </w:p>
        </w:tc>
        <w:tc>
          <w:tcPr>
            <w:tcW w:type="dxa" w:w="2108"/>
          </w:tcPr>
          <w:p>
            <w:r>
              <w:rPr>
                <w:b/>
                <w:sz w:val="16"/>
              </w:rPr>
              <w:t>Target</w:t>
            </w:r>
          </w:p>
        </w:tc>
        <w:tc>
          <w:tcPr>
            <w:tcW w:type="dxa" w:w="2108"/>
          </w:tcPr>
          <w:p>
            <w:r>
              <w:rPr>
                <w:b/>
                <w:sz w:val="16"/>
              </w:rPr>
              <w:t>Min/Max Specification</w:t>
            </w:r>
          </w:p>
        </w:tc>
        <w:tc>
          <w:tcPr>
            <w:tcW w:type="dxa" w:w="2108"/>
          </w:tcPr>
          <w:p>
            <w:r>
              <w:rPr>
                <w:b/>
                <w:sz w:val="16"/>
              </w:rPr>
              <w:t>Test Method</w:t>
            </w:r>
          </w:p>
        </w:tc>
        <w:tc>
          <w:tcPr>
            <w:tcW w:type="dxa" w:w="2108"/>
          </w:tcPr>
          <w:p>
            <w:r>
              <w:rPr>
                <w:b/>
                <w:sz w:val="16"/>
              </w:rPr>
              <w:t>Test Standard</w:t>
            </w:r>
          </w:p>
        </w:tc>
      </w:tr>
      <w:tr>
        <w:tc>
          <w:tcPr>
            <w:tcW w:type="dxa" w:w="2108"/>
          </w:tcPr>
          <w:p>
            <w:r>
              <w:rPr>
                <w:sz w:val="16"/>
              </w:rPr>
              <w:t>D10 particle size</w:t>
            </w:r>
          </w:p>
        </w:tc>
        <w:tc>
          <w:tcPr>
            <w:tcW w:type="dxa" w:w="2108"/>
          </w:tcPr>
          <w:p>
            <w:r>
              <w:rPr>
                <w:sz w:val="16"/>
              </w:rPr>
              <w:t>0.3-1.0 um</w:t>
            </w:r>
          </w:p>
        </w:tc>
        <w:tc>
          <w:tcPr>
            <w:tcW w:type="dxa" w:w="2108"/>
          </w:tcPr>
          <w:p>
            <w:r>
              <w:rPr>
                <w:sz w:val="16"/>
              </w:rPr>
              <w:t>Range</w:t>
            </w:r>
          </w:p>
        </w:tc>
        <w:tc>
          <w:tcPr>
            <w:tcW w:type="dxa" w:w="2108"/>
          </w:tcPr>
          <w:p>
            <w:r>
              <w:rPr>
                <w:sz w:val="16"/>
              </w:rPr>
              <w:t>Laser diffraction</w:t>
            </w:r>
          </w:p>
        </w:tc>
        <w:tc>
          <w:tcPr>
            <w:tcW w:type="dxa" w:w="2108"/>
          </w:tcPr>
          <w:p>
            <w:r>
              <w:rPr>
                <w:sz w:val="16"/>
              </w:rPr>
              <w:t>ISO 13320</w:t>
            </w:r>
          </w:p>
        </w:tc>
      </w:tr>
      <w:tr>
        <w:tc>
          <w:tcPr>
            <w:tcW w:type="dxa" w:w="2108"/>
          </w:tcPr>
          <w:p>
            <w:r>
              <w:rPr>
                <w:sz w:val="16"/>
              </w:rPr>
              <w:t>D50 particle size</w:t>
            </w:r>
          </w:p>
        </w:tc>
        <w:tc>
          <w:tcPr>
            <w:tcW w:type="dxa" w:w="2108"/>
          </w:tcPr>
          <w:p>
            <w:r>
              <w:rPr>
                <w:sz w:val="16"/>
              </w:rPr>
              <w:t>0.7-2.5 um</w:t>
            </w:r>
          </w:p>
        </w:tc>
        <w:tc>
          <w:tcPr>
            <w:tcW w:type="dxa" w:w="2108"/>
          </w:tcPr>
          <w:p>
            <w:r>
              <w:rPr>
                <w:sz w:val="16"/>
              </w:rPr>
              <w:t>Range</w:t>
            </w:r>
          </w:p>
        </w:tc>
        <w:tc>
          <w:tcPr>
            <w:tcW w:type="dxa" w:w="2108"/>
          </w:tcPr>
          <w:p>
            <w:r>
              <w:rPr>
                <w:sz w:val="16"/>
              </w:rPr>
              <w:t>Laser diffraction</w:t>
            </w:r>
          </w:p>
        </w:tc>
        <w:tc>
          <w:tcPr>
            <w:tcW w:type="dxa" w:w="2108"/>
          </w:tcPr>
          <w:p>
            <w:r>
              <w:rPr>
                <w:sz w:val="16"/>
              </w:rPr>
              <w:t>ISO 13320</w:t>
            </w:r>
          </w:p>
        </w:tc>
      </w:tr>
      <w:tr>
        <w:tc>
          <w:tcPr>
            <w:tcW w:type="dxa" w:w="2108"/>
          </w:tcPr>
          <w:p>
            <w:r>
              <w:rPr>
                <w:sz w:val="16"/>
              </w:rPr>
              <w:t>D90 particle size</w:t>
            </w:r>
          </w:p>
        </w:tc>
        <w:tc>
          <w:tcPr>
            <w:tcW w:type="dxa" w:w="2108"/>
          </w:tcPr>
          <w:p>
            <w:r>
              <w:rPr>
                <w:sz w:val="16"/>
              </w:rPr>
              <w:t>2.5-12.0 um</w:t>
            </w:r>
          </w:p>
        </w:tc>
        <w:tc>
          <w:tcPr>
            <w:tcW w:type="dxa" w:w="2108"/>
          </w:tcPr>
          <w:p>
            <w:r>
              <w:rPr>
                <w:sz w:val="16"/>
              </w:rPr>
              <w:t>Range</w:t>
            </w:r>
          </w:p>
        </w:tc>
        <w:tc>
          <w:tcPr>
            <w:tcW w:type="dxa" w:w="2108"/>
          </w:tcPr>
          <w:p>
            <w:r>
              <w:rPr>
                <w:sz w:val="16"/>
              </w:rPr>
              <w:t>Laser diffraction</w:t>
            </w:r>
          </w:p>
        </w:tc>
        <w:tc>
          <w:tcPr>
            <w:tcW w:type="dxa" w:w="2108"/>
          </w:tcPr>
          <w:p>
            <w:r>
              <w:rPr>
                <w:sz w:val="16"/>
              </w:rPr>
              <w:t>ISO 13320</w:t>
            </w:r>
          </w:p>
        </w:tc>
      </w:tr>
      <w:tr>
        <w:tc>
          <w:tcPr>
            <w:tcW w:type="dxa" w:w="2108"/>
          </w:tcPr>
          <w:p>
            <w:r>
              <w:rPr>
                <w:sz w:val="16"/>
              </w:rPr>
              <w:t>Specific surface area (SSA)</w:t>
            </w:r>
          </w:p>
        </w:tc>
        <w:tc>
          <w:tcPr>
            <w:tcW w:type="dxa" w:w="2108"/>
          </w:tcPr>
          <w:p>
            <w:r>
              <w:rPr>
                <w:sz w:val="16"/>
              </w:rPr>
              <w:t>10-14 m2/g</w:t>
            </w:r>
          </w:p>
        </w:tc>
        <w:tc>
          <w:tcPr>
            <w:tcW w:type="dxa" w:w="2108"/>
          </w:tcPr>
          <w:p>
            <w:r>
              <w:rPr>
                <w:sz w:val="16"/>
              </w:rPr>
              <w:t>Range</w:t>
            </w:r>
          </w:p>
        </w:tc>
        <w:tc>
          <w:tcPr>
            <w:tcW w:type="dxa" w:w="2108"/>
          </w:tcPr>
          <w:p>
            <w:r>
              <w:rPr>
                <w:sz w:val="16"/>
              </w:rPr>
              <w:t>N2 adsorption (BET)</w:t>
            </w:r>
          </w:p>
        </w:tc>
        <w:tc>
          <w:tcPr>
            <w:tcW w:type="dxa" w:w="2108"/>
          </w:tcPr>
          <w:p>
            <w:r>
              <w:rPr>
                <w:sz w:val="16"/>
              </w:rPr>
              <w:t>ISO 9277</w:t>
            </w:r>
          </w:p>
        </w:tc>
      </w:tr>
      <w:tr>
        <w:tc>
          <w:tcPr>
            <w:tcW w:type="dxa" w:w="2108"/>
          </w:tcPr>
          <w:p>
            <w:r>
              <w:rPr>
                <w:sz w:val="16"/>
              </w:rPr>
              <w:t>Tap density</w:t>
            </w:r>
          </w:p>
        </w:tc>
        <w:tc>
          <w:tcPr>
            <w:tcW w:type="dxa" w:w="2108"/>
          </w:tcPr>
          <w:p>
            <w:r>
              <w:rPr>
                <w:sz w:val="16"/>
              </w:rPr>
              <w:t>1.0-1.4 g/cm3</w:t>
            </w:r>
          </w:p>
        </w:tc>
        <w:tc>
          <w:tcPr>
            <w:tcW w:type="dxa" w:w="2108"/>
          </w:tcPr>
          <w:p>
            <w:r>
              <w:rPr>
                <w:sz w:val="16"/>
              </w:rPr>
              <w:t>&gt;1.0 g/cm3</w:t>
            </w:r>
          </w:p>
        </w:tc>
        <w:tc>
          <w:tcPr>
            <w:tcW w:type="dxa" w:w="2108"/>
          </w:tcPr>
          <w:p>
            <w:r>
              <w:rPr>
                <w:sz w:val="16"/>
              </w:rPr>
              <w:t>Standardised tapping</w:t>
            </w:r>
          </w:p>
        </w:tc>
        <w:tc>
          <w:tcPr>
            <w:tcW w:type="dxa" w:w="2108"/>
          </w:tcPr>
          <w:p>
            <w:r>
              <w:rPr>
                <w:sz w:val="16"/>
              </w:rPr>
              <w:t>ASTM B527</w:t>
            </w:r>
          </w:p>
        </w:tc>
      </w:tr>
      <w:tr>
        <w:tc>
          <w:tcPr>
            <w:tcW w:type="dxa" w:w="2108"/>
          </w:tcPr>
          <w:p>
            <w:r>
              <w:rPr>
                <w:sz w:val="16"/>
              </w:rPr>
              <w:t>Pellet density</w:t>
            </w:r>
          </w:p>
        </w:tc>
        <w:tc>
          <w:tcPr>
            <w:tcW w:type="dxa" w:w="2108"/>
          </w:tcPr>
          <w:p>
            <w:r>
              <w:rPr>
                <w:sz w:val="16"/>
              </w:rPr>
              <w:t>&gt;=2.40 g/cm3</w:t>
            </w:r>
          </w:p>
        </w:tc>
        <w:tc>
          <w:tcPr>
            <w:tcW w:type="dxa" w:w="2108"/>
          </w:tcPr>
          <w:p>
            <w:r>
              <w:rPr>
                <w:sz w:val="16"/>
              </w:rPr>
              <w:t>Min 2.40 g/cm3</w:t>
            </w:r>
          </w:p>
        </w:tc>
        <w:tc>
          <w:tcPr>
            <w:tcW w:type="dxa" w:w="2108"/>
          </w:tcPr>
          <w:p>
            <w:r>
              <w:rPr>
                <w:sz w:val="16"/>
              </w:rPr>
              <w:t>Compaction measurement</w:t>
            </w:r>
          </w:p>
        </w:tc>
        <w:tc>
          <w:tcPr>
            <w:tcW w:type="dxa" w:w="2108"/>
          </w:tcPr>
          <w:p>
            <w:r>
              <w:rPr>
                <w:sz w:val="16"/>
              </w:rPr>
              <w:t>--</w:t>
            </w:r>
          </w:p>
        </w:tc>
      </w:tr>
      <w:tr>
        <w:tc>
          <w:tcPr>
            <w:tcW w:type="dxa" w:w="2108"/>
          </w:tcPr>
          <w:p>
            <w:r>
              <w:rPr>
                <w:sz w:val="16"/>
              </w:rPr>
              <w:t>Electrode press density</w:t>
            </w:r>
          </w:p>
        </w:tc>
        <w:tc>
          <w:tcPr>
            <w:tcW w:type="dxa" w:w="2108"/>
          </w:tcPr>
          <w:p>
            <w:r>
              <w:rPr>
                <w:sz w:val="16"/>
              </w:rPr>
              <w:t>&gt;=2.30 g/cm3</w:t>
            </w:r>
          </w:p>
        </w:tc>
        <w:tc>
          <w:tcPr>
            <w:tcW w:type="dxa" w:w="2108"/>
          </w:tcPr>
          <w:p>
            <w:r>
              <w:rPr>
                <w:sz w:val="16"/>
              </w:rPr>
              <w:t>Min 2.30 g/cm3</w:t>
            </w:r>
          </w:p>
        </w:tc>
        <w:tc>
          <w:tcPr>
            <w:tcW w:type="dxa" w:w="2108"/>
          </w:tcPr>
          <w:p>
            <w:r>
              <w:rPr>
                <w:sz w:val="16"/>
              </w:rPr>
              <w:t>Press density measurement</w:t>
            </w:r>
          </w:p>
        </w:tc>
        <w:tc>
          <w:tcPr>
            <w:tcW w:type="dxa" w:w="2108"/>
          </w:tcPr>
          <w:p>
            <w:r>
              <w:rPr>
                <w:sz w:val="16"/>
              </w:rPr>
              <w:t>--</w:t>
            </w:r>
          </w:p>
        </w:tc>
      </w:tr>
      <w:tr>
        <w:tc>
          <w:tcPr>
            <w:tcW w:type="dxa" w:w="2108"/>
          </w:tcPr>
          <w:p>
            <w:r>
              <w:rPr>
                <w:sz w:val="16"/>
              </w:rPr>
              <w:t>Phase purity (olivine)</w:t>
            </w:r>
          </w:p>
        </w:tc>
        <w:tc>
          <w:tcPr>
            <w:tcW w:type="dxa" w:w="2108"/>
          </w:tcPr>
          <w:p>
            <w:r>
              <w:rPr>
                <w:sz w:val="16"/>
              </w:rPr>
              <w:t>&gt;98% LiFePO4</w:t>
            </w:r>
          </w:p>
        </w:tc>
        <w:tc>
          <w:tcPr>
            <w:tcW w:type="dxa" w:w="2108"/>
          </w:tcPr>
          <w:p>
            <w:r>
              <w:rPr>
                <w:sz w:val="16"/>
              </w:rPr>
              <w:t>Min 97%</w:t>
            </w:r>
          </w:p>
        </w:tc>
        <w:tc>
          <w:tcPr>
            <w:tcW w:type="dxa" w:w="2108"/>
          </w:tcPr>
          <w:p>
            <w:r>
              <w:rPr>
                <w:sz w:val="16"/>
              </w:rPr>
              <w:t>XRD Rietveld refinement</w:t>
            </w:r>
          </w:p>
        </w:tc>
        <w:tc>
          <w:tcPr>
            <w:tcW w:type="dxa" w:w="2108"/>
          </w:tcPr>
          <w:p>
            <w:r>
              <w:rPr>
                <w:sz w:val="16"/>
              </w:rPr>
              <w:t>ISO 16700 (adapted)</w:t>
            </w:r>
          </w:p>
        </w:tc>
      </w:tr>
      <w:tr>
        <w:tc>
          <w:tcPr>
            <w:tcW w:type="dxa" w:w="2108"/>
          </w:tcPr>
          <w:p>
            <w:r>
              <w:rPr>
                <w:sz w:val="16"/>
              </w:rPr>
              <w:t>Fe2+/Fe3+ ratio</w:t>
            </w:r>
          </w:p>
        </w:tc>
        <w:tc>
          <w:tcPr>
            <w:tcW w:type="dxa" w:w="2108"/>
          </w:tcPr>
          <w:p>
            <w:r>
              <w:rPr>
                <w:sz w:val="16"/>
              </w:rPr>
              <w:t>&gt;0.95</w:t>
            </w:r>
          </w:p>
        </w:tc>
        <w:tc>
          <w:tcPr>
            <w:tcW w:type="dxa" w:w="2108"/>
          </w:tcPr>
          <w:p>
            <w:r>
              <w:rPr>
                <w:sz w:val="16"/>
              </w:rPr>
              <w:t>Min 0.90</w:t>
            </w:r>
          </w:p>
        </w:tc>
        <w:tc>
          <w:tcPr>
            <w:tcW w:type="dxa" w:w="2108"/>
          </w:tcPr>
          <w:p>
            <w:r>
              <w:rPr>
                <w:sz w:val="16"/>
              </w:rPr>
              <w:t>Mossbauer spectroscopy / XPS</w:t>
            </w:r>
          </w:p>
        </w:tc>
        <w:tc>
          <w:tcPr>
            <w:tcW w:type="dxa" w:w="2108"/>
          </w:tcPr>
          <w:p>
            <w:r>
              <w:rPr>
                <w:sz w:val="16"/>
              </w:rPr>
              <w:t>--</w:t>
            </w:r>
          </w:p>
        </w:tc>
      </w:tr>
      <w:tr>
        <w:tc>
          <w:tcPr>
            <w:tcW w:type="dxa" w:w="2108"/>
          </w:tcPr>
          <w:p>
            <w:r>
              <w:rPr>
                <w:sz w:val="16"/>
              </w:rPr>
              <w:t>Carbon content</w:t>
            </w:r>
          </w:p>
        </w:tc>
        <w:tc>
          <w:tcPr>
            <w:tcW w:type="dxa" w:w="2108"/>
          </w:tcPr>
          <w:p>
            <w:r>
              <w:rPr>
                <w:sz w:val="16"/>
              </w:rPr>
              <w:t>1.0-1.8 wt%</w:t>
            </w:r>
          </w:p>
        </w:tc>
        <w:tc>
          <w:tcPr>
            <w:tcW w:type="dxa" w:w="2108"/>
          </w:tcPr>
          <w:p>
            <w:r>
              <w:rPr>
                <w:sz w:val="16"/>
              </w:rPr>
              <w:t>Range</w:t>
            </w:r>
          </w:p>
        </w:tc>
        <w:tc>
          <w:tcPr>
            <w:tcW w:type="dxa" w:w="2108"/>
          </w:tcPr>
          <w:p>
            <w:r>
              <w:rPr>
                <w:sz w:val="16"/>
              </w:rPr>
              <w:t>TGA / combustion analysis</w:t>
            </w:r>
          </w:p>
        </w:tc>
        <w:tc>
          <w:tcPr>
            <w:tcW w:type="dxa" w:w="2108"/>
          </w:tcPr>
          <w:p>
            <w:r>
              <w:rPr>
                <w:sz w:val="16"/>
              </w:rPr>
              <w:t>--</w:t>
            </w:r>
          </w:p>
        </w:tc>
      </w:tr>
      <w:tr>
        <w:tc>
          <w:tcPr>
            <w:tcW w:type="dxa" w:w="2108"/>
          </w:tcPr>
          <w:p>
            <w:r>
              <w:rPr>
                <w:sz w:val="16"/>
              </w:rPr>
              <w:t>Carbon D/G ratio (Raman)</w:t>
            </w:r>
          </w:p>
        </w:tc>
        <w:tc>
          <w:tcPr>
            <w:tcW w:type="dxa" w:w="2108"/>
          </w:tcPr>
          <w:p>
            <w:r>
              <w:rPr>
                <w:sz w:val="16"/>
              </w:rPr>
              <w:t>0.8-1.2</w:t>
            </w:r>
          </w:p>
        </w:tc>
        <w:tc>
          <w:tcPr>
            <w:tcW w:type="dxa" w:w="2108"/>
          </w:tcPr>
          <w:p>
            <w:r>
              <w:rPr>
                <w:sz w:val="16"/>
              </w:rPr>
              <w:t>Range</w:t>
            </w:r>
          </w:p>
        </w:tc>
        <w:tc>
          <w:tcPr>
            <w:tcW w:type="dxa" w:w="2108"/>
          </w:tcPr>
          <w:p>
            <w:r>
              <w:rPr>
                <w:sz w:val="16"/>
              </w:rPr>
              <w:t>Raman spectroscopy</w:t>
            </w:r>
          </w:p>
        </w:tc>
        <w:tc>
          <w:tcPr>
            <w:tcW w:type="dxa" w:w="2108"/>
          </w:tcPr>
          <w:p>
            <w:r>
              <w:rPr>
                <w:sz w:val="16"/>
              </w:rPr>
              <w:t>--</w:t>
            </w:r>
          </w:p>
        </w:tc>
      </w:tr>
      <w:tr>
        <w:tc>
          <w:tcPr>
            <w:tcW w:type="dxa" w:w="2108"/>
          </w:tcPr>
          <w:p>
            <w:r>
              <w:rPr>
                <w:sz w:val="16"/>
              </w:rPr>
              <w:t>Discharge capacity (0.1C)</w:t>
            </w:r>
          </w:p>
        </w:tc>
        <w:tc>
          <w:tcPr>
            <w:tcW w:type="dxa" w:w="2108"/>
          </w:tcPr>
          <w:p>
            <w:r>
              <w:rPr>
                <w:sz w:val="16"/>
              </w:rPr>
              <w:t>&gt;=155 mAh/g</w:t>
            </w:r>
          </w:p>
        </w:tc>
        <w:tc>
          <w:tcPr>
            <w:tcW w:type="dxa" w:w="2108"/>
          </w:tcPr>
          <w:p>
            <w:r>
              <w:rPr>
                <w:sz w:val="16"/>
              </w:rPr>
              <w:t>Min 150 mAh/g</w:t>
            </w:r>
          </w:p>
        </w:tc>
        <w:tc>
          <w:tcPr>
            <w:tcW w:type="dxa" w:w="2108"/>
          </w:tcPr>
          <w:p>
            <w:r>
              <w:rPr>
                <w:sz w:val="16"/>
              </w:rPr>
              <w:t>Half-cell electrochemical</w:t>
            </w:r>
          </w:p>
        </w:tc>
        <w:tc>
          <w:tcPr>
            <w:tcW w:type="dxa" w:w="2108"/>
          </w:tcPr>
          <w:p>
            <w:r>
              <w:rPr>
                <w:sz w:val="16"/>
              </w:rPr>
              <w:t>IEC 62660-1 (adapted)</w:t>
            </w:r>
          </w:p>
        </w:tc>
      </w:tr>
      <w:tr>
        <w:tc>
          <w:tcPr>
            <w:tcW w:type="dxa" w:w="2108"/>
          </w:tcPr>
          <w:p>
            <w:r>
              <w:rPr>
                <w:sz w:val="16"/>
              </w:rPr>
              <w:t>Discharge capacity (1C)</w:t>
            </w:r>
          </w:p>
        </w:tc>
        <w:tc>
          <w:tcPr>
            <w:tcW w:type="dxa" w:w="2108"/>
          </w:tcPr>
          <w:p>
            <w:r>
              <w:rPr>
                <w:sz w:val="16"/>
              </w:rPr>
              <w:t>&gt;=140 mAh/g</w:t>
            </w:r>
          </w:p>
        </w:tc>
        <w:tc>
          <w:tcPr>
            <w:tcW w:type="dxa" w:w="2108"/>
          </w:tcPr>
          <w:p>
            <w:r>
              <w:rPr>
                <w:sz w:val="16"/>
              </w:rPr>
              <w:t>Min 135 mAh/g</w:t>
            </w:r>
          </w:p>
        </w:tc>
        <w:tc>
          <w:tcPr>
            <w:tcW w:type="dxa" w:w="2108"/>
          </w:tcPr>
          <w:p>
            <w:r>
              <w:rPr>
                <w:sz w:val="16"/>
              </w:rPr>
              <w:t>Half-cell electrochemical</w:t>
            </w:r>
          </w:p>
        </w:tc>
        <w:tc>
          <w:tcPr>
            <w:tcW w:type="dxa" w:w="2108"/>
          </w:tcPr>
          <w:p>
            <w:r>
              <w:rPr>
                <w:sz w:val="16"/>
              </w:rPr>
              <w:t>IEC 62660-1 (adapted)</w:t>
            </w:r>
          </w:p>
        </w:tc>
      </w:tr>
      <w:tr>
        <w:tc>
          <w:tcPr>
            <w:tcW w:type="dxa" w:w="2108"/>
          </w:tcPr>
          <w:p>
            <w:r>
              <w:rPr>
                <w:sz w:val="16"/>
              </w:rPr>
              <w:t>Initial Coulombic Efficiency</w:t>
            </w:r>
          </w:p>
        </w:tc>
        <w:tc>
          <w:tcPr>
            <w:tcW w:type="dxa" w:w="2108"/>
          </w:tcPr>
          <w:p>
            <w:r>
              <w:rPr>
                <w:sz w:val="16"/>
              </w:rPr>
              <w:t>~98%</w:t>
            </w:r>
          </w:p>
        </w:tc>
        <w:tc>
          <w:tcPr>
            <w:tcW w:type="dxa" w:w="2108"/>
          </w:tcPr>
          <w:p>
            <w:r>
              <w:rPr>
                <w:sz w:val="16"/>
              </w:rPr>
              <w:t>Min 96%</w:t>
            </w:r>
          </w:p>
        </w:tc>
        <w:tc>
          <w:tcPr>
            <w:tcW w:type="dxa" w:w="2108"/>
          </w:tcPr>
          <w:p>
            <w:r>
              <w:rPr>
                <w:sz w:val="16"/>
              </w:rPr>
              <w:t>Half-cell electrochemical</w:t>
            </w:r>
          </w:p>
        </w:tc>
        <w:tc>
          <w:tcPr>
            <w:tcW w:type="dxa" w:w="2108"/>
          </w:tcPr>
          <w:p>
            <w:r>
              <w:rPr>
                <w:sz w:val="16"/>
              </w:rPr>
              <w:t>--</w:t>
            </w:r>
          </w:p>
        </w:tc>
      </w:tr>
      <w:tr>
        <w:tc>
          <w:tcPr>
            <w:tcW w:type="dxa" w:w="2108"/>
          </w:tcPr>
          <w:p>
            <w:r>
              <w:rPr>
                <w:sz w:val="16"/>
              </w:rPr>
              <w:t>Moisture</w:t>
            </w:r>
          </w:p>
        </w:tc>
        <w:tc>
          <w:tcPr>
            <w:tcW w:type="dxa" w:w="2108"/>
          </w:tcPr>
          <w:p>
            <w:r>
              <w:rPr>
                <w:sz w:val="16"/>
              </w:rPr>
              <w:t>&lt;750 ppm</w:t>
            </w:r>
          </w:p>
        </w:tc>
        <w:tc>
          <w:tcPr>
            <w:tcW w:type="dxa" w:w="2108"/>
          </w:tcPr>
          <w:p>
            <w:r>
              <w:rPr>
                <w:sz w:val="16"/>
              </w:rPr>
              <w:t>Max 750 ppm</w:t>
            </w:r>
          </w:p>
        </w:tc>
        <w:tc>
          <w:tcPr>
            <w:tcW w:type="dxa" w:w="2108"/>
          </w:tcPr>
          <w:p>
            <w:r>
              <w:rPr>
                <w:sz w:val="16"/>
              </w:rPr>
              <w:t>Karl Fischer titration</w:t>
            </w:r>
          </w:p>
        </w:tc>
        <w:tc>
          <w:tcPr>
            <w:tcW w:type="dxa" w:w="2108"/>
          </w:tcPr>
          <w:p>
            <w:r>
              <w:rPr>
                <w:sz w:val="16"/>
              </w:rPr>
              <w:t>ASTM E203</w:t>
            </w:r>
          </w:p>
        </w:tc>
      </w:tr>
      <w:tr>
        <w:tc>
          <w:tcPr>
            <w:tcW w:type="dxa" w:w="2108"/>
          </w:tcPr>
          <w:p>
            <w:r>
              <w:rPr>
                <w:sz w:val="16"/>
              </w:rPr>
              <w:t>Magnetic impurities</w:t>
            </w:r>
          </w:p>
        </w:tc>
        <w:tc>
          <w:tcPr>
            <w:tcW w:type="dxa" w:w="2108"/>
          </w:tcPr>
          <w:p>
            <w:r>
              <w:rPr>
                <w:sz w:val="16"/>
              </w:rPr>
              <w:t>&lt;=1000 ppb</w:t>
            </w:r>
          </w:p>
        </w:tc>
        <w:tc>
          <w:tcPr>
            <w:tcW w:type="dxa" w:w="2108"/>
          </w:tcPr>
          <w:p>
            <w:r>
              <w:rPr>
                <w:sz w:val="16"/>
              </w:rPr>
              <w:t>Max 1000 ppb</w:t>
            </w:r>
          </w:p>
        </w:tc>
        <w:tc>
          <w:tcPr>
            <w:tcW w:type="dxa" w:w="2108"/>
          </w:tcPr>
          <w:p>
            <w:r>
              <w:rPr>
                <w:sz w:val="16"/>
              </w:rPr>
              <w:t>Magnetic susceptibility</w:t>
            </w:r>
          </w:p>
        </w:tc>
        <w:tc>
          <w:tcPr>
            <w:tcW w:type="dxa" w:w="2108"/>
          </w:tcPr>
          <w:p>
            <w:r>
              <w:rPr>
                <w:sz w:val="16"/>
              </w:rPr>
              <w:t>--</w:t>
            </w:r>
          </w:p>
        </w:tc>
      </w:tr>
    </w:tbl>
    <w:p>
      <w:r>
        <w:rPr>
          <w:sz w:val="18"/>
        </w:rPr>
        <w:t>These specifications are competitive with Tier-1 Chinese LFP CAM (CATL, BYD) and aligned with the requirements published by European cell manufacturers for LFP cathode qualification.</w:t>
      </w:r>
    </w:p>
    <w:p>
      <w:pPr>
        <w:pStyle w:val="Heading3"/>
      </w:pPr>
      <w:r>
        <w:t>7.3 Turndown, Availability, and Reliability</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Parameter</w:t>
            </w:r>
          </w:p>
        </w:tc>
        <w:tc>
          <w:tcPr>
            <w:tcW w:type="dxa" w:w="3513"/>
          </w:tcPr>
          <w:p>
            <w:r>
              <w:rPr>
                <w:b/>
                <w:sz w:val="16"/>
              </w:rPr>
              <w:t>Target</w:t>
            </w:r>
          </w:p>
        </w:tc>
        <w:tc>
          <w:tcPr>
            <w:tcW w:type="dxa" w:w="3513"/>
          </w:tcPr>
          <w:p>
            <w:r>
              <w:rPr>
                <w:b/>
                <w:sz w:val="16"/>
              </w:rPr>
              <w:t>Basis</w:t>
            </w:r>
          </w:p>
        </w:tc>
      </w:tr>
      <w:tr>
        <w:tc>
          <w:tcPr>
            <w:tcW w:type="dxa" w:w="3513"/>
          </w:tcPr>
          <w:p>
            <w:r>
              <w:rPr>
                <w:sz w:val="16"/>
              </w:rPr>
              <w:t>Minimum turndown</w:t>
            </w:r>
          </w:p>
        </w:tc>
        <w:tc>
          <w:tcPr>
            <w:tcW w:type="dxa" w:w="3513"/>
          </w:tcPr>
          <w:p>
            <w:r>
              <w:rPr>
                <w:sz w:val="16"/>
              </w:rPr>
              <w:t>25% of nameplate capacity</w:t>
            </w:r>
          </w:p>
        </w:tc>
        <w:tc>
          <w:tcPr>
            <w:tcW w:type="dxa" w:w="3513"/>
          </w:tcPr>
          <w:p>
            <w:r>
              <w:rPr>
                <w:sz w:val="16"/>
              </w:rPr>
              <w:t>Minimum batch size for spray dryer and kiln operation</w:t>
            </w:r>
          </w:p>
        </w:tc>
      </w:tr>
      <w:tr>
        <w:tc>
          <w:tcPr>
            <w:tcW w:type="dxa" w:w="3513"/>
          </w:tcPr>
          <w:p>
            <w:r>
              <w:rPr>
                <w:sz w:val="16"/>
              </w:rPr>
              <w:t>Plant availability</w:t>
            </w:r>
          </w:p>
        </w:tc>
        <w:tc>
          <w:tcPr>
            <w:tcW w:type="dxa" w:w="3513"/>
          </w:tcPr>
          <w:p>
            <w:r>
              <w:rPr>
                <w:sz w:val="16"/>
              </w:rPr>
              <w:t>&gt;90% (Year 2+)</w:t>
            </w:r>
          </w:p>
        </w:tc>
        <w:tc>
          <w:tcPr>
            <w:tcW w:type="dxa" w:w="3513"/>
          </w:tcPr>
          <w:p>
            <w:r>
              <w:rPr>
                <w:sz w:val="16"/>
              </w:rPr>
              <w:t>Industry benchmark for continuous chemical process plants</w:t>
            </w:r>
          </w:p>
        </w:tc>
      </w:tr>
      <w:tr>
        <w:tc>
          <w:tcPr>
            <w:tcW w:type="dxa" w:w="3513"/>
          </w:tcPr>
          <w:p>
            <w:r>
              <w:rPr>
                <w:sz w:val="16"/>
              </w:rPr>
              <w:t>On-stream factor</w:t>
            </w:r>
          </w:p>
        </w:tc>
        <w:tc>
          <w:tcPr>
            <w:tcW w:type="dxa" w:w="3513"/>
          </w:tcPr>
          <w:p>
            <w:r>
              <w:rPr>
                <w:sz w:val="16"/>
              </w:rPr>
              <w:t>&gt;85% (Year 2+)</w:t>
            </w:r>
          </w:p>
        </w:tc>
        <w:tc>
          <w:tcPr>
            <w:tcW w:type="dxa" w:w="3513"/>
          </w:tcPr>
          <w:p>
            <w:r>
              <w:rPr>
                <w:sz w:val="16"/>
              </w:rPr>
              <w:t>Accounting for planned maintenance, batch changeover, QC holds</w:t>
            </w:r>
          </w:p>
        </w:tc>
      </w:tr>
      <w:tr>
        <w:tc>
          <w:tcPr>
            <w:tcW w:type="dxa" w:w="3513"/>
          </w:tcPr>
          <w:p>
            <w:r>
              <w:rPr>
                <w:sz w:val="16"/>
              </w:rPr>
              <w:t>Mean time between failures (MTBF)</w:t>
            </w:r>
          </w:p>
        </w:tc>
        <w:tc>
          <w:tcPr>
            <w:tcW w:type="dxa" w:w="3513"/>
          </w:tcPr>
          <w:p>
            <w:r>
              <w:rPr>
                <w:sz w:val="16"/>
              </w:rPr>
              <w:t>[TO BE COMPLETED: To be established from vendor MTBF data for critical equipment (kiln, spray dryer)]</w:t>
            </w:r>
          </w:p>
        </w:tc>
        <w:tc>
          <w:tcPr>
            <w:tcW w:type="dxa" w:w="3513"/>
          </w:tcPr>
          <w:p>
            <w:r>
              <w:rPr>
                <w:sz w:val="16"/>
              </w:rPr>
              <w:t>Vendor specifications</w:t>
            </w:r>
          </w:p>
        </w:tc>
      </w:tr>
      <w:tr>
        <w:tc>
          <w:tcPr>
            <w:tcW w:type="dxa" w:w="3513"/>
          </w:tcPr>
          <w:p>
            <w:r>
              <w:rPr>
                <w:sz w:val="16"/>
              </w:rPr>
              <w:t>Mean time to repair (MTTR)</w:t>
            </w:r>
          </w:p>
        </w:tc>
        <w:tc>
          <w:tcPr>
            <w:tcW w:type="dxa" w:w="3513"/>
          </w:tcPr>
          <w:p>
            <w:r>
              <w:rPr>
                <w:sz w:val="16"/>
              </w:rPr>
              <w:t>&lt;8 hours for non-critical failures; &lt;48 hours for critical equipment</w:t>
            </w:r>
          </w:p>
        </w:tc>
        <w:tc>
          <w:tcPr>
            <w:tcW w:type="dxa" w:w="3513"/>
          </w:tcPr>
          <w:p>
            <w:r>
              <w:rPr>
                <w:sz w:val="16"/>
              </w:rPr>
              <w:t>Based on spare parts inventory and maintenance team capability</w:t>
            </w:r>
          </w:p>
        </w:tc>
      </w:tr>
    </w:tbl>
    <w:p>
      <w:pPr>
        <w:pStyle w:val="Heading3"/>
      </w:pPr>
      <w:r>
        <w:t>7.4 Maintenance Strategy</w:t>
      </w:r>
    </w:p>
    <w:p>
      <w:r>
        <w:rPr>
          <w:sz w:val="18"/>
        </w:rPr>
        <w:t xml:space="preserve">The FACE plant implements a </w:t>
      </w:r>
      <w:r>
        <w:rPr>
          <w:b/>
          <w:sz w:val="18"/>
        </w:rPr>
        <w:t>DT-enabled predictive maintenance</w:t>
      </w:r>
      <w:r>
        <w:rPr>
          <w:sz w:val="18"/>
        </w:rPr>
        <w:t xml:space="preserve"> strategy that progresses from time-based to condition-based to predictive maintenance over the first two years of operation:</w:t>
      </w:r>
    </w:p>
    <w:p>
      <w:r>
        <w:rPr>
          <w:b/>
          <w:sz w:val="18"/>
        </w:rPr>
        <w:t>Year 1</w:t>
      </w:r>
      <w:r>
        <w:rPr>
          <w:sz w:val="18"/>
        </w:rPr>
        <w:t>: Time-based maintenance per vendor recommendations, supplemented by DT monitoring of equipment health indicators (heating element resistance trends, sensor calibration drift, motor vibration signatures, bearing temperature).</w:t>
      </w:r>
    </w:p>
    <w:p>
      <w:r>
        <w:rPr>
          <w:b/>
          <w:sz w:val="18"/>
        </w:rPr>
        <w:t>Year 2+</w:t>
      </w:r>
      <w:r>
        <w:rPr>
          <w:sz w:val="18"/>
        </w:rPr>
        <w:t>: Transition to condition-based and predictive maintenance as the DT accumulates sufficient operational data to train equipment degradation models. Key predictive maintenance targets:</w:t>
      </w:r>
    </w:p>
    <w:p>
      <w:pPr>
        <w:pStyle w:val="ListBullet"/>
      </w:pPr>
      <w:r>
        <w:rPr>
          <w:sz w:val="18"/>
        </w:rPr>
        <w:t>Heating element degradation in calcination kiln (resistance increase → temperature non-uniformity → predict replacement timing)</w:t>
      </w:r>
    </w:p>
    <w:p>
      <w:pPr>
        <w:pStyle w:val="ListBullet"/>
      </w:pPr>
      <w:r>
        <w:rPr>
          <w:sz w:val="18"/>
        </w:rPr>
        <w:t>Sensor drift (particularly zirconia O2 sensors at high temperature) → automated recalibration scheduling</w:t>
      </w:r>
    </w:p>
    <w:p>
      <w:pPr>
        <w:pStyle w:val="ListBullet"/>
      </w:pPr>
      <w:r>
        <w:rPr>
          <w:sz w:val="18"/>
        </w:rPr>
        <w:t>Grinding media wear in bead mill → predict replacement interval from particle size evolution trends</w:t>
      </w:r>
    </w:p>
    <w:p>
      <w:pPr>
        <w:pStyle w:val="ListBullet"/>
      </w:pPr>
      <w:r>
        <w:rPr>
          <w:sz w:val="18"/>
        </w:rPr>
        <w:t>Spray dryer nozzle wear → predict atomisation degradation from product particle size trends</w:t>
      </w:r>
    </w:p>
    <w:p>
      <w:r>
        <w:rPr>
          <w:sz w:val="18"/>
        </w:rPr>
        <w:t xml:space="preserve">DT-enabled predictive maintenance is projected to reduce unplanned downtime by 20-50% versus calendar-based maintenance </w:t>
      </w:r>
      <w:r>
        <w:rPr>
          <w:color w:val="0066CC"/>
          <w:sz w:val="16"/>
        </w:rPr>
        <w:t>[CLM-007]</w:t>
      </w:r>
      <w:r>
        <w:rPr>
          <w:sz w:val="18"/>
        </w:rPr>
        <w:t>.</w:t>
      </w:r>
    </w:p>
    <w:p>
      <w:pPr>
        <w:pStyle w:val="Heading3"/>
      </w:pPr>
      <w:r>
        <w:t>7.5 GHG Emission Avoidance</w:t>
      </w:r>
    </w:p>
    <w:p>
      <w:r>
        <w:rPr>
          <w:b/>
          <w:sz w:val="18"/>
        </w:rPr>
        <w:t>GHG Methodology Classification: ES / Manufacturing of Components.</w:t>
      </w:r>
      <w:r>
        <w:rPr>
          <w:sz w:val="18"/>
        </w:rPr>
        <w:t xml:space="preserve"> Per the Innovation Fund GHG emission avoidance methodology, the project is classified as </w:t>
      </w:r>
      <w:r>
        <w:rPr>
          <w:b/>
          <w:sz w:val="18"/>
        </w:rPr>
        <w:t>Energy Storage (ES) / Manufacturing of Components</w:t>
      </w:r>
      <w:r>
        <w:rPr>
          <w:sz w:val="18"/>
        </w:rPr>
        <w:t xml:space="preserve"> (Section 1.3.2). LFP CAM is a specialised battery-grade cathode material — a "component" as exemplified in the methodology. The GHG system boundary therefore encompasses the </w:t>
      </w:r>
      <w:r>
        <w:rPr>
          <w:b/>
          <w:sz w:val="18"/>
        </w:rPr>
        <w:t>use phase of the BESS systems</w:t>
      </w:r>
      <w:r>
        <w:rPr>
          <w:sz w:val="18"/>
        </w:rPr>
        <w:t xml:space="preserve"> in which the LFP CAM is deployed, not the manufacturing plant itself. The manufacturing plant's own emissions (Scope 1 and 2) fall outside the GHG calculation boundary.</w:t>
      </w:r>
    </w:p>
    <w:p>
      <w:r>
        <w:rPr>
          <w:b/>
          <w:sz w:val="18"/>
        </w:rPr>
        <w:t>GHG avoidance calculation framework (for Financial Team):</w:t>
      </w:r>
    </w:p>
    <w:p>
      <w:pPr>
        <w:pStyle w:val="ListBullet"/>
      </w:pPr>
      <w:r>
        <w:rPr>
          <w:b/>
          <w:sz w:val="18"/>
        </w:rPr>
        <w:t>Use phase</w:t>
      </w:r>
      <w:r>
        <w:rPr>
          <w:sz w:val="18"/>
        </w:rPr>
        <w:t>: BESS systems containing FACE LFP CAM displacing fossil fuel peaking plants on the Italian electricity grid</w:t>
      </w:r>
    </w:p>
    <w:p>
      <w:pPr>
        <w:pStyle w:val="ListBullet"/>
      </w:pPr>
      <w:r>
        <w:rPr>
          <w:b/>
          <w:sz w:val="18"/>
        </w:rPr>
        <w:t>Reference scenario</w:t>
      </w:r>
      <w:r>
        <w:rPr>
          <w:sz w:val="18"/>
        </w:rPr>
        <w:t>: Conventional electricity generation from gas peaking plants (CCGT or OCGT)</w:t>
      </w:r>
    </w:p>
    <w:p>
      <w:pPr>
        <w:pStyle w:val="ListBullet"/>
      </w:pPr>
      <w:r>
        <w:rPr>
          <w:b/>
          <w:sz w:val="18"/>
        </w:rPr>
        <w:t>Project scenario</w:t>
      </w:r>
      <w:r>
        <w:rPr>
          <w:sz w:val="18"/>
        </w:rPr>
        <w:t>: BESS charged from grid (increasingly renewable) providing grid stabilisation services</w:t>
      </w:r>
    </w:p>
    <w:p>
      <w:pPr>
        <w:pStyle w:val="ListBullet"/>
      </w:pPr>
      <w:r>
        <w:rPr>
          <w:b/>
          <w:sz w:val="18"/>
        </w:rPr>
        <w:t>Cost share (CScomponent)</w:t>
      </w:r>
      <w:r>
        <w:rPr>
          <w:sz w:val="18"/>
        </w:rPr>
        <w:t>: Fraction of CAM cost in total BESS cost. CAM is typically 30-40% of cell cost, and cells are 60-70% of BESS cost, giving CScomponent of approximately 20-28% of total BESS cost. However, if the co-located ESS JV factory is treated as part of the same project consortium, the CScomponent could be significantly higher (potentially covering the full cell or even the full BESS if the JV is an affiliated entity). [FINANCIAL TEAM: this CScomponent determination is critical for the GHG calculator and requires careful analysis of the JV structure.]</w:t>
      </w:r>
    </w:p>
    <w:p>
      <w:pPr>
        <w:pStyle w:val="ListBullet"/>
      </w:pPr>
      <w:r>
        <w:rPr>
          <w:b/>
          <w:sz w:val="18"/>
        </w:rPr>
        <w:t>Use period</w:t>
      </w:r>
      <w:r>
        <w:rPr>
          <w:sz w:val="18"/>
        </w:rPr>
        <w:t>: 5 years per methodology, or component lifetime if shorter</w:t>
      </w:r>
    </w:p>
    <w:p>
      <w:pPr>
        <w:pStyle w:val="ListBullet"/>
      </w:pPr>
      <w:r>
        <w:rPr>
          <w:b/>
          <w:sz w:val="18"/>
        </w:rPr>
        <w:t>Output volume</w:t>
      </w:r>
      <w:r>
        <w:rPr>
          <w:sz w:val="18"/>
        </w:rPr>
        <w:t>: 50,000 t/yr LFP CAM. At approximately 3 kWh/kg cell energy density, this could produce approximately 150 GWh/yr of battery capacity — a potentially massive GHG avoidance if the BESS displaces gas peakers.</w:t>
      </w:r>
    </w:p>
    <w:p>
      <w:r>
        <w:rPr>
          <w:b/>
          <w:sz w:val="18"/>
        </w:rPr>
        <w:t>Note on plant-level GHG</w:t>
      </w:r>
      <w:r>
        <w:rPr>
          <w:sz w:val="18"/>
        </w:rPr>
        <w:t>: The following plant-level comparison is provided for context (innovation and replicability argument) but is NOT the basis of the scored GHG avoidance calculation, which is based on BESS use-phase as described above.</w:t>
      </w:r>
    </w:p>
    <w:p>
      <w:r>
        <w:rPr>
          <w:sz w:val="18"/>
        </w:rPr>
        <w:t>The Innovation Fund GHG avoidance calculation compares the FACE electrified plant against a gas-fired reference case (Asian benchmark technology). The key parameters are:</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Parameter</w:t>
            </w:r>
          </w:p>
        </w:tc>
        <w:tc>
          <w:tcPr>
            <w:tcW w:type="dxa" w:w="2635"/>
          </w:tcPr>
          <w:p>
            <w:r>
              <w:rPr>
                <w:b/>
                <w:sz w:val="16"/>
              </w:rPr>
              <w:t>Gas-Fired Reference</w:t>
            </w:r>
          </w:p>
        </w:tc>
        <w:tc>
          <w:tcPr>
            <w:tcW w:type="dxa" w:w="2635"/>
          </w:tcPr>
          <w:p>
            <w:r>
              <w:rPr>
                <w:b/>
                <w:sz w:val="16"/>
              </w:rPr>
              <w:t>FACE (Electrified)</w:t>
            </w:r>
          </w:p>
        </w:tc>
        <w:tc>
          <w:tcPr>
            <w:tcW w:type="dxa" w:w="2635"/>
          </w:tcPr>
          <w:p>
            <w:r>
              <w:rPr>
                <w:b/>
                <w:sz w:val="16"/>
              </w:rPr>
              <w:t>Source</w:t>
            </w:r>
          </w:p>
        </w:tc>
      </w:tr>
      <w:tr>
        <w:tc>
          <w:tcPr>
            <w:tcW w:type="dxa" w:w="2635"/>
          </w:tcPr>
          <w:p>
            <w:r>
              <w:rPr>
                <w:sz w:val="16"/>
              </w:rPr>
              <w:t>Process energy source</w:t>
            </w:r>
          </w:p>
        </w:tc>
        <w:tc>
          <w:tcPr>
            <w:tcW w:type="dxa" w:w="2635"/>
          </w:tcPr>
          <w:p>
            <w:r>
              <w:rPr>
                <w:sz w:val="16"/>
              </w:rPr>
              <w:t>Natural gas (spray drying + calcination)</w:t>
            </w:r>
          </w:p>
        </w:tc>
        <w:tc>
          <w:tcPr>
            <w:tcW w:type="dxa" w:w="2635"/>
          </w:tcPr>
          <w:p>
            <w:r>
              <w:rPr>
                <w:sz w:val="16"/>
              </w:rPr>
              <w:t>Electricity (3,580 kWh/t) + limited gas (189 m3/t) with progressive electrification pathway</w:t>
            </w:r>
          </w:p>
        </w:tc>
        <w:tc>
          <w:tcPr>
            <w:tcW w:type="dxa" w:w="2635"/>
          </w:tcPr>
          <w:p>
            <w:r>
              <w:rPr>
                <w:sz w:val="16"/>
              </w:rPr>
              <w:t>Production information document</w:t>
            </w:r>
          </w:p>
        </w:tc>
      </w:tr>
      <w:tr>
        <w:tc>
          <w:tcPr>
            <w:tcW w:type="dxa" w:w="2635"/>
          </w:tcPr>
          <w:p>
            <w:r>
              <w:rPr>
                <w:sz w:val="16"/>
              </w:rPr>
              <w:t>Thermal efficiency (calcination)</w:t>
            </w:r>
          </w:p>
        </w:tc>
        <w:tc>
          <w:tcPr>
            <w:tcW w:type="dxa" w:w="2635"/>
          </w:tcPr>
          <w:p>
            <w:r>
              <w:rPr>
                <w:sz w:val="16"/>
              </w:rPr>
              <w:t>25-60%</w:t>
            </w:r>
          </w:p>
        </w:tc>
        <w:tc>
          <w:tcPr>
            <w:tcW w:type="dxa" w:w="2635"/>
          </w:tcPr>
          <w:p>
            <w:r>
              <w:rPr>
                <w:sz w:val="16"/>
              </w:rPr>
              <w:t>95%</w:t>
            </w:r>
          </w:p>
        </w:tc>
        <w:tc>
          <w:tcPr>
            <w:tcW w:type="dxa" w:w="2635"/>
          </w:tcPr>
          <w:p>
            <w:r>
              <w:rPr>
                <w:sz w:val="16"/>
              </w:rPr>
              <w:t>[CLM-023, SRC-ED-009]</w:t>
            </w:r>
          </w:p>
        </w:tc>
      </w:tr>
      <w:tr>
        <w:tc>
          <w:tcPr>
            <w:tcW w:type="dxa" w:w="2635"/>
          </w:tcPr>
          <w:p>
            <w:r>
              <w:rPr>
                <w:sz w:val="16"/>
              </w:rPr>
              <w:t>Grid carbon intensity</w:t>
            </w:r>
          </w:p>
        </w:tc>
        <w:tc>
          <w:tcPr>
            <w:tcW w:type="dxa" w:w="2635"/>
          </w:tcPr>
          <w:p>
            <w:r>
              <w:rPr>
                <w:sz w:val="16"/>
              </w:rPr>
              <w:t>N/A (gas: ~0.2 kgCO2/kWh_th)</w:t>
            </w:r>
          </w:p>
        </w:tc>
        <w:tc>
          <w:tcPr>
            <w:tcW w:type="dxa" w:w="2635"/>
          </w:tcPr>
          <w:p>
            <w:r>
              <w:rPr>
                <w:sz w:val="16"/>
              </w:rPr>
              <w:t>Italy 2030: ~146 gCO2/kWh_e [SRC-ED-017]; PPA: ~0 gCO2/kWh_e</w:t>
            </w:r>
          </w:p>
        </w:tc>
        <w:tc>
          <w:tcPr>
            <w:tcW w:type="dxa" w:w="2635"/>
          </w:tcPr>
          <w:p>
            <w:r>
              <w:rPr>
                <w:sz w:val="16"/>
              </w:rPr>
              <w:t>[SRC-ED-016, SRC-ED-017]</w:t>
            </w:r>
          </w:p>
        </w:tc>
      </w:tr>
      <w:tr>
        <w:tc>
          <w:tcPr>
            <w:tcW w:type="dxa" w:w="2635"/>
          </w:tcPr>
          <w:p>
            <w:r>
              <w:rPr>
                <w:sz w:val="16"/>
              </w:rPr>
              <w:t>Process CO2 (from Li2CO3 decomposition)</w:t>
            </w:r>
          </w:p>
        </w:tc>
        <w:tc>
          <w:tcPr>
            <w:tcW w:type="dxa" w:w="2635"/>
          </w:tcPr>
          <w:p>
            <w:r>
              <w:rPr>
                <w:sz w:val="16"/>
              </w:rPr>
              <w:t>~280 kgCO2/t LFP (same for both)</w:t>
            </w:r>
          </w:p>
        </w:tc>
        <w:tc>
          <w:tcPr>
            <w:tcW w:type="dxa" w:w="2635"/>
          </w:tcPr>
          <w:p>
            <w:r>
              <w:rPr>
                <w:sz w:val="16"/>
              </w:rPr>
              <w:t>~280 kgCO2/t LFP (same for both)</w:t>
            </w:r>
          </w:p>
        </w:tc>
        <w:tc>
          <w:tcPr>
            <w:tcW w:type="dxa" w:w="2635"/>
          </w:tcPr>
          <w:p>
            <w:r>
              <w:rPr>
                <w:sz w:val="16"/>
              </w:rPr>
              <w:t>Stoichiometric</w:t>
            </w:r>
          </w:p>
        </w:tc>
      </w:tr>
      <w:tr>
        <w:tc>
          <w:tcPr>
            <w:tcW w:type="dxa" w:w="2635"/>
          </w:tcPr>
          <w:p>
            <w:r>
              <w:rPr>
                <w:sz w:val="16"/>
              </w:rPr>
              <w:t>Total GHG per t LFP CAM</w:t>
            </w:r>
          </w:p>
        </w:tc>
        <w:tc>
          <w:tcPr>
            <w:tcW w:type="dxa" w:w="2635"/>
          </w:tcPr>
          <w:p>
            <w:r>
              <w:rPr>
                <w:sz w:val="16"/>
              </w:rPr>
              <w:t>[TO BE COMPLETED: To be calculated in GHG calculator by GHG team]</w:t>
            </w:r>
          </w:p>
        </w:tc>
        <w:tc>
          <w:tcPr>
            <w:tcW w:type="dxa" w:w="2635"/>
          </w:tcPr>
          <w:p>
            <w:r>
              <w:rPr>
                <w:sz w:val="16"/>
              </w:rPr>
              <w:t>[TO BE COMPLETED: To be calculated using 3,580 kWh_e/t + 189 m3 gas/t]</w:t>
            </w:r>
          </w:p>
        </w:tc>
        <w:tc>
          <w:tcPr>
            <w:tcW w:type="dxa" w:w="2635"/>
          </w:tcPr>
          <w:p>
            <w:r>
              <w:rPr>
                <w:sz w:val="16"/>
              </w:rPr>
              <w:t>Innovation Fund GHG methodology</w:t>
            </w:r>
          </w:p>
        </w:tc>
      </w:tr>
      <w:tr>
        <w:tc>
          <w:tcPr>
            <w:tcW w:type="dxa" w:w="2635"/>
          </w:tcPr>
          <w:p>
            <w:r>
              <w:rPr>
                <w:sz w:val="16"/>
              </w:rPr>
              <w:t>Relative GHG avoidance</w:t>
            </w:r>
          </w:p>
        </w:tc>
        <w:tc>
          <w:tcPr>
            <w:tcW w:type="dxa" w:w="2635"/>
          </w:tcPr>
          <w:p>
            <w:r>
              <w:rPr>
                <w:sz w:val="16"/>
              </w:rPr>
              <w:t>Reference case</w:t>
            </w:r>
          </w:p>
        </w:tc>
        <w:tc>
          <w:tcPr>
            <w:tcW w:type="dxa" w:w="2635"/>
          </w:tcPr>
          <w:p>
            <w:r>
              <w:rPr>
                <w:sz w:val="16"/>
              </w:rPr>
              <w:t>Target: &gt;=50% [CLM-026]</w:t>
            </w:r>
          </w:p>
        </w:tc>
        <w:tc>
          <w:tcPr>
            <w:tcW w:type="dxa" w:w="2635"/>
          </w:tcPr>
          <w:p>
            <w:r>
              <w:rPr>
                <w:sz w:val="16"/>
              </w:rPr>
            </w:r>
          </w:p>
        </w:tc>
      </w:tr>
    </w:tbl>
    <w:p>
      <w:r>
        <w:rPr>
          <w:b/>
          <w:sz w:val="18"/>
        </w:rPr>
        <w:t>GHG trajectory</w:t>
      </w:r>
      <w:r>
        <w:rPr>
          <w:sz w:val="18"/>
        </w:rPr>
        <w:t>:</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Scenario</w:t>
            </w:r>
          </w:p>
        </w:tc>
        <w:tc>
          <w:tcPr>
            <w:tcW w:type="dxa" w:w="3513"/>
          </w:tcPr>
          <w:p>
            <w:r>
              <w:rPr>
                <w:b/>
                <w:sz w:val="16"/>
              </w:rPr>
              <w:t>Grid Intensity</w:t>
            </w:r>
          </w:p>
        </w:tc>
        <w:tc>
          <w:tcPr>
            <w:tcW w:type="dxa" w:w="3513"/>
          </w:tcPr>
          <w:p>
            <w:r>
              <w:rPr>
                <w:b/>
                <w:sz w:val="16"/>
              </w:rPr>
              <w:t>Relative GHG Avoidance vs Gas-Fired</w:t>
            </w:r>
          </w:p>
        </w:tc>
      </w:tr>
      <w:tr>
        <w:tc>
          <w:tcPr>
            <w:tcW w:type="dxa" w:w="3513"/>
          </w:tcPr>
          <w:p>
            <w:r>
              <w:rPr>
                <w:sz w:val="16"/>
              </w:rPr>
              <w:t>2028 (EiO, grid only)</w:t>
            </w:r>
          </w:p>
        </w:tc>
        <w:tc>
          <w:tcPr>
            <w:tcW w:type="dxa" w:w="3513"/>
          </w:tcPr>
          <w:p>
            <w:r>
              <w:rPr>
                <w:sz w:val="16"/>
              </w:rPr>
              <w:t>~180 gCO2/kWh</w:t>
            </w:r>
          </w:p>
        </w:tc>
        <w:tc>
          <w:tcPr>
            <w:tcW w:type="dxa" w:w="3513"/>
          </w:tcPr>
          <w:p>
            <w:r>
              <w:rPr>
                <w:sz w:val="16"/>
              </w:rPr>
              <w:t>~30-40%</w:t>
            </w:r>
          </w:p>
        </w:tc>
      </w:tr>
      <w:tr>
        <w:tc>
          <w:tcPr>
            <w:tcW w:type="dxa" w:w="3513"/>
          </w:tcPr>
          <w:p>
            <w:r>
              <w:rPr>
                <w:sz w:val="16"/>
              </w:rPr>
              <w:t>2028 (EiO, with PPA)</w:t>
            </w:r>
          </w:p>
        </w:tc>
        <w:tc>
          <w:tcPr>
            <w:tcW w:type="dxa" w:w="3513"/>
          </w:tcPr>
          <w:p>
            <w:r>
              <w:rPr>
                <w:sz w:val="16"/>
              </w:rPr>
              <w:t>~50 gCO2/kWh (blended)</w:t>
            </w:r>
          </w:p>
        </w:tc>
        <w:tc>
          <w:tcPr>
            <w:tcW w:type="dxa" w:w="3513"/>
          </w:tcPr>
          <w:p>
            <w:r>
              <w:rPr>
                <w:sz w:val="16"/>
              </w:rPr>
              <w:t>~55-65%</w:t>
            </w:r>
          </w:p>
        </w:tc>
      </w:tr>
      <w:tr>
        <w:tc>
          <w:tcPr>
            <w:tcW w:type="dxa" w:w="3513"/>
          </w:tcPr>
          <w:p>
            <w:r>
              <w:rPr>
                <w:sz w:val="16"/>
              </w:rPr>
              <w:t>2030 (NECP target)</w:t>
            </w:r>
          </w:p>
        </w:tc>
        <w:tc>
          <w:tcPr>
            <w:tcW w:type="dxa" w:w="3513"/>
          </w:tcPr>
          <w:p>
            <w:r>
              <w:rPr>
                <w:sz w:val="16"/>
              </w:rPr>
              <w:t>~146 gCO2/kWh</w:t>
            </w:r>
          </w:p>
        </w:tc>
        <w:tc>
          <w:tcPr>
            <w:tcW w:type="dxa" w:w="3513"/>
          </w:tcPr>
          <w:p>
            <w:r>
              <w:rPr>
                <w:sz w:val="16"/>
              </w:rPr>
              <w:t>55-70% [CLM-026]</w:t>
            </w:r>
          </w:p>
        </w:tc>
      </w:tr>
      <w:tr>
        <w:tc>
          <w:tcPr>
            <w:tcW w:type="dxa" w:w="3513"/>
          </w:tcPr>
          <w:p>
            <w:r>
              <w:rPr>
                <w:sz w:val="16"/>
              </w:rPr>
              <w:t>2035 (G7 commitment)</w:t>
            </w:r>
          </w:p>
        </w:tc>
        <w:tc>
          <w:tcPr>
            <w:tcW w:type="dxa" w:w="3513"/>
          </w:tcPr>
          <w:p>
            <w:r>
              <w:rPr>
                <w:sz w:val="16"/>
              </w:rPr>
              <w:t>~30-60 gCO2/kWh</w:t>
            </w:r>
          </w:p>
        </w:tc>
        <w:tc>
          <w:tcPr>
            <w:tcW w:type="dxa" w:w="3513"/>
          </w:tcPr>
          <w:p>
            <w:r>
              <w:rPr>
                <w:sz w:val="16"/>
              </w:rPr>
              <w:t>80-90% [CLM-026]</w:t>
            </w:r>
          </w:p>
        </w:tc>
      </w:tr>
    </w:tbl>
    <w:p>
      <w:r>
        <w:rPr>
          <w:b/>
          <w:color w:val="CC0000"/>
          <w:sz w:val="18"/>
        </w:rPr>
        <w:t>[TO BE COMPLETED BY FINANCIAL TEAM — CRITICAL GHG CALCULATION ITEMS:</w:t>
      </w:r>
    </w:p>
    <w:p>
      <w:pPr>
        <w:pStyle w:val="ListNumber"/>
      </w:pPr>
      <w:r>
        <w:rPr>
          <w:b/>
          <w:sz w:val="18"/>
        </w:rPr>
        <w:t>PRIMARY GHG CALCULATION (scored)</w:t>
      </w:r>
      <w:r>
        <w:rPr>
          <w:sz w:val="18"/>
        </w:rPr>
        <w:t>: Use-phase BESS displacing fossil peakers. Classification: ES / Manufacturing of Components (Section 1.3.2). The Financial Team must calculate GHG avoidance based on BESS displacing gas peaking plants (CCGT/OCGT) on the Italian grid, NOT on plant-level manufacturing emissions.</w:t>
      </w:r>
    </w:p>
    <w:p>
      <w:pPr>
        <w:pStyle w:val="ListNumber"/>
      </w:pPr>
      <w:r>
        <w:rPr>
          <w:b/>
          <w:sz w:val="18"/>
        </w:rPr>
        <w:t>CScomponent determination</w:t>
      </w:r>
      <w:r>
        <w:rPr>
          <w:sz w:val="18"/>
        </w:rPr>
        <w:t>: The cost share of LFP CAM in the total BESS system cost is critical. Baseline estimate: 20-28% (CAM as 30-40% of cell cost, cells as 60-70% of BESS cost). HOWEVER: if the ESS JV factory qualifies as an affiliated entity within the project boundary, the CScomponent could be substantially higher. This determination could significantly increase the GHG avoidance claim. Legal/structural analysis of the JV is needed.</w:t>
      </w:r>
    </w:p>
    <w:p>
      <w:pPr>
        <w:pStyle w:val="ListNumber"/>
      </w:pPr>
      <w:r>
        <w:rPr>
          <w:b/>
          <w:sz w:val="18"/>
        </w:rPr>
        <w:t>Production volume to GWh conversion</w:t>
      </w:r>
      <w:r>
        <w:rPr>
          <w:sz w:val="18"/>
        </w:rPr>
        <w:t>: 50,000 t/yr LFP CAM at ~3 kWh/kg cell energy density = ~150 GWh/yr of battery capacity. This is the basis for calculating use-phase GHG avoidance.</w:t>
      </w:r>
    </w:p>
    <w:p>
      <w:pPr>
        <w:pStyle w:val="ListNumber"/>
      </w:pPr>
      <w:r>
        <w:rPr>
          <w:b/>
          <w:sz w:val="18"/>
        </w:rPr>
        <w:t>Reference emission factor</w:t>
      </w:r>
      <w:r>
        <w:rPr>
          <w:sz w:val="18"/>
        </w:rPr>
        <w:t>: Italian grid marginal emission factor for gas peakers (CCGT: ~350-400 gCO2/kWh; OCGT: ~500-600 gCO2/kWh). The choice of reference technology significantly affects the GHG avoidance.</w:t>
      </w:r>
    </w:p>
    <w:p>
      <w:pPr>
        <w:pStyle w:val="ListNumber"/>
      </w:pPr>
      <w:r>
        <w:rPr>
          <w:b/>
          <w:sz w:val="18"/>
        </w:rPr>
        <w:t>Plant-level GHG (contextual only)</w:t>
      </w:r>
      <w:r>
        <w:rPr>
          <w:sz w:val="18"/>
        </w:rPr>
        <w:t>: The above plant-level figures are directional estimates for the innovation/replicability argument. The natural gas component (189 m3/t) must be included in Scope 1 but this is NOT the scored GHG calculation.]</w:t>
      </w:r>
    </w:p>
    <w:p>
      <w:r>
        <w:rPr>
          <w:sz w:val="18"/>
        </w:rPr>
        <w:t>---</w:t>
      </w:r>
    </w:p>
    <w:p>
      <w:pPr>
        <w:pStyle w:val="Heading2"/>
      </w:pPr>
      <w:r>
        <w:t>8. Techno-Economic Analysis</w:t>
      </w:r>
    </w:p>
    <w:p>
      <w:r>
        <w:rPr>
          <w:b/>
          <w:sz w:val="18"/>
        </w:rPr>
        <w:t>[FINANCIAL TEAM TO COMPLETE THIS SECTION]</w:t>
      </w:r>
    </w:p>
    <w:p>
      <w:r>
        <w:rPr>
          <w:sz w:val="18"/>
        </w:rPr>
        <w:t>This section requires the following content to be developed by the Financial Team in coordination with the technical team:</w:t>
      </w:r>
    </w:p>
    <w:p>
      <w:pPr>
        <w:pStyle w:val="Heading3"/>
      </w:pPr>
      <w:r>
        <w:t>8.1 CAPEX Estimation</w:t>
      </w:r>
    </w:p>
    <w:p>
      <w:r>
        <w:rPr>
          <w:sz w:val="18"/>
        </w:rPr>
        <w:t>Required:</w:t>
      </w:r>
    </w:p>
    <w:p>
      <w:pPr>
        <w:pStyle w:val="ListBullet"/>
      </w:pPr>
      <w:r>
        <w:rPr>
          <w:sz w:val="18"/>
        </w:rPr>
        <w:t>Total CAPEX breakdown by category (equipment, civil works, utilities, DT infrastructure, engineering, contingency)</w:t>
      </w:r>
    </w:p>
    <w:p>
      <w:pPr>
        <w:pStyle w:val="ListBullet"/>
      </w:pPr>
      <w:r>
        <w:rPr>
          <w:sz w:val="18"/>
        </w:rPr>
        <w:t>AACE cost estimation class (target Class 3 or better for Innovation Fund)</w:t>
      </w:r>
    </w:p>
    <w:p>
      <w:pPr>
        <w:pStyle w:val="ListBullet"/>
      </w:pPr>
      <w:r>
        <w:rPr>
          <w:sz w:val="18"/>
        </w:rPr>
        <w:t>Quotes from technology suppliers (kiln vendor, spray dryer vendor, DT platform vendor) where available</w:t>
      </w:r>
    </w:p>
    <w:p>
      <w:pPr>
        <w:pStyle w:val="ListBullet"/>
      </w:pPr>
      <w:r>
        <w:rPr>
          <w:sz w:val="18"/>
        </w:rPr>
        <w:t>Comparison with gas-fired alternative CAPEX (to demonstrate the CAPEX premium for electrification and DT that the Innovation Fund grant addresses)</w:t>
      </w:r>
    </w:p>
    <w:p>
      <w:pPr>
        <w:pStyle w:val="ListBullet"/>
      </w:pPr>
      <w:r>
        <w:rPr>
          <w:sz w:val="18"/>
        </w:rPr>
        <w:t>Currency and base date for cost estimates</w:t>
      </w:r>
    </w:p>
    <w:p>
      <w:pPr>
        <w:pStyle w:val="Heading3"/>
      </w:pPr>
      <w:r>
        <w:t>8.2 OPEX Estimation</w:t>
      </w:r>
    </w:p>
    <w:p>
      <w:r>
        <w:rPr>
          <w:sz w:val="18"/>
        </w:rPr>
        <w:t>Required:</w:t>
      </w:r>
    </w:p>
    <w:p>
      <w:pPr>
        <w:pStyle w:val="ListBullet"/>
      </w:pPr>
      <w:r>
        <w:rPr>
          <w:sz w:val="18"/>
        </w:rPr>
        <w:t>Annual OPEX breakdown: raw materials (FePO4, Li2CO3, glucose), electricity, N2, water, labour, maintenance, insurance, DT operating costs</w:t>
      </w:r>
    </w:p>
    <w:p>
      <w:pPr>
        <w:pStyle w:val="ListBullet"/>
      </w:pPr>
      <w:r>
        <w:rPr>
          <w:sz w:val="18"/>
        </w:rPr>
        <w:t>Unit production cost (EUR/t LFP CAM and EUR/kg)</w:t>
      </w:r>
    </w:p>
    <w:p>
      <w:pPr>
        <w:pStyle w:val="ListBullet"/>
      </w:pPr>
      <w:r>
        <w:rPr>
          <w:sz w:val="18"/>
        </w:rPr>
        <w:t>Sensitivity analysis to key cost drivers (lithium price +/-50%, electricity price +/-30%, production volume +/-25%)</w:t>
      </w:r>
    </w:p>
    <w:p>
      <w:pPr>
        <w:pStyle w:val="ListBullet"/>
      </w:pPr>
      <w:r>
        <w:rPr>
          <w:sz w:val="18"/>
        </w:rPr>
        <w:t>Comparison with estimated Chinese production cost (benchmark)</w:t>
      </w:r>
    </w:p>
    <w:p>
      <w:pPr>
        <w:pStyle w:val="Heading3"/>
      </w:pPr>
      <w:r>
        <w:t>8.3 Technology Supplier Quotes</w:t>
      </w:r>
    </w:p>
    <w:p>
      <w:r>
        <w:rPr>
          <w:sz w:val="18"/>
        </w:rPr>
        <w:t>Required:</w:t>
      </w:r>
    </w:p>
    <w:p>
      <w:pPr>
        <w:pStyle w:val="ListBullet"/>
      </w:pPr>
      <w:r>
        <w:rPr>
          <w:sz w:val="18"/>
        </w:rPr>
        <w:t>Budgetary quotes or LOIs from: calcination kiln vendor (NGK, ONEJOON, or equivalent); spray dryer vendor (GEA, Buchi Industrial, or equivalent); DT platform/integration vendor</w:t>
      </w:r>
    </w:p>
    <w:p>
      <w:pPr>
        <w:pStyle w:val="ListBullet"/>
      </w:pPr>
      <w:r>
        <w:rPr>
          <w:sz w:val="18"/>
        </w:rPr>
        <w:t>These quotes should be attached as confidential annexes if available</w:t>
      </w:r>
    </w:p>
    <w:p>
      <w:pPr>
        <w:pStyle w:val="Heading3"/>
      </w:pPr>
      <w:r>
        <w:t>8.4 Comparison with Gas-Fired Alternative</w:t>
      </w:r>
    </w:p>
    <w:p>
      <w:r>
        <w:rPr>
          <w:sz w:val="18"/>
        </w:rPr>
        <w:t>Required:</w:t>
      </w:r>
    </w:p>
    <w:p>
      <w:pPr>
        <w:pStyle w:val="ListBullet"/>
      </w:pPr>
      <w:r>
        <w:rPr>
          <w:sz w:val="18"/>
        </w:rPr>
        <w:t>Side-by-side CAPEX/OPEX comparison: electrified plant (FACE) vs hypothetical gas-fired plant (same capacity)</w:t>
      </w:r>
    </w:p>
    <w:p>
      <w:pPr>
        <w:pStyle w:val="ListBullet"/>
      </w:pPr>
      <w:r>
        <w:rPr>
          <w:sz w:val="18"/>
        </w:rPr>
        <w:t>TCO analysis over 20-year plant life including: gas price volatility, EU ETS carbon price trajectory, avoided stranded asset costs</w:t>
      </w:r>
    </w:p>
    <w:p>
      <w:pPr>
        <w:pStyle w:val="ListBullet"/>
      </w:pPr>
      <w:r>
        <w:rPr>
          <w:sz w:val="18"/>
        </w:rPr>
        <w:t>Demonstration that Innovation Fund grant is necessary to close the CAPEX gap between electrified and gas-fired alternatives</w:t>
      </w:r>
    </w:p>
    <w:p>
      <w:pPr>
        <w:pStyle w:val="Heading3"/>
      </w:pPr>
      <w:r>
        <w:t>8.5 Environmental and Socio-Economic Impacts</w:t>
      </w:r>
    </w:p>
    <w:p>
      <w:r>
        <w:rPr>
          <w:sz w:val="18"/>
        </w:rPr>
        <w:t>Required:</w:t>
      </w:r>
    </w:p>
    <w:p>
      <w:pPr>
        <w:pStyle w:val="ListBullet"/>
      </w:pPr>
      <w:r>
        <w:rPr>
          <w:sz w:val="18"/>
        </w:rPr>
        <w:t>Job creation (direct and indirect): construction phase and operational phase</w:t>
      </w:r>
    </w:p>
    <w:p>
      <w:pPr>
        <w:pStyle w:val="ListBullet"/>
      </w:pPr>
      <w:r>
        <w:rPr>
          <w:sz w:val="18"/>
        </w:rPr>
        <w:t>Tax revenue contribution to Comune di Brindisi and Regione Puglia</w:t>
      </w:r>
    </w:p>
    <w:p>
      <w:pPr>
        <w:pStyle w:val="ListBullet"/>
      </w:pPr>
      <w:r>
        <w:rPr>
          <w:sz w:val="18"/>
        </w:rPr>
        <w:t>Training and skills development programme for local workforce</w:t>
      </w:r>
    </w:p>
    <w:p>
      <w:pPr>
        <w:pStyle w:val="ListBullet"/>
      </w:pPr>
      <w:r>
        <w:rPr>
          <w:sz w:val="18"/>
        </w:rPr>
        <w:t>Health and safety assessment (no combustion-related workplace emissions; reduced NOx/SOx exposure)</w:t>
      </w:r>
    </w:p>
    <w:p>
      <w:pPr>
        <w:pStyle w:val="ListBullet"/>
      </w:pPr>
      <w:r>
        <w:rPr>
          <w:sz w:val="18"/>
        </w:rPr>
        <w:t>Contribution to Puglia convergence region economic development</w:t>
      </w:r>
    </w:p>
    <w:p>
      <w:pPr>
        <w:pStyle w:val="Heading3"/>
      </w:pPr>
      <w:r>
        <w:t>8.6 Tabular Summary</w:t>
      </w:r>
    </w:p>
    <w:p>
      <w:r>
        <w:rPr>
          <w:sz w:val="18"/>
        </w:rPr>
        <w:t>Required: Summary table consistent with the Business Plan annex, showing:</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Parameter</w:t>
            </w:r>
          </w:p>
        </w:tc>
        <w:tc>
          <w:tcPr>
            <w:tcW w:type="dxa" w:w="3513"/>
          </w:tcPr>
          <w:p>
            <w:r>
              <w:rPr>
                <w:b/>
                <w:sz w:val="16"/>
              </w:rPr>
              <w:t>Value</w:t>
            </w:r>
          </w:p>
        </w:tc>
        <w:tc>
          <w:tcPr>
            <w:tcW w:type="dxa" w:w="3513"/>
          </w:tcPr>
          <w:p>
            <w:r>
              <w:rPr>
                <w:b/>
                <w:sz w:val="16"/>
              </w:rPr>
              <w:t>Unit</w:t>
            </w:r>
          </w:p>
        </w:tc>
      </w:tr>
      <w:tr>
        <w:tc>
          <w:tcPr>
            <w:tcW w:type="dxa" w:w="3513"/>
          </w:tcPr>
          <w:p>
            <w:r>
              <w:rPr>
                <w:sz w:val="16"/>
              </w:rPr>
              <w:t>Total CAPEX</w:t>
            </w:r>
          </w:p>
        </w:tc>
        <w:tc>
          <w:tcPr>
            <w:tcW w:type="dxa" w:w="3513"/>
          </w:tcPr>
          <w:p>
            <w:r>
              <w:rPr>
                <w:sz w:val="16"/>
              </w:rPr>
              <w:t>[Financial Team to complete]</w:t>
            </w:r>
          </w:p>
        </w:tc>
        <w:tc>
          <w:tcPr>
            <w:tcW w:type="dxa" w:w="3513"/>
          </w:tcPr>
          <w:p>
            <w:r>
              <w:rPr>
                <w:sz w:val="16"/>
              </w:rPr>
              <w:t>EUR million</w:t>
            </w:r>
          </w:p>
        </w:tc>
      </w:tr>
      <w:tr>
        <w:tc>
          <w:tcPr>
            <w:tcW w:type="dxa" w:w="3513"/>
          </w:tcPr>
          <w:p>
            <w:r>
              <w:rPr>
                <w:sz w:val="16"/>
              </w:rPr>
              <w:t>Annual OPEX (at nameplate)</w:t>
            </w:r>
          </w:p>
        </w:tc>
        <w:tc>
          <w:tcPr>
            <w:tcW w:type="dxa" w:w="3513"/>
          </w:tcPr>
          <w:p>
            <w:r>
              <w:rPr>
                <w:sz w:val="16"/>
              </w:rPr>
              <w:t>[Financial Team to complete]</w:t>
            </w:r>
          </w:p>
        </w:tc>
        <w:tc>
          <w:tcPr>
            <w:tcW w:type="dxa" w:w="3513"/>
          </w:tcPr>
          <w:p>
            <w:r>
              <w:rPr>
                <w:sz w:val="16"/>
              </w:rPr>
              <w:t>EUR million/year</w:t>
            </w:r>
          </w:p>
        </w:tc>
      </w:tr>
      <w:tr>
        <w:tc>
          <w:tcPr>
            <w:tcW w:type="dxa" w:w="3513"/>
          </w:tcPr>
          <w:p>
            <w:r>
              <w:rPr>
                <w:sz w:val="16"/>
              </w:rPr>
              <w:t>Production capacity</w:t>
            </w:r>
          </w:p>
        </w:tc>
        <w:tc>
          <w:tcPr>
            <w:tcW w:type="dxa" w:w="3513"/>
          </w:tcPr>
          <w:p>
            <w:r>
              <w:rPr>
                <w:sz w:val="16"/>
              </w:rPr>
              <w:t>[Financial Team to complete]</w:t>
            </w:r>
          </w:p>
        </w:tc>
        <w:tc>
          <w:tcPr>
            <w:tcW w:type="dxa" w:w="3513"/>
          </w:tcPr>
          <w:p>
            <w:r>
              <w:rPr>
                <w:sz w:val="16"/>
              </w:rPr>
              <w:t>t LFP CAM/year</w:t>
            </w:r>
          </w:p>
        </w:tc>
      </w:tr>
      <w:tr>
        <w:tc>
          <w:tcPr>
            <w:tcW w:type="dxa" w:w="3513"/>
          </w:tcPr>
          <w:p>
            <w:r>
              <w:rPr>
                <w:sz w:val="16"/>
              </w:rPr>
              <w:t>Unit cost</w:t>
            </w:r>
          </w:p>
        </w:tc>
        <w:tc>
          <w:tcPr>
            <w:tcW w:type="dxa" w:w="3513"/>
          </w:tcPr>
          <w:p>
            <w:r>
              <w:rPr>
                <w:sz w:val="16"/>
              </w:rPr>
              <w:t>[Financial Team to complete]</w:t>
            </w:r>
          </w:p>
        </w:tc>
        <w:tc>
          <w:tcPr>
            <w:tcW w:type="dxa" w:w="3513"/>
          </w:tcPr>
          <w:p>
            <w:r>
              <w:rPr>
                <w:sz w:val="16"/>
              </w:rPr>
              <w:t>EUR/kg LFP CAM</w:t>
            </w:r>
          </w:p>
        </w:tc>
      </w:tr>
      <w:tr>
        <w:tc>
          <w:tcPr>
            <w:tcW w:type="dxa" w:w="3513"/>
          </w:tcPr>
          <w:p>
            <w:r>
              <w:rPr>
                <w:sz w:val="16"/>
              </w:rPr>
              <w:t>Innovation Fund grant requested</w:t>
            </w:r>
          </w:p>
        </w:tc>
        <w:tc>
          <w:tcPr>
            <w:tcW w:type="dxa" w:w="3513"/>
          </w:tcPr>
          <w:p>
            <w:r>
              <w:rPr>
                <w:sz w:val="16"/>
              </w:rPr>
              <w:t>[Financial Team to complete]</w:t>
            </w:r>
          </w:p>
        </w:tc>
        <w:tc>
          <w:tcPr>
            <w:tcW w:type="dxa" w:w="3513"/>
          </w:tcPr>
          <w:p>
            <w:r>
              <w:rPr>
                <w:sz w:val="16"/>
              </w:rPr>
              <w:t>EUR million</w:t>
            </w:r>
          </w:p>
        </w:tc>
      </w:tr>
      <w:tr>
        <w:tc>
          <w:tcPr>
            <w:tcW w:type="dxa" w:w="3513"/>
          </w:tcPr>
          <w:p>
            <w:r>
              <w:rPr>
                <w:sz w:val="16"/>
              </w:rPr>
              <w:t>Co-funding rate</w:t>
            </w:r>
          </w:p>
        </w:tc>
        <w:tc>
          <w:tcPr>
            <w:tcW w:type="dxa" w:w="3513"/>
          </w:tcPr>
          <w:p>
            <w:r>
              <w:rPr>
                <w:sz w:val="16"/>
              </w:rPr>
              <w:t>60%</w:t>
            </w:r>
          </w:p>
        </w:tc>
        <w:tc>
          <w:tcPr>
            <w:tcW w:type="dxa" w:w="3513"/>
          </w:tcPr>
          <w:p>
            <w:r>
              <w:rPr>
                <w:sz w:val="16"/>
              </w:rPr>
              <w:t>% of relevant costs</w:t>
            </w:r>
          </w:p>
        </w:tc>
      </w:tr>
      <w:tr>
        <w:tc>
          <w:tcPr>
            <w:tcW w:type="dxa" w:w="3513"/>
          </w:tcPr>
          <w:p>
            <w:r>
              <w:rPr>
                <w:sz w:val="16"/>
              </w:rPr>
              <w:t>NPV (20-year)</w:t>
            </w:r>
          </w:p>
        </w:tc>
        <w:tc>
          <w:tcPr>
            <w:tcW w:type="dxa" w:w="3513"/>
          </w:tcPr>
          <w:p>
            <w:r>
              <w:rPr>
                <w:sz w:val="16"/>
              </w:rPr>
              <w:t>[Financial Team to complete]</w:t>
            </w:r>
          </w:p>
        </w:tc>
        <w:tc>
          <w:tcPr>
            <w:tcW w:type="dxa" w:w="3513"/>
          </w:tcPr>
          <w:p>
            <w:r>
              <w:rPr>
                <w:sz w:val="16"/>
              </w:rPr>
              <w:t>EUR million</w:t>
            </w:r>
          </w:p>
        </w:tc>
      </w:tr>
      <w:tr>
        <w:tc>
          <w:tcPr>
            <w:tcW w:type="dxa" w:w="3513"/>
          </w:tcPr>
          <w:p>
            <w:r>
              <w:rPr>
                <w:sz w:val="16"/>
              </w:rPr>
              <w:t>IRR</w:t>
            </w:r>
          </w:p>
        </w:tc>
        <w:tc>
          <w:tcPr>
            <w:tcW w:type="dxa" w:w="3513"/>
          </w:tcPr>
          <w:p>
            <w:r>
              <w:rPr>
                <w:sz w:val="16"/>
              </w:rPr>
              <w:t>[Financial Team to complete]</w:t>
            </w:r>
          </w:p>
        </w:tc>
        <w:tc>
          <w:tcPr>
            <w:tcW w:type="dxa" w:w="3513"/>
          </w:tcPr>
          <w:p>
            <w:r>
              <w:rPr>
                <w:sz w:val="16"/>
              </w:rPr>
              <w:t>%</w:t>
            </w:r>
          </w:p>
        </w:tc>
      </w:tr>
      <w:tr>
        <w:tc>
          <w:tcPr>
            <w:tcW w:type="dxa" w:w="3513"/>
          </w:tcPr>
          <w:p>
            <w:r>
              <w:rPr>
                <w:sz w:val="16"/>
              </w:rPr>
              <w:t>Payback period</w:t>
            </w:r>
          </w:p>
        </w:tc>
        <w:tc>
          <w:tcPr>
            <w:tcW w:type="dxa" w:w="3513"/>
          </w:tcPr>
          <w:p>
            <w:r>
              <w:rPr>
                <w:sz w:val="16"/>
              </w:rPr>
              <w:t>[Financial Team to complete]</w:t>
            </w:r>
          </w:p>
        </w:tc>
        <w:tc>
          <w:tcPr>
            <w:tcW w:type="dxa" w:w="3513"/>
          </w:tcPr>
          <w:p>
            <w:r>
              <w:rPr>
                <w:sz w:val="16"/>
              </w:rPr>
              <w:t>Years</w:t>
            </w:r>
          </w:p>
        </w:tc>
      </w:tr>
    </w:tbl>
    <w:p>
      <w:r>
        <w:rPr>
          <w:sz w:val="18"/>
        </w:rPr>
        <w:t>---</w:t>
      </w:r>
    </w:p>
    <w:p>
      <w:pPr>
        <w:pStyle w:val="Heading2"/>
      </w:pPr>
      <w:r>
        <w:t>9. Risk Analysis and Management</w:t>
      </w:r>
    </w:p>
    <w:p>
      <w:pPr>
        <w:pStyle w:val="Heading3"/>
      </w:pPr>
      <w:r>
        <w:t>9.1 Technical Risks</w:t>
      </w:r>
    </w:p>
    <w:tbl>
      <w:tblPr>
        <w:tblStyle w:val="LightGrid-Accent1"/>
        <w:tblW w:type="auto" w:w="0"/>
        <w:tblLook w:firstColumn="1" w:firstRow="1" w:lastColumn="0" w:lastRow="0" w:noHBand="0" w:noVBand="1" w:val="04A0"/>
      </w:tblPr>
      <w:tblGrid>
        <w:gridCol w:w="1506"/>
        <w:gridCol w:w="1506"/>
        <w:gridCol w:w="1506"/>
        <w:gridCol w:w="1506"/>
        <w:gridCol w:w="1506"/>
        <w:gridCol w:w="1506"/>
        <w:gridCol w:w="1506"/>
      </w:tblGrid>
      <w:tr>
        <w:tc>
          <w:tcPr>
            <w:tcW w:type="dxa" w:w="1506"/>
          </w:tcPr>
          <w:p>
            <w:r>
              <w:rPr>
                <w:b/>
                <w:sz w:val="16"/>
              </w:rPr>
              <w:t>#</w:t>
            </w:r>
          </w:p>
        </w:tc>
        <w:tc>
          <w:tcPr>
            <w:tcW w:type="dxa" w:w="1506"/>
          </w:tcPr>
          <w:p>
            <w:r>
              <w:rPr>
                <w:b/>
                <w:sz w:val="16"/>
              </w:rPr>
              <w:t>Risk Description</w:t>
            </w:r>
          </w:p>
        </w:tc>
        <w:tc>
          <w:tcPr>
            <w:tcW w:type="dxa" w:w="1506"/>
          </w:tcPr>
          <w:p>
            <w:r>
              <w:rPr>
                <w:b/>
                <w:sz w:val="16"/>
              </w:rPr>
              <w:t>Likelihood</w:t>
            </w:r>
          </w:p>
        </w:tc>
        <w:tc>
          <w:tcPr>
            <w:tcW w:type="dxa" w:w="1506"/>
          </w:tcPr>
          <w:p>
            <w:r>
              <w:rPr>
                <w:b/>
                <w:sz w:val="16"/>
              </w:rPr>
              <w:t>Impact</w:t>
            </w:r>
          </w:p>
        </w:tc>
        <w:tc>
          <w:tcPr>
            <w:tcW w:type="dxa" w:w="1506"/>
          </w:tcPr>
          <w:p>
            <w:r>
              <w:rPr>
                <w:b/>
                <w:sz w:val="16"/>
              </w:rPr>
              <w:t>Risk Level</w:t>
            </w:r>
          </w:p>
        </w:tc>
        <w:tc>
          <w:tcPr>
            <w:tcW w:type="dxa" w:w="1506"/>
          </w:tcPr>
          <w:p>
            <w:r>
              <w:rPr>
                <w:b/>
                <w:sz w:val="16"/>
              </w:rPr>
              <w:t>Ownership</w:t>
            </w:r>
          </w:p>
        </w:tc>
        <w:tc>
          <w:tcPr>
            <w:tcW w:type="dxa" w:w="1506"/>
          </w:tcPr>
          <w:p>
            <w:r>
              <w:rPr>
                <w:b/>
                <w:sz w:val="16"/>
              </w:rPr>
              <w:t>Mitigation Measures</w:t>
            </w:r>
          </w:p>
        </w:tc>
      </w:tr>
      <w:tr>
        <w:tc>
          <w:tcPr>
            <w:tcW w:type="dxa" w:w="1506"/>
          </w:tcPr>
          <w:p>
            <w:r>
              <w:rPr>
                <w:sz w:val="16"/>
              </w:rPr>
              <w:t>TR1</w:t>
            </w:r>
          </w:p>
        </w:tc>
        <w:tc>
          <w:tcPr>
            <w:tcW w:type="dxa" w:w="1506"/>
          </w:tcPr>
          <w:p>
            <w:r>
              <w:rPr>
                <w:sz w:val="16"/>
              </w:rPr>
              <w:t>**Calcination scale-up**: Difficulty achieving target CQAs (phase purity &gt;98%, D50 0.7-2.5 um) at production scale due to thermal non-uniformity in larger kiln</w:t>
            </w:r>
          </w:p>
        </w:tc>
        <w:tc>
          <w:tcPr>
            <w:tcW w:type="dxa" w:w="1506"/>
          </w:tcPr>
          <w:p>
            <w:r>
              <w:rPr>
                <w:sz w:val="16"/>
              </w:rPr>
              <w:t>Medium</w:t>
            </w:r>
          </w:p>
        </w:tc>
        <w:tc>
          <w:tcPr>
            <w:tcW w:type="dxa" w:w="1506"/>
          </w:tcPr>
          <w:p>
            <w:r>
              <w:rPr>
                <w:sz w:val="16"/>
              </w:rPr>
              <w:t>High</w:t>
            </w:r>
          </w:p>
        </w:tc>
        <w:tc>
          <w:tcPr>
            <w:tcW w:type="dxa" w:w="1506"/>
          </w:tcPr>
          <w:p>
            <w:r>
              <w:rPr>
                <w:sz w:val="16"/>
              </w:rPr>
              <w:t>**High**</w:t>
            </w:r>
          </w:p>
        </w:tc>
        <w:tc>
          <w:tcPr>
            <w:tcW w:type="dxa" w:w="1506"/>
          </w:tcPr>
          <w:p>
            <w:r>
              <w:rPr>
                <w:sz w:val="16"/>
              </w:rPr>
              <w:t>ESS JV (Technical Director)</w:t>
            </w:r>
          </w:p>
        </w:tc>
        <w:tc>
          <w:tcPr>
            <w:tcW w:type="dxa" w:w="1506"/>
          </w:tcPr>
          <w:p>
            <w:r>
              <w:rPr>
                <w:sz w:val="16"/>
              </w:rPr>
              <w:t>(a) Pilot-scale trials at kiln vendor facility (M6-M12) to validate temperature uniformity and product quality before equipment purchase; (b) phased production ramp-up from 25% to 100% nameplate capacity (M48-M54); (c) DT-driven furnace zone optimisation using CFD-calibrated models [CLM-016, SRC-ED-010]; (d) multi-zone independent PID + MPC control</w:t>
            </w:r>
          </w:p>
        </w:tc>
      </w:tr>
      <w:tr>
        <w:tc>
          <w:tcPr>
            <w:tcW w:type="dxa" w:w="1506"/>
          </w:tcPr>
          <w:p>
            <w:r>
              <w:rPr>
                <w:sz w:val="16"/>
              </w:rPr>
              <w:t>TR2</w:t>
            </w:r>
          </w:p>
        </w:tc>
        <w:tc>
          <w:tcPr>
            <w:tcW w:type="dxa" w:w="1506"/>
          </w:tcPr>
          <w:p>
            <w:r>
              <w:rPr>
                <w:sz w:val="16"/>
              </w:rPr>
              <w:t>**DT model accuracy at production scale**: Physics-based models calibrated on literature data and vendor test data may not accurately predict production-scale behaviour</w:t>
            </w:r>
          </w:p>
        </w:tc>
        <w:tc>
          <w:tcPr>
            <w:tcW w:type="dxa" w:w="1506"/>
          </w:tcPr>
          <w:p>
            <w:r>
              <w:rPr>
                <w:sz w:val="16"/>
              </w:rPr>
              <w:t>Medium</w:t>
            </w:r>
          </w:p>
        </w:tc>
        <w:tc>
          <w:tcPr>
            <w:tcW w:type="dxa" w:w="1506"/>
          </w:tcPr>
          <w:p>
            <w:r>
              <w:rPr>
                <w:sz w:val="16"/>
              </w:rPr>
              <w:t>Medium</w:t>
            </w:r>
          </w:p>
        </w:tc>
        <w:tc>
          <w:tcPr>
            <w:tcW w:type="dxa" w:w="1506"/>
          </w:tcPr>
          <w:p>
            <w:r>
              <w:rPr>
                <w:sz w:val="16"/>
              </w:rPr>
              <w:t>**Medium**</w:t>
            </w:r>
          </w:p>
        </w:tc>
        <w:tc>
          <w:tcPr>
            <w:tcW w:type="dxa" w:w="1506"/>
          </w:tcPr>
          <w:p>
            <w:r>
              <w:rPr>
                <w:sz w:val="16"/>
              </w:rPr>
              <w:t>ESS JV (DT Lead)</w:t>
            </w:r>
          </w:p>
        </w:tc>
        <w:tc>
          <w:tcPr>
            <w:tcW w:type="dxa" w:w="1506"/>
          </w:tcPr>
          <w:p>
            <w:r>
              <w:rPr>
                <w:sz w:val="16"/>
              </w:rPr>
              <w:t>(a) Systematic model calibration protocol using commissioning batch data (M42-M48); (b) hybrid physics + ML approach where data-driven corrections compensate for model discrepancies [CLM-018]; (c) conservative initial operating setpoints with gradual DT-guided optimisation; (d) independent model validation by academic partner</w:t>
            </w:r>
          </w:p>
        </w:tc>
      </w:tr>
      <w:tr>
        <w:tc>
          <w:tcPr>
            <w:tcW w:type="dxa" w:w="1506"/>
          </w:tcPr>
          <w:p>
            <w:r>
              <w:rPr>
                <w:sz w:val="16"/>
              </w:rPr>
              <w:t>TR3</w:t>
            </w:r>
          </w:p>
        </w:tc>
        <w:tc>
          <w:tcPr>
            <w:tcW w:type="dxa" w:w="1506"/>
          </w:tcPr>
          <w:p>
            <w:r>
              <w:rPr>
                <w:sz w:val="16"/>
              </w:rPr>
              <w:t>**Sensor degradation at high temperature**: Raman probes, thermocouples, and O2 sensors operating at &gt;600 C may experience fouling, drift, or failure during extended campaigns</w:t>
            </w:r>
          </w:p>
        </w:tc>
        <w:tc>
          <w:tcPr>
            <w:tcW w:type="dxa" w:w="1506"/>
          </w:tcPr>
          <w:p>
            <w:r>
              <w:rPr>
                <w:sz w:val="16"/>
              </w:rPr>
              <w:t>Medium</w:t>
            </w:r>
          </w:p>
        </w:tc>
        <w:tc>
          <w:tcPr>
            <w:tcW w:type="dxa" w:w="1506"/>
          </w:tcPr>
          <w:p>
            <w:r>
              <w:rPr>
                <w:sz w:val="16"/>
              </w:rPr>
              <w:t>Medium</w:t>
            </w:r>
          </w:p>
        </w:tc>
        <w:tc>
          <w:tcPr>
            <w:tcW w:type="dxa" w:w="1506"/>
          </w:tcPr>
          <w:p>
            <w:r>
              <w:rPr>
                <w:sz w:val="16"/>
              </w:rPr>
              <w:t>**Medium**</w:t>
            </w:r>
          </w:p>
        </w:tc>
        <w:tc>
          <w:tcPr>
            <w:tcW w:type="dxa" w:w="1506"/>
          </w:tcPr>
          <w:p>
            <w:r>
              <w:rPr>
                <w:sz w:val="16"/>
              </w:rPr>
              <w:t>ESS JV (Process Engineering)</w:t>
            </w:r>
          </w:p>
        </w:tc>
        <w:tc>
          <w:tcPr>
            <w:tcW w:type="dxa" w:w="1506"/>
          </w:tcPr>
          <w:p>
            <w:r>
              <w:rPr>
                <w:sz w:val="16"/>
              </w:rPr>
              <w:t>(a) Redundant sensing architecture: multiple sensor types per critical measurement (thermocouples + pyrometers + IR cameras for temperature) [CLM-019]; (b) scheduled preventive maintenance with sensor replacement intervals; (c) virtual sensors (ML-inferred predictions from correlated measurements) as backup</w:t>
            </w:r>
          </w:p>
        </w:tc>
      </w:tr>
      <w:tr>
        <w:tc>
          <w:tcPr>
            <w:tcW w:type="dxa" w:w="1506"/>
          </w:tcPr>
          <w:p>
            <w:r>
              <w:rPr>
                <w:sz w:val="16"/>
              </w:rPr>
              <w:t>TR4</w:t>
            </w:r>
          </w:p>
        </w:tc>
        <w:tc>
          <w:tcPr>
            <w:tcW w:type="dxa" w:w="1506"/>
          </w:tcPr>
          <w:p>
            <w:r>
              <w:rPr>
                <w:sz w:val="16"/>
              </w:rPr>
              <w:t>**Spray drying optimisation for LFP**: Electric spray dryer parameters (inlet T, feed rate, atomiser speed) may require extensive optimisation to achieve target particle morphology for LFP precursor</w:t>
            </w:r>
          </w:p>
        </w:tc>
        <w:tc>
          <w:tcPr>
            <w:tcW w:type="dxa" w:w="1506"/>
          </w:tcPr>
          <w:p>
            <w:r>
              <w:rPr>
                <w:sz w:val="16"/>
              </w:rPr>
              <w:t>Low</w:t>
            </w:r>
          </w:p>
        </w:tc>
        <w:tc>
          <w:tcPr>
            <w:tcW w:type="dxa" w:w="1506"/>
          </w:tcPr>
          <w:p>
            <w:r>
              <w:rPr>
                <w:sz w:val="16"/>
              </w:rPr>
              <w:t>Medium</w:t>
            </w:r>
          </w:p>
        </w:tc>
        <w:tc>
          <w:tcPr>
            <w:tcW w:type="dxa" w:w="1506"/>
          </w:tcPr>
          <w:p>
            <w:r>
              <w:rPr>
                <w:sz w:val="16"/>
              </w:rPr>
              <w:t>**Low-Medium**</w:t>
            </w:r>
          </w:p>
        </w:tc>
        <w:tc>
          <w:tcPr>
            <w:tcW w:type="dxa" w:w="1506"/>
          </w:tcPr>
          <w:p>
            <w:r>
              <w:rPr>
                <w:sz w:val="16"/>
              </w:rPr>
              <w:t>ESS JV (Process Engineering)</w:t>
            </w:r>
          </w:p>
        </w:tc>
        <w:tc>
          <w:tcPr>
            <w:tcW w:type="dxa" w:w="1506"/>
          </w:tcPr>
          <w:p>
            <w:r>
              <w:rPr>
                <w:sz w:val="16"/>
              </w:rPr>
              <w:t>(a) Spray drying trials at vendor test facility using LFP precursor slurry (M12-M18); (b) DT-based DoE to efficiently explore parameter space; (c) electric heating enables precise temperature control (+/-1 C) aiding reproducibility [SRC-ED-018]</w:t>
            </w:r>
          </w:p>
        </w:tc>
      </w:tr>
      <w:tr>
        <w:tc>
          <w:tcPr>
            <w:tcW w:type="dxa" w:w="1506"/>
          </w:tcPr>
          <w:p>
            <w:r>
              <w:rPr>
                <w:sz w:val="16"/>
              </w:rPr>
              <w:t>TR5</w:t>
            </w:r>
          </w:p>
        </w:tc>
        <w:tc>
          <w:tcPr>
            <w:tcW w:type="dxa" w:w="1506"/>
          </w:tcPr>
          <w:p>
            <w:r>
              <w:rPr>
                <w:sz w:val="16"/>
              </w:rPr>
              <w:t>**Product quality consistency across batches**: Batch-to-batch variability in CQAs may exceed customer specifications during early production</w:t>
            </w:r>
          </w:p>
        </w:tc>
        <w:tc>
          <w:tcPr>
            <w:tcW w:type="dxa" w:w="1506"/>
          </w:tcPr>
          <w:p>
            <w:r>
              <w:rPr>
                <w:sz w:val="16"/>
              </w:rPr>
              <w:t>Medium</w:t>
            </w:r>
          </w:p>
        </w:tc>
        <w:tc>
          <w:tcPr>
            <w:tcW w:type="dxa" w:w="1506"/>
          </w:tcPr>
          <w:p>
            <w:r>
              <w:rPr>
                <w:sz w:val="16"/>
              </w:rPr>
              <w:t>High</w:t>
            </w:r>
          </w:p>
        </w:tc>
        <w:tc>
          <w:tcPr>
            <w:tcW w:type="dxa" w:w="1506"/>
          </w:tcPr>
          <w:p>
            <w:r>
              <w:rPr>
                <w:sz w:val="16"/>
              </w:rPr>
              <w:t>**High**</w:t>
            </w:r>
          </w:p>
        </w:tc>
        <w:tc>
          <w:tcPr>
            <w:tcW w:type="dxa" w:w="1506"/>
          </w:tcPr>
          <w:p>
            <w:r>
              <w:rPr>
                <w:sz w:val="16"/>
              </w:rPr>
              <w:t>ESS JV (Quality Director)</w:t>
            </w:r>
          </w:p>
        </w:tc>
        <w:tc>
          <w:tcPr>
            <w:tcW w:type="dxa" w:w="1506"/>
          </w:tcPr>
          <w:p>
            <w:r>
              <w:rPr>
                <w:sz w:val="16"/>
              </w:rPr>
              <w:t>(a) DT-driven MPC to maintain operation within validated design space; (b) Bayesian optimisation for iterative process improvement [SRC-004]; (c) statistical process capability monitoring (target Cpk &gt; 1.33); (d) conservative production ramp-up with progressive quality qualification</w:t>
            </w:r>
          </w:p>
        </w:tc>
      </w:tr>
      <w:tr>
        <w:tc>
          <w:tcPr>
            <w:tcW w:type="dxa" w:w="1506"/>
          </w:tcPr>
          <w:p>
            <w:r>
              <w:rPr>
                <w:sz w:val="16"/>
              </w:rPr>
              <w:t>TR6</w:t>
            </w:r>
          </w:p>
        </w:tc>
        <w:tc>
          <w:tcPr>
            <w:tcW w:type="dxa" w:w="1506"/>
          </w:tcPr>
          <w:p>
            <w:r>
              <w:rPr>
                <w:sz w:val="16"/>
              </w:rPr>
              <w:t>**IP/licensing risk**: Third-party patents (LG Chem EP2360117B1, AspenTech EP4222563A4) may constrain product specifications or DT platform choice</w:t>
            </w:r>
          </w:p>
        </w:tc>
        <w:tc>
          <w:tcPr>
            <w:tcW w:type="dxa" w:w="1506"/>
          </w:tcPr>
          <w:p>
            <w:r>
              <w:rPr>
                <w:sz w:val="16"/>
              </w:rPr>
              <w:t>Low</w:t>
            </w:r>
          </w:p>
        </w:tc>
        <w:tc>
          <w:tcPr>
            <w:tcW w:type="dxa" w:w="1506"/>
          </w:tcPr>
          <w:p>
            <w:r>
              <w:rPr>
                <w:sz w:val="16"/>
              </w:rPr>
              <w:t>Medium</w:t>
            </w:r>
          </w:p>
        </w:tc>
        <w:tc>
          <w:tcPr>
            <w:tcW w:type="dxa" w:w="1506"/>
          </w:tcPr>
          <w:p>
            <w:r>
              <w:rPr>
                <w:sz w:val="16"/>
              </w:rPr>
              <w:t>**Low**</w:t>
            </w:r>
          </w:p>
        </w:tc>
        <w:tc>
          <w:tcPr>
            <w:tcW w:type="dxa" w:w="1506"/>
          </w:tcPr>
          <w:p>
            <w:r>
              <w:rPr>
                <w:sz w:val="16"/>
              </w:rPr>
              <w:t>ESS JV (Legal)</w:t>
            </w:r>
          </w:p>
        </w:tc>
        <w:tc>
          <w:tcPr>
            <w:tcW w:type="dxa" w:w="1506"/>
          </w:tcPr>
          <w:p>
            <w:r>
              <w:rPr>
                <w:sz w:val="16"/>
              </w:rPr>
              <w:t>(a) Freedom-to-operate assessment completed -- no blocking patents identified [CLM-014]; (b) LG Chem patent expires ~2029 -- design product specifications outside claim scope; (c) if AspenTech platform used, licence included; (d) proactive patent filing for novel DT-electrification combination</w:t>
            </w:r>
          </w:p>
        </w:tc>
      </w:tr>
      <w:tr>
        <w:tc>
          <w:tcPr>
            <w:tcW w:type="dxa" w:w="1506"/>
          </w:tcPr>
          <w:p>
            <w:r>
              <w:rPr>
                <w:sz w:val="16"/>
              </w:rPr>
              <w:t>TR7</w:t>
            </w:r>
          </w:p>
        </w:tc>
        <w:tc>
          <w:tcPr>
            <w:tcW w:type="dxa" w:w="1506"/>
          </w:tcPr>
          <w:p>
            <w:r>
              <w:rPr>
                <w:sz w:val="16"/>
              </w:rPr>
              <w:t>**Precursor quality variability**: Incoming FePO4 and Li2CO3 quality variation from different suppliers may affect process stability and product quality</w:t>
            </w:r>
          </w:p>
        </w:tc>
        <w:tc>
          <w:tcPr>
            <w:tcW w:type="dxa" w:w="1506"/>
          </w:tcPr>
          <w:p>
            <w:r>
              <w:rPr>
                <w:sz w:val="16"/>
              </w:rPr>
              <w:t>Low</w:t>
            </w:r>
          </w:p>
        </w:tc>
        <w:tc>
          <w:tcPr>
            <w:tcW w:type="dxa" w:w="1506"/>
          </w:tcPr>
          <w:p>
            <w:r>
              <w:rPr>
                <w:sz w:val="16"/>
              </w:rPr>
              <w:t>Medium</w:t>
            </w:r>
          </w:p>
        </w:tc>
        <w:tc>
          <w:tcPr>
            <w:tcW w:type="dxa" w:w="1506"/>
          </w:tcPr>
          <w:p>
            <w:r>
              <w:rPr>
                <w:sz w:val="16"/>
              </w:rPr>
              <w:t>**Low-Medium**</w:t>
            </w:r>
          </w:p>
        </w:tc>
        <w:tc>
          <w:tcPr>
            <w:tcW w:type="dxa" w:w="1506"/>
          </w:tcPr>
          <w:p>
            <w:r>
              <w:rPr>
                <w:sz w:val="16"/>
              </w:rPr>
              <w:t>ESS JV (Quality / Procurement)</w:t>
            </w:r>
          </w:p>
        </w:tc>
        <w:tc>
          <w:tcPr>
            <w:tcW w:type="dxa" w:w="1506"/>
          </w:tcPr>
          <w:p>
            <w:r>
              <w:rPr>
                <w:sz w:val="16"/>
              </w:rPr>
              <w:t>(a) Incoming raw material QC testing (XRF, PSD, moisture) before use; (b) supplier qualification programme with CQA-relevant specifications; (c) DT adaptive control adjusts process parameters based on measured precursor properties</w:t>
            </w:r>
          </w:p>
        </w:tc>
      </w:tr>
      <w:tr>
        <w:tc>
          <w:tcPr>
            <w:tcW w:type="dxa" w:w="1506"/>
          </w:tcPr>
          <w:p>
            <w:r>
              <w:rPr>
                <w:sz w:val="16"/>
              </w:rPr>
              <w:t>TR8</w:t>
            </w:r>
          </w:p>
        </w:tc>
        <w:tc>
          <w:tcPr>
            <w:tcW w:type="dxa" w:w="1506"/>
          </w:tcPr>
          <w:p>
            <w:r>
              <w:rPr>
                <w:sz w:val="16"/>
              </w:rPr>
              <w:t>**N2 atmosphere control under electric heating**: Maintaining pO2 &lt;10 ppm in electric roller hearth kiln requires careful sealing and N2 flow design</w:t>
            </w:r>
          </w:p>
        </w:tc>
        <w:tc>
          <w:tcPr>
            <w:tcW w:type="dxa" w:w="1506"/>
          </w:tcPr>
          <w:p>
            <w:r>
              <w:rPr>
                <w:sz w:val="16"/>
              </w:rPr>
              <w:t>Low</w:t>
            </w:r>
          </w:p>
        </w:tc>
        <w:tc>
          <w:tcPr>
            <w:tcW w:type="dxa" w:w="1506"/>
          </w:tcPr>
          <w:p>
            <w:r>
              <w:rPr>
                <w:sz w:val="16"/>
              </w:rPr>
              <w:t>High</w:t>
            </w:r>
          </w:p>
        </w:tc>
        <w:tc>
          <w:tcPr>
            <w:tcW w:type="dxa" w:w="1506"/>
          </w:tcPr>
          <w:p>
            <w:r>
              <w:rPr>
                <w:sz w:val="16"/>
              </w:rPr>
              <w:t>**Medium**</w:t>
            </w:r>
          </w:p>
        </w:tc>
        <w:tc>
          <w:tcPr>
            <w:tcW w:type="dxa" w:w="1506"/>
          </w:tcPr>
          <w:p>
            <w:r>
              <w:rPr>
                <w:sz w:val="16"/>
              </w:rPr>
              <w:t>ESS JV (Process Engineering)</w:t>
            </w:r>
          </w:p>
        </w:tc>
        <w:tc>
          <w:tcPr>
            <w:tcW w:type="dxa" w:w="1506"/>
          </w:tcPr>
          <w:p>
            <w:r>
              <w:rPr>
                <w:sz w:val="16"/>
              </w:rPr>
              <w:t>(a) Kiln specification includes sealed enclosure with N2 purge design; (b) electric kilns for NMC operate at even stricter atmosphere requirements [SRC-ED-010]; (c) continuous pO2 monitoring with automatic N2 flow increase on deviation; (d) DT monitors atmosphere trends and predicts seal degradation</w:t>
            </w:r>
          </w:p>
        </w:tc>
      </w:tr>
      <w:tr>
        <w:tc>
          <w:tcPr>
            <w:tcW w:type="dxa" w:w="1506"/>
          </w:tcPr>
          <w:p>
            <w:r>
              <w:rPr>
                <w:sz w:val="16"/>
              </w:rPr>
              <w:t>TR9</w:t>
            </w:r>
          </w:p>
        </w:tc>
        <w:tc>
          <w:tcPr>
            <w:tcW w:type="dxa" w:w="1506"/>
          </w:tcPr>
          <w:p>
            <w:r>
              <w:rPr>
                <w:sz w:val="16"/>
              </w:rPr>
              <w:t>**Grid reliability**: Power grid interruption during calcination could result in batch loss (incomplete reaction, thermal shock to crucibles/product)</w:t>
            </w:r>
          </w:p>
        </w:tc>
        <w:tc>
          <w:tcPr>
            <w:tcW w:type="dxa" w:w="1506"/>
          </w:tcPr>
          <w:p>
            <w:r>
              <w:rPr>
                <w:sz w:val="16"/>
              </w:rPr>
              <w:t>Low</w:t>
            </w:r>
          </w:p>
        </w:tc>
        <w:tc>
          <w:tcPr>
            <w:tcW w:type="dxa" w:w="1506"/>
          </w:tcPr>
          <w:p>
            <w:r>
              <w:rPr>
                <w:sz w:val="16"/>
              </w:rPr>
              <w:t>High</w:t>
            </w:r>
          </w:p>
        </w:tc>
        <w:tc>
          <w:tcPr>
            <w:tcW w:type="dxa" w:w="1506"/>
          </w:tcPr>
          <w:p>
            <w:r>
              <w:rPr>
                <w:sz w:val="16"/>
              </w:rPr>
              <w:t>**Medium**</w:t>
            </w:r>
          </w:p>
        </w:tc>
        <w:tc>
          <w:tcPr>
            <w:tcW w:type="dxa" w:w="1506"/>
          </w:tcPr>
          <w:p>
            <w:r>
              <w:rPr>
                <w:sz w:val="16"/>
              </w:rPr>
              <w:t>Eni (Site Operations)</w:t>
            </w:r>
          </w:p>
        </w:tc>
        <w:tc>
          <w:tcPr>
            <w:tcW w:type="dxa" w:w="1506"/>
          </w:tcPr>
          <w:p>
            <w:r>
              <w:rPr>
                <w:sz w:val="16"/>
              </w:rPr>
              <w:t>(a) Uninterruptible power supply (UPS) for critical control systems; (b) controlled shutdown procedure activated within 30 seconds of grid failure; (c) on-site emergency generator for orderly plant shutdown (not for full production continuation); (d) evaluate battery energy storage for short-duration ride-through</w:t>
            </w:r>
          </w:p>
        </w:tc>
      </w:tr>
      <w:tr>
        <w:tc>
          <w:tcPr>
            <w:tcW w:type="dxa" w:w="1506"/>
          </w:tcPr>
          <w:p>
            <w:r>
              <w:rPr>
                <w:sz w:val="16"/>
              </w:rPr>
              <w:t>TR10</w:t>
            </w:r>
          </w:p>
        </w:tc>
        <w:tc>
          <w:tcPr>
            <w:tcW w:type="dxa" w:w="1506"/>
          </w:tcPr>
          <w:p>
            <w:r>
              <w:rPr>
                <w:sz w:val="16"/>
              </w:rPr>
              <w:t>**Equipment integration**: Integration of DT infrastructure (sensors, OPC-UA gateways, edge computing) with production equipment from multiple vendors may present interoperability challenges</w:t>
            </w:r>
          </w:p>
        </w:tc>
        <w:tc>
          <w:tcPr>
            <w:tcW w:type="dxa" w:w="1506"/>
          </w:tcPr>
          <w:p>
            <w:r>
              <w:rPr>
                <w:sz w:val="16"/>
              </w:rPr>
              <w:t>Medium</w:t>
            </w:r>
          </w:p>
        </w:tc>
        <w:tc>
          <w:tcPr>
            <w:tcW w:type="dxa" w:w="1506"/>
          </w:tcPr>
          <w:p>
            <w:r>
              <w:rPr>
                <w:sz w:val="16"/>
              </w:rPr>
              <w:t>Low</w:t>
            </w:r>
          </w:p>
        </w:tc>
        <w:tc>
          <w:tcPr>
            <w:tcW w:type="dxa" w:w="1506"/>
          </w:tcPr>
          <w:p>
            <w:r>
              <w:rPr>
                <w:sz w:val="16"/>
              </w:rPr>
              <w:t>**Low-Medium**</w:t>
            </w:r>
          </w:p>
        </w:tc>
        <w:tc>
          <w:tcPr>
            <w:tcW w:type="dxa" w:w="1506"/>
          </w:tcPr>
          <w:p>
            <w:r>
              <w:rPr>
                <w:sz w:val="16"/>
              </w:rPr>
              <w:t>ESS JV (DT Lead / Automation)</w:t>
            </w:r>
          </w:p>
        </w:tc>
        <w:tc>
          <w:tcPr>
            <w:tcW w:type="dxa" w:w="1506"/>
          </w:tcPr>
          <w:p>
            <w:r>
              <w:rPr>
                <w:sz w:val="16"/>
              </w:rPr>
              <w:t>(a) OPC-UA as mandatory communication standard in all equipment specifications; (b) Factory Acceptance Testing (FAT) with DT connectivity verification; (c) dedicated integration testing phase (M36-M42) before production commissioning; (d) industrial integration partner (e.g., Siemens, ABB) for system integration</w:t>
            </w:r>
          </w:p>
        </w:tc>
      </w:tr>
    </w:tbl>
    <w:p>
      <w:pPr>
        <w:pStyle w:val="Heading3"/>
      </w:pPr>
      <w:r>
        <w:t>9.2 Operational Risks</w:t>
      </w:r>
    </w:p>
    <w:tbl>
      <w:tblPr>
        <w:tblStyle w:val="LightGrid-Accent1"/>
        <w:tblW w:type="auto" w:w="0"/>
        <w:tblLook w:firstColumn="1" w:firstRow="1" w:lastColumn="0" w:lastRow="0" w:noHBand="0" w:noVBand="1" w:val="04A0"/>
      </w:tblPr>
      <w:tblGrid>
        <w:gridCol w:w="1506"/>
        <w:gridCol w:w="1506"/>
        <w:gridCol w:w="1506"/>
        <w:gridCol w:w="1506"/>
        <w:gridCol w:w="1506"/>
        <w:gridCol w:w="1506"/>
        <w:gridCol w:w="1506"/>
      </w:tblGrid>
      <w:tr>
        <w:tc>
          <w:tcPr>
            <w:tcW w:type="dxa" w:w="1506"/>
          </w:tcPr>
          <w:p>
            <w:r>
              <w:rPr>
                <w:b/>
                <w:sz w:val="16"/>
              </w:rPr>
              <w:t>#</w:t>
            </w:r>
          </w:p>
        </w:tc>
        <w:tc>
          <w:tcPr>
            <w:tcW w:type="dxa" w:w="1506"/>
          </w:tcPr>
          <w:p>
            <w:r>
              <w:rPr>
                <w:b/>
                <w:sz w:val="16"/>
              </w:rPr>
              <w:t>Risk Description</w:t>
            </w:r>
          </w:p>
        </w:tc>
        <w:tc>
          <w:tcPr>
            <w:tcW w:type="dxa" w:w="1506"/>
          </w:tcPr>
          <w:p>
            <w:r>
              <w:rPr>
                <w:b/>
                <w:sz w:val="16"/>
              </w:rPr>
              <w:t>Likelihood</w:t>
            </w:r>
          </w:p>
        </w:tc>
        <w:tc>
          <w:tcPr>
            <w:tcW w:type="dxa" w:w="1506"/>
          </w:tcPr>
          <w:p>
            <w:r>
              <w:rPr>
                <w:b/>
                <w:sz w:val="16"/>
              </w:rPr>
              <w:t>Impact</w:t>
            </w:r>
          </w:p>
        </w:tc>
        <w:tc>
          <w:tcPr>
            <w:tcW w:type="dxa" w:w="1506"/>
          </w:tcPr>
          <w:p>
            <w:r>
              <w:rPr>
                <w:b/>
                <w:sz w:val="16"/>
              </w:rPr>
              <w:t>Risk Level</w:t>
            </w:r>
          </w:p>
        </w:tc>
        <w:tc>
          <w:tcPr>
            <w:tcW w:type="dxa" w:w="1506"/>
          </w:tcPr>
          <w:p>
            <w:r>
              <w:rPr>
                <w:b/>
                <w:sz w:val="16"/>
              </w:rPr>
              <w:t>Ownership</w:t>
            </w:r>
          </w:p>
        </w:tc>
        <w:tc>
          <w:tcPr>
            <w:tcW w:type="dxa" w:w="1506"/>
          </w:tcPr>
          <w:p>
            <w:r>
              <w:rPr>
                <w:b/>
                <w:sz w:val="16"/>
              </w:rPr>
              <w:t>Mitigation Measures</w:t>
            </w:r>
          </w:p>
        </w:tc>
      </w:tr>
      <w:tr>
        <w:tc>
          <w:tcPr>
            <w:tcW w:type="dxa" w:w="1506"/>
          </w:tcPr>
          <w:p>
            <w:r>
              <w:rPr>
                <w:sz w:val="16"/>
              </w:rPr>
              <w:t>OR1</w:t>
            </w:r>
          </w:p>
        </w:tc>
        <w:tc>
          <w:tcPr>
            <w:tcW w:type="dxa" w:w="1506"/>
          </w:tcPr>
          <w:p>
            <w:r>
              <w:rPr>
                <w:sz w:val="16"/>
              </w:rPr>
              <w:t>**Construction timeline delay**: Civil works, equipment delivery, or installation exceeds schedule</w:t>
            </w:r>
          </w:p>
        </w:tc>
        <w:tc>
          <w:tcPr>
            <w:tcW w:type="dxa" w:w="1506"/>
          </w:tcPr>
          <w:p>
            <w:r>
              <w:rPr>
                <w:sz w:val="16"/>
              </w:rPr>
              <w:t>Medium</w:t>
            </w:r>
          </w:p>
        </w:tc>
        <w:tc>
          <w:tcPr>
            <w:tcW w:type="dxa" w:w="1506"/>
          </w:tcPr>
          <w:p>
            <w:r>
              <w:rPr>
                <w:sz w:val="16"/>
              </w:rPr>
              <w:t>Medium</w:t>
            </w:r>
          </w:p>
        </w:tc>
        <w:tc>
          <w:tcPr>
            <w:tcW w:type="dxa" w:w="1506"/>
          </w:tcPr>
          <w:p>
            <w:r>
              <w:rPr>
                <w:sz w:val="16"/>
              </w:rPr>
              <w:t>**Medium**</w:t>
            </w:r>
          </w:p>
        </w:tc>
        <w:tc>
          <w:tcPr>
            <w:tcW w:type="dxa" w:w="1506"/>
          </w:tcPr>
          <w:p>
            <w:r>
              <w:rPr>
                <w:sz w:val="16"/>
              </w:rPr>
              <w:t>ESS JV (Project Manager)</w:t>
            </w:r>
          </w:p>
        </w:tc>
        <w:tc>
          <w:tcPr>
            <w:tcW w:type="dxa" w:w="1506"/>
          </w:tcPr>
          <w:p>
            <w:r>
              <w:rPr>
                <w:sz w:val="16"/>
              </w:rPr>
              <w:t>(a) Critical path scheduling with early procurement of long-lead items (kiln M0+3, spray dryer M0+6); (b) brownfield site reduces civil works scope; (c) 3-month schedule buffer in overall timeline; (d) experienced EPC contractor selection</w:t>
            </w:r>
          </w:p>
        </w:tc>
      </w:tr>
      <w:tr>
        <w:tc>
          <w:tcPr>
            <w:tcW w:type="dxa" w:w="1506"/>
          </w:tcPr>
          <w:p>
            <w:r>
              <w:rPr>
                <w:sz w:val="16"/>
              </w:rPr>
              <w:t>OR2</w:t>
            </w:r>
          </w:p>
        </w:tc>
        <w:tc>
          <w:tcPr>
            <w:tcW w:type="dxa" w:w="1506"/>
          </w:tcPr>
          <w:p>
            <w:r>
              <w:rPr>
                <w:sz w:val="16"/>
              </w:rPr>
              <w:t>**Permitting delays**: VIA or AIA permitting exceeds expected timeline</w:t>
            </w:r>
          </w:p>
        </w:tc>
        <w:tc>
          <w:tcPr>
            <w:tcW w:type="dxa" w:w="1506"/>
          </w:tcPr>
          <w:p>
            <w:r>
              <w:rPr>
                <w:sz w:val="16"/>
              </w:rPr>
              <w:t>Medium</w:t>
            </w:r>
          </w:p>
        </w:tc>
        <w:tc>
          <w:tcPr>
            <w:tcW w:type="dxa" w:w="1506"/>
          </w:tcPr>
          <w:p>
            <w:r>
              <w:rPr>
                <w:sz w:val="16"/>
              </w:rPr>
              <w:t>Medium</w:t>
            </w:r>
          </w:p>
        </w:tc>
        <w:tc>
          <w:tcPr>
            <w:tcW w:type="dxa" w:w="1506"/>
          </w:tcPr>
          <w:p>
            <w:r>
              <w:rPr>
                <w:sz w:val="16"/>
              </w:rPr>
              <w:t>**Medium**</w:t>
            </w:r>
          </w:p>
        </w:tc>
        <w:tc>
          <w:tcPr>
            <w:tcW w:type="dxa" w:w="1506"/>
          </w:tcPr>
          <w:p>
            <w:r>
              <w:rPr>
                <w:sz w:val="16"/>
              </w:rPr>
              <w:t>Eni (Regulatory Affairs)</w:t>
            </w:r>
          </w:p>
        </w:tc>
        <w:tc>
          <w:tcPr>
            <w:tcW w:type="dxa" w:w="1506"/>
          </w:tcPr>
          <w:p>
            <w:r>
              <w:rPr>
                <w:sz w:val="16"/>
              </w:rPr>
              <w:t>(a) Early engagement with Regione Puglia and MASE; (b) leverage Eni's established Brindisi regulatory relationships; (c) experienced environmental permitting consultants; (d) 3-month schedule buffer; (e) electrified process simplifies air emissions assessment</w:t>
            </w:r>
          </w:p>
        </w:tc>
      </w:tr>
      <w:tr>
        <w:tc>
          <w:tcPr>
            <w:tcW w:type="dxa" w:w="1506"/>
          </w:tcPr>
          <w:p>
            <w:r>
              <w:rPr>
                <w:sz w:val="16"/>
              </w:rPr>
              <w:t>OR3</w:t>
            </w:r>
          </w:p>
        </w:tc>
        <w:tc>
          <w:tcPr>
            <w:tcW w:type="dxa" w:w="1506"/>
          </w:tcPr>
          <w:p>
            <w:r>
              <w:rPr>
                <w:sz w:val="16"/>
              </w:rPr>
              <w:t>**Workforce recruitment**: Difficulty recruiting qualified process engineers, DT specialists, and production operators in Brindisi</w:t>
            </w:r>
          </w:p>
        </w:tc>
        <w:tc>
          <w:tcPr>
            <w:tcW w:type="dxa" w:w="1506"/>
          </w:tcPr>
          <w:p>
            <w:r>
              <w:rPr>
                <w:sz w:val="16"/>
              </w:rPr>
              <w:t>Medium</w:t>
            </w:r>
          </w:p>
        </w:tc>
        <w:tc>
          <w:tcPr>
            <w:tcW w:type="dxa" w:w="1506"/>
          </w:tcPr>
          <w:p>
            <w:r>
              <w:rPr>
                <w:sz w:val="16"/>
              </w:rPr>
              <w:t>Medium</w:t>
            </w:r>
          </w:p>
        </w:tc>
        <w:tc>
          <w:tcPr>
            <w:tcW w:type="dxa" w:w="1506"/>
          </w:tcPr>
          <w:p>
            <w:r>
              <w:rPr>
                <w:sz w:val="16"/>
              </w:rPr>
              <w:t>**Medium**</w:t>
            </w:r>
          </w:p>
        </w:tc>
        <w:tc>
          <w:tcPr>
            <w:tcW w:type="dxa" w:w="1506"/>
          </w:tcPr>
          <w:p>
            <w:r>
              <w:rPr>
                <w:sz w:val="16"/>
              </w:rPr>
              <w:t>ESS JV (HR Director)</w:t>
            </w:r>
          </w:p>
        </w:tc>
        <w:tc>
          <w:tcPr>
            <w:tcW w:type="dxa" w:w="1506"/>
          </w:tcPr>
          <w:p>
            <w:r>
              <w:rPr>
                <w:sz w:val="16"/>
              </w:rPr>
              <w:t>(a) Recruitment campaign starting M0; (b) partnerships with Politecnico di Bari and Universita del Salento for graduate recruitment; (c) training programme for existing FIB employees to cross-skill into CAM production; (d) competitive salary packages for DT specialists</w:t>
            </w:r>
          </w:p>
        </w:tc>
      </w:tr>
      <w:tr>
        <w:tc>
          <w:tcPr>
            <w:tcW w:type="dxa" w:w="1506"/>
          </w:tcPr>
          <w:p>
            <w:r>
              <w:rPr>
                <w:sz w:val="16"/>
              </w:rPr>
              <w:t>OR4</w:t>
            </w:r>
          </w:p>
        </w:tc>
        <w:tc>
          <w:tcPr>
            <w:tcW w:type="dxa" w:w="1506"/>
          </w:tcPr>
          <w:p>
            <w:r>
              <w:rPr>
                <w:sz w:val="16"/>
              </w:rPr>
              <w:t>**Commissioning challenges**: Extended commissioning period due to integration complexity of electrified equipment + DT</w:t>
            </w:r>
          </w:p>
        </w:tc>
        <w:tc>
          <w:tcPr>
            <w:tcW w:type="dxa" w:w="1506"/>
          </w:tcPr>
          <w:p>
            <w:r>
              <w:rPr>
                <w:sz w:val="16"/>
              </w:rPr>
              <w:t>Medium</w:t>
            </w:r>
          </w:p>
        </w:tc>
        <w:tc>
          <w:tcPr>
            <w:tcW w:type="dxa" w:w="1506"/>
          </w:tcPr>
          <w:p>
            <w:r>
              <w:rPr>
                <w:sz w:val="16"/>
              </w:rPr>
              <w:t>Medium</w:t>
            </w:r>
          </w:p>
        </w:tc>
        <w:tc>
          <w:tcPr>
            <w:tcW w:type="dxa" w:w="1506"/>
          </w:tcPr>
          <w:p>
            <w:r>
              <w:rPr>
                <w:sz w:val="16"/>
              </w:rPr>
              <w:t>**Medium**</w:t>
            </w:r>
          </w:p>
        </w:tc>
        <w:tc>
          <w:tcPr>
            <w:tcW w:type="dxa" w:w="1506"/>
          </w:tcPr>
          <w:p>
            <w:r>
              <w:rPr>
                <w:sz w:val="16"/>
              </w:rPr>
              <w:t>ESS JV (Commissioning Manager)</w:t>
            </w:r>
          </w:p>
        </w:tc>
        <w:tc>
          <w:tcPr>
            <w:tcW w:type="dxa" w:w="1506"/>
          </w:tcPr>
          <w:p>
            <w:r>
              <w:rPr>
                <w:sz w:val="16"/>
              </w:rPr>
              <w:t>(a) Phased commissioning: equipment mechanical completion -&gt; cold commissioning -&gt; hot commissioning with non-critical material -&gt; production trials with actual precursors; (b) DT commissioning in parallel (digital commissioning before physical); (c) vendor technical support during commissioning</w:t>
            </w:r>
          </w:p>
        </w:tc>
      </w:tr>
      <w:tr>
        <w:tc>
          <w:tcPr>
            <w:tcW w:type="dxa" w:w="1506"/>
          </w:tcPr>
          <w:p>
            <w:r>
              <w:rPr>
                <w:sz w:val="16"/>
              </w:rPr>
              <w:t>OR5</w:t>
            </w:r>
          </w:p>
        </w:tc>
        <w:tc>
          <w:tcPr>
            <w:tcW w:type="dxa" w:w="1506"/>
          </w:tcPr>
          <w:p>
            <w:r>
              <w:rPr>
                <w:sz w:val="16"/>
              </w:rPr>
              <w:t>**Market timing**: Delay in European EV/ESS market growth or LFP chemistry adoption may reduce demand below plant capacity</w:t>
            </w:r>
          </w:p>
        </w:tc>
        <w:tc>
          <w:tcPr>
            <w:tcW w:type="dxa" w:w="1506"/>
          </w:tcPr>
          <w:p>
            <w:r>
              <w:rPr>
                <w:sz w:val="16"/>
              </w:rPr>
              <w:t>Very Low</w:t>
            </w:r>
          </w:p>
        </w:tc>
        <w:tc>
          <w:tcPr>
            <w:tcW w:type="dxa" w:w="1506"/>
          </w:tcPr>
          <w:p>
            <w:r>
              <w:rPr>
                <w:sz w:val="16"/>
              </w:rPr>
              <w:t>Medium</w:t>
            </w:r>
          </w:p>
        </w:tc>
        <w:tc>
          <w:tcPr>
            <w:tcW w:type="dxa" w:w="1506"/>
          </w:tcPr>
          <w:p>
            <w:r>
              <w:rPr>
                <w:sz w:val="16"/>
              </w:rPr>
              <w:t>**Very Low**</w:t>
            </w:r>
          </w:p>
        </w:tc>
        <w:tc>
          <w:tcPr>
            <w:tcW w:type="dxa" w:w="1506"/>
          </w:tcPr>
          <w:p>
            <w:r>
              <w:rPr>
                <w:sz w:val="16"/>
              </w:rPr>
              <w:t>FIB (Commercial Director)</w:t>
            </w:r>
          </w:p>
        </w:tc>
        <w:tc>
          <w:tcPr>
            <w:tcW w:type="dxa" w:w="1506"/>
          </w:tcPr>
          <w:p>
            <w:r>
              <w:rPr>
                <w:sz w:val="16"/>
              </w:rPr>
              <w:t>(a) **Offtake risk eliminated**: Eni is the guaranteed internal customer through the co-located ESS JV battery cell and BESS factory — captive demand absorbs production regardless of external market dynamics; (b) growing EU LFP demand driven by EV and ESS growth [SRC-015]; (c) Battery Regulation carbon footprint requirements create preference for EU-manufactured CAM; (d) external off-take agreements or LOIs with additional cell manufacturers represent upside; (e) plant design allows capacity modulation (turndown to 25%)</w:t>
            </w:r>
          </w:p>
        </w:tc>
      </w:tr>
      <w:tr>
        <w:tc>
          <w:tcPr>
            <w:tcW w:type="dxa" w:w="1506"/>
          </w:tcPr>
          <w:p>
            <w:r>
              <w:rPr>
                <w:sz w:val="16"/>
              </w:rPr>
              <w:t>OR6</w:t>
            </w:r>
          </w:p>
        </w:tc>
        <w:tc>
          <w:tcPr>
            <w:tcW w:type="dxa" w:w="1506"/>
          </w:tcPr>
          <w:p>
            <w:r>
              <w:rPr>
                <w:sz w:val="16"/>
              </w:rPr>
              <w:t>**Regulatory changes**: Changes to EU Battery Regulation, NZIA, or Innovation Fund rules during project implementation</w:t>
            </w:r>
          </w:p>
        </w:tc>
        <w:tc>
          <w:tcPr>
            <w:tcW w:type="dxa" w:w="1506"/>
          </w:tcPr>
          <w:p>
            <w:r>
              <w:rPr>
                <w:sz w:val="16"/>
              </w:rPr>
              <w:t>Low</w:t>
            </w:r>
          </w:p>
        </w:tc>
        <w:tc>
          <w:tcPr>
            <w:tcW w:type="dxa" w:w="1506"/>
          </w:tcPr>
          <w:p>
            <w:r>
              <w:rPr>
                <w:sz w:val="16"/>
              </w:rPr>
              <w:t>Low</w:t>
            </w:r>
          </w:p>
        </w:tc>
        <w:tc>
          <w:tcPr>
            <w:tcW w:type="dxa" w:w="1506"/>
          </w:tcPr>
          <w:p>
            <w:r>
              <w:rPr>
                <w:sz w:val="16"/>
              </w:rPr>
              <w:t>**Low**</w:t>
            </w:r>
          </w:p>
        </w:tc>
        <w:tc>
          <w:tcPr>
            <w:tcW w:type="dxa" w:w="1506"/>
          </w:tcPr>
          <w:p>
            <w:r>
              <w:rPr>
                <w:sz w:val="16"/>
              </w:rPr>
              <w:t>ESS JV (Legal / Regulatory)</w:t>
            </w:r>
          </w:p>
        </w:tc>
        <w:tc>
          <w:tcPr>
            <w:tcW w:type="dxa" w:w="1506"/>
          </w:tcPr>
          <w:p>
            <w:r>
              <w:rPr>
                <w:sz w:val="16"/>
              </w:rPr>
              <w:t>(a) Project aligned with long-term EU strategic direction; (b) regulatory risk is downside-limited (any changes likely to increase, not decrease, demand for EU-manufactured low-carbon CAM); (c) monitoring of regulatory developments</w:t>
            </w:r>
          </w:p>
        </w:tc>
      </w:tr>
      <w:tr>
        <w:tc>
          <w:tcPr>
            <w:tcW w:type="dxa" w:w="1506"/>
          </w:tcPr>
          <w:p>
            <w:r>
              <w:rPr>
                <w:sz w:val="16"/>
              </w:rPr>
              <w:t>OR7</w:t>
            </w:r>
          </w:p>
        </w:tc>
        <w:tc>
          <w:tcPr>
            <w:tcW w:type="dxa" w:w="1506"/>
          </w:tcPr>
          <w:p>
            <w:r>
              <w:rPr>
                <w:sz w:val="16"/>
              </w:rPr>
              <w:t>**Supply chain disruption**: Extended interruption of precursor supply (FePO4, Li2CO3) due to geopolitical events, logistics failures, or supplier insolvency</w:t>
            </w:r>
          </w:p>
        </w:tc>
        <w:tc>
          <w:tcPr>
            <w:tcW w:type="dxa" w:w="1506"/>
          </w:tcPr>
          <w:p>
            <w:r>
              <w:rPr>
                <w:sz w:val="16"/>
              </w:rPr>
              <w:t>Low</w:t>
            </w:r>
          </w:p>
        </w:tc>
        <w:tc>
          <w:tcPr>
            <w:tcW w:type="dxa" w:w="1506"/>
          </w:tcPr>
          <w:p>
            <w:r>
              <w:rPr>
                <w:sz w:val="16"/>
              </w:rPr>
              <w:t>High</w:t>
            </w:r>
          </w:p>
        </w:tc>
        <w:tc>
          <w:tcPr>
            <w:tcW w:type="dxa" w:w="1506"/>
          </w:tcPr>
          <w:p>
            <w:r>
              <w:rPr>
                <w:sz w:val="16"/>
              </w:rPr>
              <w:t>**Medium**</w:t>
            </w:r>
          </w:p>
        </w:tc>
        <w:tc>
          <w:tcPr>
            <w:tcW w:type="dxa" w:w="1506"/>
          </w:tcPr>
          <w:p>
            <w:r>
              <w:rPr>
                <w:sz w:val="16"/>
              </w:rPr>
              <w:t>FIB (Procurement Director)</w:t>
            </w:r>
          </w:p>
        </w:tc>
        <w:tc>
          <w:tcPr>
            <w:tcW w:type="dxa" w:w="1506"/>
          </w:tcPr>
          <w:p>
            <w:r>
              <w:rPr>
                <w:sz w:val="16"/>
              </w:rPr>
              <w:t>(a) Dual-sourcing strategy; (b) minimum 3-month strategic inventory; (c) long-term supply agreements; (d) supplier financial health monitoring; (e) emergency spot market access</w:t>
            </w:r>
          </w:p>
        </w:tc>
      </w:tr>
      <w:tr>
        <w:tc>
          <w:tcPr>
            <w:tcW w:type="dxa" w:w="1506"/>
          </w:tcPr>
          <w:p>
            <w:r>
              <w:rPr>
                <w:sz w:val="16"/>
              </w:rPr>
              <w:t>OR8</w:t>
            </w:r>
          </w:p>
        </w:tc>
        <w:tc>
          <w:tcPr>
            <w:tcW w:type="dxa" w:w="1506"/>
          </w:tcPr>
          <w:p>
            <w:r>
              <w:rPr>
                <w:sz w:val="16"/>
              </w:rPr>
              <w:t>**Quality certification delay**: Customer qualification of FACE LFP CAM takes longer than expected, delaying commercial revenue</w:t>
            </w:r>
          </w:p>
        </w:tc>
        <w:tc>
          <w:tcPr>
            <w:tcW w:type="dxa" w:w="1506"/>
          </w:tcPr>
          <w:p>
            <w:r>
              <w:rPr>
                <w:sz w:val="16"/>
              </w:rPr>
              <w:t>Medium</w:t>
            </w:r>
          </w:p>
        </w:tc>
        <w:tc>
          <w:tcPr>
            <w:tcW w:type="dxa" w:w="1506"/>
          </w:tcPr>
          <w:p>
            <w:r>
              <w:rPr>
                <w:sz w:val="16"/>
              </w:rPr>
              <w:t>Medium</w:t>
            </w:r>
          </w:p>
        </w:tc>
        <w:tc>
          <w:tcPr>
            <w:tcW w:type="dxa" w:w="1506"/>
          </w:tcPr>
          <w:p>
            <w:r>
              <w:rPr>
                <w:sz w:val="16"/>
              </w:rPr>
              <w:t>**Medium**</w:t>
            </w:r>
          </w:p>
        </w:tc>
        <w:tc>
          <w:tcPr>
            <w:tcW w:type="dxa" w:w="1506"/>
          </w:tcPr>
          <w:p>
            <w:r>
              <w:rPr>
                <w:sz w:val="16"/>
              </w:rPr>
              <w:t>FIB (Quality / Commercial)</w:t>
            </w:r>
          </w:p>
        </w:tc>
        <w:tc>
          <w:tcPr>
            <w:tcW w:type="dxa" w:w="1506"/>
          </w:tcPr>
          <w:p>
            <w:r>
              <w:rPr>
                <w:sz w:val="16"/>
              </w:rPr>
              <w:t>(a) Early customer engagement with sample material from vendor trial batches (M24-M36); (b) qualification programme aligned with customer timelines; (c) DT-enabled consistency accelerates qualification (fewer qualification batches needed); (d) multiple customer qualification tracks in parallel</w:t>
            </w:r>
          </w:p>
        </w:tc>
      </w:tr>
    </w:tbl>
    <w:p>
      <w:pPr>
        <w:pStyle w:val="Heading3"/>
      </w:pPr>
      <w:r>
        <w:t>9.3 Risk Heat Map</w:t>
      </w:r>
    </w:p>
    <w:p>
      <w:r>
        <w:rPr>
          <w:i/>
          <w:sz w:val="18"/>
        </w:rPr>
        <w:t>Note: The visual risk heat map is to be created in the Word document. The following describes the positioning of each risk on a 5x5 probability/impact matrix.</w:t>
      </w:r>
    </w:p>
    <w:p>
      <w:r>
        <w:rPr>
          <w:b/>
          <w:sz w:val="18"/>
        </w:rPr>
        <w:t>5x5 Probability/Impact Matrix Description</w:t>
      </w:r>
      <w:r>
        <w:rPr>
          <w:sz w:val="18"/>
        </w:rPr>
        <w:t>:</w:t>
      </w:r>
    </w:p>
    <w:p>
      <w:pPr>
        <w:pStyle w:val="ListBullet"/>
      </w:pPr>
      <w:r>
        <w:rPr>
          <w:b/>
          <w:sz w:val="18"/>
        </w:rPr>
        <w:t>Vertical axis</w:t>
      </w:r>
      <w:r>
        <w:rPr>
          <w:sz w:val="18"/>
        </w:rPr>
        <w:t>: Probability (1 = Very Low, 2 = Low, 3 = Medium, 4 = High, 5 = Very High)</w:t>
      </w:r>
    </w:p>
    <w:p>
      <w:pPr>
        <w:pStyle w:val="ListBullet"/>
      </w:pPr>
      <w:r>
        <w:rPr>
          <w:b/>
          <w:sz w:val="18"/>
        </w:rPr>
        <w:t>Horizontal axis</w:t>
      </w:r>
      <w:r>
        <w:rPr>
          <w:sz w:val="18"/>
        </w:rPr>
        <w:t>: Impact (1 = Negligible, 2 = Low, 3 = Medium, 4 = High, 5 = Critical)</w:t>
      </w:r>
    </w:p>
    <w:p>
      <w:pPr>
        <w:pStyle w:val="ListBullet"/>
      </w:pPr>
      <w:r>
        <w:rPr>
          <w:b/>
          <w:sz w:val="18"/>
        </w:rPr>
        <w:t>Risk zones</w:t>
      </w:r>
      <w:r>
        <w:rPr>
          <w:sz w:val="18"/>
        </w:rPr>
        <w:t>: Green (1-4), Yellow (5-9), Orange (10-15), Red (16-25)</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108"/>
          </w:tcPr>
          <w:p>
            <w:r>
              <w:rPr>
                <w:b/>
                <w:sz w:val="16"/>
              </w:rPr>
              <w:t>Risk ID</w:t>
            </w:r>
          </w:p>
        </w:tc>
        <w:tc>
          <w:tcPr>
            <w:tcW w:type="dxa" w:w="2108"/>
          </w:tcPr>
          <w:p>
            <w:r>
              <w:rPr>
                <w:b/>
                <w:sz w:val="16"/>
              </w:rPr>
              <w:t>Probability Score</w:t>
            </w:r>
          </w:p>
        </w:tc>
        <w:tc>
          <w:tcPr>
            <w:tcW w:type="dxa" w:w="2108"/>
          </w:tcPr>
          <w:p>
            <w:r>
              <w:rPr>
                <w:b/>
                <w:sz w:val="16"/>
              </w:rPr>
              <w:t>Impact Score</w:t>
            </w:r>
          </w:p>
        </w:tc>
        <w:tc>
          <w:tcPr>
            <w:tcW w:type="dxa" w:w="2108"/>
          </w:tcPr>
          <w:p>
            <w:r>
              <w:rPr>
                <w:b/>
                <w:sz w:val="16"/>
              </w:rPr>
              <w:t>Risk Score</w:t>
            </w:r>
          </w:p>
        </w:tc>
        <w:tc>
          <w:tcPr>
            <w:tcW w:type="dxa" w:w="2108"/>
          </w:tcPr>
          <w:p>
            <w:r>
              <w:rPr>
                <w:b/>
                <w:sz w:val="16"/>
              </w:rPr>
              <w:t>Zone</w:t>
            </w:r>
          </w:p>
        </w:tc>
      </w:tr>
      <w:tr>
        <w:tc>
          <w:tcPr>
            <w:tcW w:type="dxa" w:w="2108"/>
          </w:tcPr>
          <w:p>
            <w:r>
              <w:rPr>
                <w:sz w:val="16"/>
              </w:rPr>
              <w:t>TR1</w:t>
            </w:r>
          </w:p>
        </w:tc>
        <w:tc>
          <w:tcPr>
            <w:tcW w:type="dxa" w:w="2108"/>
          </w:tcPr>
          <w:p>
            <w:r>
              <w:rPr>
                <w:sz w:val="16"/>
              </w:rPr>
              <w:t>3</w:t>
            </w:r>
          </w:p>
        </w:tc>
        <w:tc>
          <w:tcPr>
            <w:tcW w:type="dxa" w:w="2108"/>
          </w:tcPr>
          <w:p>
            <w:r>
              <w:rPr>
                <w:sz w:val="16"/>
              </w:rPr>
              <w:t>4</w:t>
            </w:r>
          </w:p>
        </w:tc>
        <w:tc>
          <w:tcPr>
            <w:tcW w:type="dxa" w:w="2108"/>
          </w:tcPr>
          <w:p>
            <w:r>
              <w:rPr>
                <w:sz w:val="16"/>
              </w:rPr>
              <w:t>12</w:t>
            </w:r>
          </w:p>
        </w:tc>
        <w:tc>
          <w:tcPr>
            <w:tcW w:type="dxa" w:w="2108"/>
          </w:tcPr>
          <w:p>
            <w:r>
              <w:rPr>
                <w:sz w:val="16"/>
              </w:rPr>
              <w:t>Orange</w:t>
            </w:r>
          </w:p>
        </w:tc>
      </w:tr>
      <w:tr>
        <w:tc>
          <w:tcPr>
            <w:tcW w:type="dxa" w:w="2108"/>
          </w:tcPr>
          <w:p>
            <w:r>
              <w:rPr>
                <w:sz w:val="16"/>
              </w:rPr>
              <w:t>TR2</w:t>
            </w:r>
          </w:p>
        </w:tc>
        <w:tc>
          <w:tcPr>
            <w:tcW w:type="dxa" w:w="2108"/>
          </w:tcPr>
          <w:p>
            <w:r>
              <w:rPr>
                <w:sz w:val="16"/>
              </w:rPr>
              <w:t>3</w:t>
            </w:r>
          </w:p>
        </w:tc>
        <w:tc>
          <w:tcPr>
            <w:tcW w:type="dxa" w:w="2108"/>
          </w:tcPr>
          <w:p>
            <w:r>
              <w:rPr>
                <w:sz w:val="16"/>
              </w:rPr>
              <w:t>3</w:t>
            </w:r>
          </w:p>
        </w:tc>
        <w:tc>
          <w:tcPr>
            <w:tcW w:type="dxa" w:w="2108"/>
          </w:tcPr>
          <w:p>
            <w:r>
              <w:rPr>
                <w:sz w:val="16"/>
              </w:rPr>
              <w:t>9</w:t>
            </w:r>
          </w:p>
        </w:tc>
        <w:tc>
          <w:tcPr>
            <w:tcW w:type="dxa" w:w="2108"/>
          </w:tcPr>
          <w:p>
            <w:r>
              <w:rPr>
                <w:sz w:val="16"/>
              </w:rPr>
              <w:t>Yellow</w:t>
            </w:r>
          </w:p>
        </w:tc>
      </w:tr>
      <w:tr>
        <w:tc>
          <w:tcPr>
            <w:tcW w:type="dxa" w:w="2108"/>
          </w:tcPr>
          <w:p>
            <w:r>
              <w:rPr>
                <w:sz w:val="16"/>
              </w:rPr>
              <w:t>TR3</w:t>
            </w:r>
          </w:p>
        </w:tc>
        <w:tc>
          <w:tcPr>
            <w:tcW w:type="dxa" w:w="2108"/>
          </w:tcPr>
          <w:p>
            <w:r>
              <w:rPr>
                <w:sz w:val="16"/>
              </w:rPr>
              <w:t>3</w:t>
            </w:r>
          </w:p>
        </w:tc>
        <w:tc>
          <w:tcPr>
            <w:tcW w:type="dxa" w:w="2108"/>
          </w:tcPr>
          <w:p>
            <w:r>
              <w:rPr>
                <w:sz w:val="16"/>
              </w:rPr>
              <w:t>3</w:t>
            </w:r>
          </w:p>
        </w:tc>
        <w:tc>
          <w:tcPr>
            <w:tcW w:type="dxa" w:w="2108"/>
          </w:tcPr>
          <w:p>
            <w:r>
              <w:rPr>
                <w:sz w:val="16"/>
              </w:rPr>
              <w:t>9</w:t>
            </w:r>
          </w:p>
        </w:tc>
        <w:tc>
          <w:tcPr>
            <w:tcW w:type="dxa" w:w="2108"/>
          </w:tcPr>
          <w:p>
            <w:r>
              <w:rPr>
                <w:sz w:val="16"/>
              </w:rPr>
              <w:t>Yellow</w:t>
            </w:r>
          </w:p>
        </w:tc>
      </w:tr>
      <w:tr>
        <w:tc>
          <w:tcPr>
            <w:tcW w:type="dxa" w:w="2108"/>
          </w:tcPr>
          <w:p>
            <w:r>
              <w:rPr>
                <w:sz w:val="16"/>
              </w:rPr>
              <w:t>TR4</w:t>
            </w:r>
          </w:p>
        </w:tc>
        <w:tc>
          <w:tcPr>
            <w:tcW w:type="dxa" w:w="2108"/>
          </w:tcPr>
          <w:p>
            <w:r>
              <w:rPr>
                <w:sz w:val="16"/>
              </w:rPr>
              <w:t>2</w:t>
            </w:r>
          </w:p>
        </w:tc>
        <w:tc>
          <w:tcPr>
            <w:tcW w:type="dxa" w:w="2108"/>
          </w:tcPr>
          <w:p>
            <w:r>
              <w:rPr>
                <w:sz w:val="16"/>
              </w:rPr>
              <w:t>3</w:t>
            </w:r>
          </w:p>
        </w:tc>
        <w:tc>
          <w:tcPr>
            <w:tcW w:type="dxa" w:w="2108"/>
          </w:tcPr>
          <w:p>
            <w:r>
              <w:rPr>
                <w:sz w:val="16"/>
              </w:rPr>
              <w:t>6</w:t>
            </w:r>
          </w:p>
        </w:tc>
        <w:tc>
          <w:tcPr>
            <w:tcW w:type="dxa" w:w="2108"/>
          </w:tcPr>
          <w:p>
            <w:r>
              <w:rPr>
                <w:sz w:val="16"/>
              </w:rPr>
              <w:t>Yellow</w:t>
            </w:r>
          </w:p>
        </w:tc>
      </w:tr>
      <w:tr>
        <w:tc>
          <w:tcPr>
            <w:tcW w:type="dxa" w:w="2108"/>
          </w:tcPr>
          <w:p>
            <w:r>
              <w:rPr>
                <w:sz w:val="16"/>
              </w:rPr>
              <w:t>TR5</w:t>
            </w:r>
          </w:p>
        </w:tc>
        <w:tc>
          <w:tcPr>
            <w:tcW w:type="dxa" w:w="2108"/>
          </w:tcPr>
          <w:p>
            <w:r>
              <w:rPr>
                <w:sz w:val="16"/>
              </w:rPr>
              <w:t>3</w:t>
            </w:r>
          </w:p>
        </w:tc>
        <w:tc>
          <w:tcPr>
            <w:tcW w:type="dxa" w:w="2108"/>
          </w:tcPr>
          <w:p>
            <w:r>
              <w:rPr>
                <w:sz w:val="16"/>
              </w:rPr>
              <w:t>4</w:t>
            </w:r>
          </w:p>
        </w:tc>
        <w:tc>
          <w:tcPr>
            <w:tcW w:type="dxa" w:w="2108"/>
          </w:tcPr>
          <w:p>
            <w:r>
              <w:rPr>
                <w:sz w:val="16"/>
              </w:rPr>
              <w:t>12</w:t>
            </w:r>
          </w:p>
        </w:tc>
        <w:tc>
          <w:tcPr>
            <w:tcW w:type="dxa" w:w="2108"/>
          </w:tcPr>
          <w:p>
            <w:r>
              <w:rPr>
                <w:sz w:val="16"/>
              </w:rPr>
              <w:t>Orange</w:t>
            </w:r>
          </w:p>
        </w:tc>
      </w:tr>
      <w:tr>
        <w:tc>
          <w:tcPr>
            <w:tcW w:type="dxa" w:w="2108"/>
          </w:tcPr>
          <w:p>
            <w:r>
              <w:rPr>
                <w:sz w:val="16"/>
              </w:rPr>
              <w:t>TR6</w:t>
            </w:r>
          </w:p>
        </w:tc>
        <w:tc>
          <w:tcPr>
            <w:tcW w:type="dxa" w:w="2108"/>
          </w:tcPr>
          <w:p>
            <w:r>
              <w:rPr>
                <w:sz w:val="16"/>
              </w:rPr>
              <w:t>2</w:t>
            </w:r>
          </w:p>
        </w:tc>
        <w:tc>
          <w:tcPr>
            <w:tcW w:type="dxa" w:w="2108"/>
          </w:tcPr>
          <w:p>
            <w:r>
              <w:rPr>
                <w:sz w:val="16"/>
              </w:rPr>
              <w:t>3</w:t>
            </w:r>
          </w:p>
        </w:tc>
        <w:tc>
          <w:tcPr>
            <w:tcW w:type="dxa" w:w="2108"/>
          </w:tcPr>
          <w:p>
            <w:r>
              <w:rPr>
                <w:sz w:val="16"/>
              </w:rPr>
              <w:t>6</w:t>
            </w:r>
          </w:p>
        </w:tc>
        <w:tc>
          <w:tcPr>
            <w:tcW w:type="dxa" w:w="2108"/>
          </w:tcPr>
          <w:p>
            <w:r>
              <w:rPr>
                <w:sz w:val="16"/>
              </w:rPr>
              <w:t>Yellow</w:t>
            </w:r>
          </w:p>
        </w:tc>
      </w:tr>
      <w:tr>
        <w:tc>
          <w:tcPr>
            <w:tcW w:type="dxa" w:w="2108"/>
          </w:tcPr>
          <w:p>
            <w:r>
              <w:rPr>
                <w:sz w:val="16"/>
              </w:rPr>
              <w:t>TR7</w:t>
            </w:r>
          </w:p>
        </w:tc>
        <w:tc>
          <w:tcPr>
            <w:tcW w:type="dxa" w:w="2108"/>
          </w:tcPr>
          <w:p>
            <w:r>
              <w:rPr>
                <w:sz w:val="16"/>
              </w:rPr>
              <w:t>2</w:t>
            </w:r>
          </w:p>
        </w:tc>
        <w:tc>
          <w:tcPr>
            <w:tcW w:type="dxa" w:w="2108"/>
          </w:tcPr>
          <w:p>
            <w:r>
              <w:rPr>
                <w:sz w:val="16"/>
              </w:rPr>
              <w:t>3</w:t>
            </w:r>
          </w:p>
        </w:tc>
        <w:tc>
          <w:tcPr>
            <w:tcW w:type="dxa" w:w="2108"/>
          </w:tcPr>
          <w:p>
            <w:r>
              <w:rPr>
                <w:sz w:val="16"/>
              </w:rPr>
              <w:t>6</w:t>
            </w:r>
          </w:p>
        </w:tc>
        <w:tc>
          <w:tcPr>
            <w:tcW w:type="dxa" w:w="2108"/>
          </w:tcPr>
          <w:p>
            <w:r>
              <w:rPr>
                <w:sz w:val="16"/>
              </w:rPr>
              <w:t>Yellow</w:t>
            </w:r>
          </w:p>
        </w:tc>
      </w:tr>
      <w:tr>
        <w:tc>
          <w:tcPr>
            <w:tcW w:type="dxa" w:w="2108"/>
          </w:tcPr>
          <w:p>
            <w:r>
              <w:rPr>
                <w:sz w:val="16"/>
              </w:rPr>
              <w:t>TR8</w:t>
            </w:r>
          </w:p>
        </w:tc>
        <w:tc>
          <w:tcPr>
            <w:tcW w:type="dxa" w:w="2108"/>
          </w:tcPr>
          <w:p>
            <w:r>
              <w:rPr>
                <w:sz w:val="16"/>
              </w:rPr>
              <w:t>2</w:t>
            </w:r>
          </w:p>
        </w:tc>
        <w:tc>
          <w:tcPr>
            <w:tcW w:type="dxa" w:w="2108"/>
          </w:tcPr>
          <w:p>
            <w:r>
              <w:rPr>
                <w:sz w:val="16"/>
              </w:rPr>
              <w:t>4</w:t>
            </w:r>
          </w:p>
        </w:tc>
        <w:tc>
          <w:tcPr>
            <w:tcW w:type="dxa" w:w="2108"/>
          </w:tcPr>
          <w:p>
            <w:r>
              <w:rPr>
                <w:sz w:val="16"/>
              </w:rPr>
              <w:t>8</w:t>
            </w:r>
          </w:p>
        </w:tc>
        <w:tc>
          <w:tcPr>
            <w:tcW w:type="dxa" w:w="2108"/>
          </w:tcPr>
          <w:p>
            <w:r>
              <w:rPr>
                <w:sz w:val="16"/>
              </w:rPr>
              <w:t>Yellow</w:t>
            </w:r>
          </w:p>
        </w:tc>
      </w:tr>
      <w:tr>
        <w:tc>
          <w:tcPr>
            <w:tcW w:type="dxa" w:w="2108"/>
          </w:tcPr>
          <w:p>
            <w:r>
              <w:rPr>
                <w:sz w:val="16"/>
              </w:rPr>
              <w:t>TR9</w:t>
            </w:r>
          </w:p>
        </w:tc>
        <w:tc>
          <w:tcPr>
            <w:tcW w:type="dxa" w:w="2108"/>
          </w:tcPr>
          <w:p>
            <w:r>
              <w:rPr>
                <w:sz w:val="16"/>
              </w:rPr>
              <w:t>2</w:t>
            </w:r>
          </w:p>
        </w:tc>
        <w:tc>
          <w:tcPr>
            <w:tcW w:type="dxa" w:w="2108"/>
          </w:tcPr>
          <w:p>
            <w:r>
              <w:rPr>
                <w:sz w:val="16"/>
              </w:rPr>
              <w:t>4</w:t>
            </w:r>
          </w:p>
        </w:tc>
        <w:tc>
          <w:tcPr>
            <w:tcW w:type="dxa" w:w="2108"/>
          </w:tcPr>
          <w:p>
            <w:r>
              <w:rPr>
                <w:sz w:val="16"/>
              </w:rPr>
              <w:t>8</w:t>
            </w:r>
          </w:p>
        </w:tc>
        <w:tc>
          <w:tcPr>
            <w:tcW w:type="dxa" w:w="2108"/>
          </w:tcPr>
          <w:p>
            <w:r>
              <w:rPr>
                <w:sz w:val="16"/>
              </w:rPr>
              <w:t>Yellow</w:t>
            </w:r>
          </w:p>
        </w:tc>
      </w:tr>
      <w:tr>
        <w:tc>
          <w:tcPr>
            <w:tcW w:type="dxa" w:w="2108"/>
          </w:tcPr>
          <w:p>
            <w:r>
              <w:rPr>
                <w:sz w:val="16"/>
              </w:rPr>
              <w:t>TR10</w:t>
            </w:r>
          </w:p>
        </w:tc>
        <w:tc>
          <w:tcPr>
            <w:tcW w:type="dxa" w:w="2108"/>
          </w:tcPr>
          <w:p>
            <w:r>
              <w:rPr>
                <w:sz w:val="16"/>
              </w:rPr>
              <w:t>3</w:t>
            </w:r>
          </w:p>
        </w:tc>
        <w:tc>
          <w:tcPr>
            <w:tcW w:type="dxa" w:w="2108"/>
          </w:tcPr>
          <w:p>
            <w:r>
              <w:rPr>
                <w:sz w:val="16"/>
              </w:rPr>
              <w:t>2</w:t>
            </w:r>
          </w:p>
        </w:tc>
        <w:tc>
          <w:tcPr>
            <w:tcW w:type="dxa" w:w="2108"/>
          </w:tcPr>
          <w:p>
            <w:r>
              <w:rPr>
                <w:sz w:val="16"/>
              </w:rPr>
              <w:t>6</w:t>
            </w:r>
          </w:p>
        </w:tc>
        <w:tc>
          <w:tcPr>
            <w:tcW w:type="dxa" w:w="2108"/>
          </w:tcPr>
          <w:p>
            <w:r>
              <w:rPr>
                <w:sz w:val="16"/>
              </w:rPr>
              <w:t>Yellow</w:t>
            </w:r>
          </w:p>
        </w:tc>
      </w:tr>
      <w:tr>
        <w:tc>
          <w:tcPr>
            <w:tcW w:type="dxa" w:w="2108"/>
          </w:tcPr>
          <w:p>
            <w:r>
              <w:rPr>
                <w:sz w:val="16"/>
              </w:rPr>
              <w:t>OR1</w:t>
            </w:r>
          </w:p>
        </w:tc>
        <w:tc>
          <w:tcPr>
            <w:tcW w:type="dxa" w:w="2108"/>
          </w:tcPr>
          <w:p>
            <w:r>
              <w:rPr>
                <w:sz w:val="16"/>
              </w:rPr>
              <w:t>3</w:t>
            </w:r>
          </w:p>
        </w:tc>
        <w:tc>
          <w:tcPr>
            <w:tcW w:type="dxa" w:w="2108"/>
          </w:tcPr>
          <w:p>
            <w:r>
              <w:rPr>
                <w:sz w:val="16"/>
              </w:rPr>
              <w:t>3</w:t>
            </w:r>
          </w:p>
        </w:tc>
        <w:tc>
          <w:tcPr>
            <w:tcW w:type="dxa" w:w="2108"/>
          </w:tcPr>
          <w:p>
            <w:r>
              <w:rPr>
                <w:sz w:val="16"/>
              </w:rPr>
              <w:t>9</w:t>
            </w:r>
          </w:p>
        </w:tc>
        <w:tc>
          <w:tcPr>
            <w:tcW w:type="dxa" w:w="2108"/>
          </w:tcPr>
          <w:p>
            <w:r>
              <w:rPr>
                <w:sz w:val="16"/>
              </w:rPr>
              <w:t>Yellow</w:t>
            </w:r>
          </w:p>
        </w:tc>
      </w:tr>
      <w:tr>
        <w:tc>
          <w:tcPr>
            <w:tcW w:type="dxa" w:w="2108"/>
          </w:tcPr>
          <w:p>
            <w:r>
              <w:rPr>
                <w:sz w:val="16"/>
              </w:rPr>
              <w:t>OR2</w:t>
            </w:r>
          </w:p>
        </w:tc>
        <w:tc>
          <w:tcPr>
            <w:tcW w:type="dxa" w:w="2108"/>
          </w:tcPr>
          <w:p>
            <w:r>
              <w:rPr>
                <w:sz w:val="16"/>
              </w:rPr>
              <w:t>3</w:t>
            </w:r>
          </w:p>
        </w:tc>
        <w:tc>
          <w:tcPr>
            <w:tcW w:type="dxa" w:w="2108"/>
          </w:tcPr>
          <w:p>
            <w:r>
              <w:rPr>
                <w:sz w:val="16"/>
              </w:rPr>
              <w:t>3</w:t>
            </w:r>
          </w:p>
        </w:tc>
        <w:tc>
          <w:tcPr>
            <w:tcW w:type="dxa" w:w="2108"/>
          </w:tcPr>
          <w:p>
            <w:r>
              <w:rPr>
                <w:sz w:val="16"/>
              </w:rPr>
              <w:t>9</w:t>
            </w:r>
          </w:p>
        </w:tc>
        <w:tc>
          <w:tcPr>
            <w:tcW w:type="dxa" w:w="2108"/>
          </w:tcPr>
          <w:p>
            <w:r>
              <w:rPr>
                <w:sz w:val="16"/>
              </w:rPr>
              <w:t>Yellow</w:t>
            </w:r>
          </w:p>
        </w:tc>
      </w:tr>
      <w:tr>
        <w:tc>
          <w:tcPr>
            <w:tcW w:type="dxa" w:w="2108"/>
          </w:tcPr>
          <w:p>
            <w:r>
              <w:rPr>
                <w:sz w:val="16"/>
              </w:rPr>
              <w:t>OR3</w:t>
            </w:r>
          </w:p>
        </w:tc>
        <w:tc>
          <w:tcPr>
            <w:tcW w:type="dxa" w:w="2108"/>
          </w:tcPr>
          <w:p>
            <w:r>
              <w:rPr>
                <w:sz w:val="16"/>
              </w:rPr>
              <w:t>3</w:t>
            </w:r>
          </w:p>
        </w:tc>
        <w:tc>
          <w:tcPr>
            <w:tcW w:type="dxa" w:w="2108"/>
          </w:tcPr>
          <w:p>
            <w:r>
              <w:rPr>
                <w:sz w:val="16"/>
              </w:rPr>
              <w:t>3</w:t>
            </w:r>
          </w:p>
        </w:tc>
        <w:tc>
          <w:tcPr>
            <w:tcW w:type="dxa" w:w="2108"/>
          </w:tcPr>
          <w:p>
            <w:r>
              <w:rPr>
                <w:sz w:val="16"/>
              </w:rPr>
              <w:t>9</w:t>
            </w:r>
          </w:p>
        </w:tc>
        <w:tc>
          <w:tcPr>
            <w:tcW w:type="dxa" w:w="2108"/>
          </w:tcPr>
          <w:p>
            <w:r>
              <w:rPr>
                <w:sz w:val="16"/>
              </w:rPr>
              <w:t>Yellow</w:t>
            </w:r>
          </w:p>
        </w:tc>
      </w:tr>
      <w:tr>
        <w:tc>
          <w:tcPr>
            <w:tcW w:type="dxa" w:w="2108"/>
          </w:tcPr>
          <w:p>
            <w:r>
              <w:rPr>
                <w:sz w:val="16"/>
              </w:rPr>
              <w:t>OR4</w:t>
            </w:r>
          </w:p>
        </w:tc>
        <w:tc>
          <w:tcPr>
            <w:tcW w:type="dxa" w:w="2108"/>
          </w:tcPr>
          <w:p>
            <w:r>
              <w:rPr>
                <w:sz w:val="16"/>
              </w:rPr>
              <w:t>3</w:t>
            </w:r>
          </w:p>
        </w:tc>
        <w:tc>
          <w:tcPr>
            <w:tcW w:type="dxa" w:w="2108"/>
          </w:tcPr>
          <w:p>
            <w:r>
              <w:rPr>
                <w:sz w:val="16"/>
              </w:rPr>
              <w:t>3</w:t>
            </w:r>
          </w:p>
        </w:tc>
        <w:tc>
          <w:tcPr>
            <w:tcW w:type="dxa" w:w="2108"/>
          </w:tcPr>
          <w:p>
            <w:r>
              <w:rPr>
                <w:sz w:val="16"/>
              </w:rPr>
              <w:t>9</w:t>
            </w:r>
          </w:p>
        </w:tc>
        <w:tc>
          <w:tcPr>
            <w:tcW w:type="dxa" w:w="2108"/>
          </w:tcPr>
          <w:p>
            <w:r>
              <w:rPr>
                <w:sz w:val="16"/>
              </w:rPr>
              <w:t>Yellow</w:t>
            </w:r>
          </w:p>
        </w:tc>
      </w:tr>
      <w:tr>
        <w:tc>
          <w:tcPr>
            <w:tcW w:type="dxa" w:w="2108"/>
          </w:tcPr>
          <w:p>
            <w:r>
              <w:rPr>
                <w:sz w:val="16"/>
              </w:rPr>
              <w:t>OR5</w:t>
            </w:r>
          </w:p>
        </w:tc>
        <w:tc>
          <w:tcPr>
            <w:tcW w:type="dxa" w:w="2108"/>
          </w:tcPr>
          <w:p>
            <w:r>
              <w:rPr>
                <w:sz w:val="16"/>
              </w:rPr>
              <w:t>2</w:t>
            </w:r>
          </w:p>
        </w:tc>
        <w:tc>
          <w:tcPr>
            <w:tcW w:type="dxa" w:w="2108"/>
          </w:tcPr>
          <w:p>
            <w:r>
              <w:rPr>
                <w:sz w:val="16"/>
              </w:rPr>
              <w:t>3</w:t>
            </w:r>
          </w:p>
        </w:tc>
        <w:tc>
          <w:tcPr>
            <w:tcW w:type="dxa" w:w="2108"/>
          </w:tcPr>
          <w:p>
            <w:r>
              <w:rPr>
                <w:sz w:val="16"/>
              </w:rPr>
              <w:t>6</w:t>
            </w:r>
          </w:p>
        </w:tc>
        <w:tc>
          <w:tcPr>
            <w:tcW w:type="dxa" w:w="2108"/>
          </w:tcPr>
          <w:p>
            <w:r>
              <w:rPr>
                <w:sz w:val="16"/>
              </w:rPr>
              <w:t>Yellow</w:t>
            </w:r>
          </w:p>
        </w:tc>
      </w:tr>
      <w:tr>
        <w:tc>
          <w:tcPr>
            <w:tcW w:type="dxa" w:w="2108"/>
          </w:tcPr>
          <w:p>
            <w:r>
              <w:rPr>
                <w:sz w:val="16"/>
              </w:rPr>
              <w:t>OR6</w:t>
            </w:r>
          </w:p>
        </w:tc>
        <w:tc>
          <w:tcPr>
            <w:tcW w:type="dxa" w:w="2108"/>
          </w:tcPr>
          <w:p>
            <w:r>
              <w:rPr>
                <w:sz w:val="16"/>
              </w:rPr>
              <w:t>2</w:t>
            </w:r>
          </w:p>
        </w:tc>
        <w:tc>
          <w:tcPr>
            <w:tcW w:type="dxa" w:w="2108"/>
          </w:tcPr>
          <w:p>
            <w:r>
              <w:rPr>
                <w:sz w:val="16"/>
              </w:rPr>
              <w:t>2</w:t>
            </w:r>
          </w:p>
        </w:tc>
        <w:tc>
          <w:tcPr>
            <w:tcW w:type="dxa" w:w="2108"/>
          </w:tcPr>
          <w:p>
            <w:r>
              <w:rPr>
                <w:sz w:val="16"/>
              </w:rPr>
              <w:t>4</w:t>
            </w:r>
          </w:p>
        </w:tc>
        <w:tc>
          <w:tcPr>
            <w:tcW w:type="dxa" w:w="2108"/>
          </w:tcPr>
          <w:p>
            <w:r>
              <w:rPr>
                <w:sz w:val="16"/>
              </w:rPr>
              <w:t>Green</w:t>
            </w:r>
          </w:p>
        </w:tc>
      </w:tr>
      <w:tr>
        <w:tc>
          <w:tcPr>
            <w:tcW w:type="dxa" w:w="2108"/>
          </w:tcPr>
          <w:p>
            <w:r>
              <w:rPr>
                <w:sz w:val="16"/>
              </w:rPr>
              <w:t>OR7</w:t>
            </w:r>
          </w:p>
        </w:tc>
        <w:tc>
          <w:tcPr>
            <w:tcW w:type="dxa" w:w="2108"/>
          </w:tcPr>
          <w:p>
            <w:r>
              <w:rPr>
                <w:sz w:val="16"/>
              </w:rPr>
              <w:t>2</w:t>
            </w:r>
          </w:p>
        </w:tc>
        <w:tc>
          <w:tcPr>
            <w:tcW w:type="dxa" w:w="2108"/>
          </w:tcPr>
          <w:p>
            <w:r>
              <w:rPr>
                <w:sz w:val="16"/>
              </w:rPr>
              <w:t>4</w:t>
            </w:r>
          </w:p>
        </w:tc>
        <w:tc>
          <w:tcPr>
            <w:tcW w:type="dxa" w:w="2108"/>
          </w:tcPr>
          <w:p>
            <w:r>
              <w:rPr>
                <w:sz w:val="16"/>
              </w:rPr>
              <w:t>8</w:t>
            </w:r>
          </w:p>
        </w:tc>
        <w:tc>
          <w:tcPr>
            <w:tcW w:type="dxa" w:w="2108"/>
          </w:tcPr>
          <w:p>
            <w:r>
              <w:rPr>
                <w:sz w:val="16"/>
              </w:rPr>
              <w:t>Yellow</w:t>
            </w:r>
          </w:p>
        </w:tc>
      </w:tr>
      <w:tr>
        <w:tc>
          <w:tcPr>
            <w:tcW w:type="dxa" w:w="2108"/>
          </w:tcPr>
          <w:p>
            <w:r>
              <w:rPr>
                <w:sz w:val="16"/>
              </w:rPr>
              <w:t>OR8</w:t>
            </w:r>
          </w:p>
        </w:tc>
        <w:tc>
          <w:tcPr>
            <w:tcW w:type="dxa" w:w="2108"/>
          </w:tcPr>
          <w:p>
            <w:r>
              <w:rPr>
                <w:sz w:val="16"/>
              </w:rPr>
              <w:t>3</w:t>
            </w:r>
          </w:p>
        </w:tc>
        <w:tc>
          <w:tcPr>
            <w:tcW w:type="dxa" w:w="2108"/>
          </w:tcPr>
          <w:p>
            <w:r>
              <w:rPr>
                <w:sz w:val="16"/>
              </w:rPr>
              <w:t>3</w:t>
            </w:r>
          </w:p>
        </w:tc>
        <w:tc>
          <w:tcPr>
            <w:tcW w:type="dxa" w:w="2108"/>
          </w:tcPr>
          <w:p>
            <w:r>
              <w:rPr>
                <w:sz w:val="16"/>
              </w:rPr>
              <w:t>9</w:t>
            </w:r>
          </w:p>
        </w:tc>
        <w:tc>
          <w:tcPr>
            <w:tcW w:type="dxa" w:w="2108"/>
          </w:tcPr>
          <w:p>
            <w:r>
              <w:rPr>
                <w:sz w:val="16"/>
              </w:rPr>
              <w:t>Yellow</w:t>
            </w:r>
          </w:p>
        </w:tc>
      </w:tr>
    </w:tbl>
    <w:p>
      <w:r>
        <w:rPr>
          <w:b/>
          <w:sz w:val="18"/>
        </w:rPr>
        <w:t>Summary</w:t>
      </w:r>
      <w:r>
        <w:rPr>
          <w:sz w:val="18"/>
        </w:rPr>
        <w:t>: Two risks in the Orange zone (TR1 calcination scale-up, TR5 product quality consistency) require priority attention through the piloting-before-procurement strategy and DT-driven quality control. All remaining risks are in the Yellow or Green zones, indicating manageable risk levels with the defined mitigation measures. No risks are assessed as Red (unacceptable).</w:t>
      </w:r>
    </w:p>
    <w:p>
      <w:r>
        <w:rPr>
          <w:sz w:val="18"/>
        </w:rPr>
        <w:t xml:space="preserve">The digital twin itself functions as a cross-cutting risk mitigation instrument: by providing real-time process visibility, predictive quality monitoring, and closed-loop control, the DT reduces the probability and impact of technical risks TR1-TR5 and TR7-TR10 during the operational phase </w:t>
      </w:r>
      <w:r>
        <w:rPr>
          <w:color w:val="0066CC"/>
          <w:sz w:val="16"/>
        </w:rPr>
        <w:t>[CLM-007]</w:t>
      </w:r>
      <w:r>
        <w:rPr>
          <w:sz w:val="18"/>
        </w:rPr>
        <w:t>.</w:t>
      </w:r>
    </w:p>
    <w:p>
      <w:r>
        <w:rPr>
          <w:sz w:val="18"/>
        </w:rPr>
        <w:t>---</w:t>
      </w:r>
    </w:p>
    <w:p>
      <w:pPr>
        <w:pStyle w:val="Heading2"/>
      </w:pPr>
      <w:r>
        <w:t>History of Changes</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Version</w:t>
            </w:r>
          </w:p>
        </w:tc>
        <w:tc>
          <w:tcPr>
            <w:tcW w:type="dxa" w:w="3513"/>
          </w:tcPr>
          <w:p>
            <w:r>
              <w:rPr>
                <w:b/>
                <w:sz w:val="16"/>
              </w:rPr>
              <w:t>Date</w:t>
            </w:r>
          </w:p>
        </w:tc>
        <w:tc>
          <w:tcPr>
            <w:tcW w:type="dxa" w:w="3513"/>
          </w:tcPr>
          <w:p>
            <w:r>
              <w:rPr>
                <w:b/>
                <w:sz w:val="16"/>
              </w:rPr>
              <w:t>Change</w:t>
            </w:r>
          </w:p>
        </w:tc>
      </w:tr>
      <w:tr>
        <w:tc>
          <w:tcPr>
            <w:tcW w:type="dxa" w:w="3513"/>
          </w:tcPr>
          <w:p>
            <w:r>
              <w:rPr>
                <w:sz w:val="16"/>
              </w:rPr>
              <w:t>1.0</w:t>
            </w:r>
          </w:p>
        </w:tc>
        <w:tc>
          <w:tcPr>
            <w:tcW w:type="dxa" w:w="3513"/>
          </w:tcPr>
          <w:p>
            <w:r>
              <w:rPr>
                <w:sz w:val="16"/>
              </w:rPr>
              <w:t>April 2026</w:t>
            </w:r>
          </w:p>
        </w:tc>
        <w:tc>
          <w:tcPr>
            <w:tcW w:type="dxa" w:w="3513"/>
          </w:tcPr>
          <w:p>
            <w:r>
              <w:rPr>
                <w:sz w:val="16"/>
              </w:rPr>
              <w:t>Initial draft for Innovation Fund submission</w:t>
            </w:r>
          </w:p>
        </w:tc>
      </w:tr>
    </w:tbl>
    <w:p>
      <w:r>
        <w:rPr>
          <w:sz w:val="18"/>
        </w:rPr>
        <w:t>---</w:t>
      </w:r>
    </w:p>
    <w:p>
      <w:r>
        <w:rPr>
          <w:i/>
          <w:sz w:val="18"/>
        </w:rPr>
        <w:t>End of Feasibility Study</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