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163A"/>
          <w:sz w:val="48"/>
        </w:rPr>
        <w:t>FAAM-ENI Circular Energy</w:t>
      </w:r>
    </w:p>
    <w:p>
      <w:pPr>
        <w:jc w:val="center"/>
      </w:pPr>
      <w:r>
        <w:rPr>
          <w:color w:val="06163A"/>
          <w:sz w:val="28"/>
        </w:rPr>
        <w:t>Digital Twin-Driven LFP Active Material Manufacturing</w:t>
      </w:r>
    </w:p>
    <w:p>
      <w:pPr>
        <w:jc w:val="center"/>
      </w:pPr>
      <w:r>
        <w:rPr>
          <w:sz w:val="22"/>
        </w:rPr>
        <w:br/>
        <w:t>INNOVFUND-2025-NZT-CLEAN-TECH-MANUFACTURING</w:t>
        <w:br/>
      </w:r>
    </w:p>
    <w:p>
      <w:pPr>
        <w:jc w:val="center"/>
      </w:pPr>
      <w:r>
        <w:rPr>
          <w:sz w:val="22"/>
        </w:rPr>
        <w:t>Coordinator: FIB (FAAM)</w:t>
        <w:br/>
        <w:t>Co-investigator: Eni S.p.A.</w:t>
      </w:r>
    </w:p>
    <w:p>
      <w:pPr>
        <w:jc w:val="center"/>
      </w:pPr>
      <w:r>
        <w:rPr>
          <w:b/>
          <w:color w:val="CC0000"/>
          <w:sz w:val="20"/>
        </w:rPr>
        <w:br/>
        <w:t>DRAFT — Generated 2026-04-09</w:t>
      </w:r>
    </w:p>
    <w:p>
      <w:pPr>
        <w:jc w:val="center"/>
      </w:pPr>
      <w:r>
        <w:rPr>
          <w:color w:val="666666"/>
          <w:sz w:val="16"/>
        </w:rPr>
        <w:br/>
        <w:t>Note: [CLM-XXX] = claim registry reference (blue)</w:t>
        <w:br/>
        <w:t>[SRC-XXX] = evidence store reference (blue)</w:t>
        <w:br/>
        <w:t>[TO BE COMPLETED: ...] = items pending (red)</w:t>
        <w:br/>
        <w:t>Yellow blocks = reviewer metadata (claims, assumptions, open issues)</w:t>
      </w:r>
    </w:p>
    <w:p>
      <w:r>
        <w:br w:type="page"/>
      </w:r>
    </w:p>
    <w:p>
      <w:r>
        <w:rPr>
          <w:b/>
          <w:color w:val="06163A"/>
          <w:sz w:val="32"/>
        </w:rPr>
        <w:t>PART B — TECHNICAL DESCRIPTION</w:t>
      </w:r>
    </w:p>
    <w:p>
      <w:r>
        <w:br w:type="page"/>
      </w:r>
    </w:p>
    <w:p>
      <w:pPr>
        <w:spacing w:before="120" w:after="120"/>
        <w:shd w:val="clear" w:color="auto" w:fill="FFF3CD"/>
      </w:pPr>
      <w:r>
        <w:rPr>
          <w:b/>
          <w:color w:val="856304"/>
          <w:sz w:val="16"/>
        </w:rPr>
        <w:t xml:space="preserve">[REVIEWER NOTES] </w:t>
      </w:r>
      <w:r>
        <w:rPr>
          <w:color w:val="856304"/>
          <w:sz w:val="16"/>
        </w:rPr>
        <w:t>WORD COUNT: 247</w:t>
        <w:br/>
      </w:r>
    </w:p>
    <w:p>
      <w:pPr>
        <w:pStyle w:val="Heading1"/>
      </w:pPr>
      <w:r>
        <w:t>Abstract — FAAM-ENI Circular Energy</w:t>
      </w:r>
    </w:p>
    <w:p>
      <w:pPr>
        <w:pStyle w:val="Heading2"/>
      </w:pPr>
      <w:r>
        <w:t>INNOVFUND-2025-NZT-CLEAN-TECH-MANUFACTURING</w:t>
      </w:r>
    </w:p>
    <w:p>
      <w:r>
        <w:rPr>
          <w:b/>
          <w:sz w:val="18"/>
        </w:rPr>
        <w:t>Character count: ~1740 / 2000 limit</w:t>
      </w:r>
    </w:p>
    <w:p>
      <w:r>
        <w:rPr>
          <w:sz w:val="18"/>
        </w:rPr>
        <w:t>---</w:t>
      </w:r>
    </w:p>
    <w:p>
      <w:r>
        <w:rPr>
          <w:sz w:val="18"/>
        </w:rPr>
        <w:t>Europe sources &gt;99% of its lithium iron phosphate (LFP) cathode active material (CAM) from China — a dependency that China's 2025 export controls have transformed into an acute supply threat. FAAM-ENI Circular Energy will establish a vertically integrated clean energy manufacturing hub at Eni's brownfield site in Brindisi (Puglia): a 50 kton/yr LFP CAM plant feeding a co-located FIB-Eni JV battery cell and BESS factory, with Eni deploying the BESS on the Italian grid — creating an end-to-end European value chain from cathode material to grid stabilisation. The CAM plant integrates three innovations: (1) progressively electrified process heat (66.6% at entry into operation) — electric roller hearth kiln calcination (650-700 C, 95% vs 25-60% thermal efficiency) and heat pump-assisted spray drying, roadmap to &gt;95%; (2) the first ISO 23247-compliant digital twin for CAM synthesis with closed-loop model-predictive control; (3) the first Quality-by-Design/PAT framework for LFP manufacturing. GHG avoidance is classified under ES/Manufacturing of Components: calculated on the BESS use phase displacing fossil peakers on the Italian grid. Eni as guaranteed internal offtaker eliminates market risk. Digital twin targets 10-50% scrap reduction, 12-15% energy savings, &gt;40% variability reduction. Financial close within 24 months, entry into operation within 48 months. Directly addresses C/2025/3236 and delivers full EU battery value chain sovereignty.</w:t>
      </w:r>
    </w:p>
    <w:p>
      <w:r>
        <w:rPr>
          <w:sz w:val="18"/>
        </w:rPr>
        <w:t>---</w:t>
      </w:r>
    </w:p>
    <w:p>
      <w:r>
        <w:rPr>
          <w:i/>
          <w:sz w:val="18"/>
        </w:rPr>
        <w:t>Character count verified: ~1740 characters (including spaces). Within the 2000-character Part A limit. [TO BE VERIFIED: exact character count after final formatting.]</w:t>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CLM-005, CLM-007, CLM-009, CLM-018, CLM-019, CLM-020, CLM-022, CLM-023, CLM-025, CLM-026, CLM-028, CLM-029, CLM-030</w:t>
        <w:br/>
      </w:r>
      <w:r>
        <w:rPr>
          <w:color w:val="856304"/>
          <w:sz w:val="16"/>
        </w:rPr>
        <w:t>OPEN ISSUES:</w:t>
        <w:br/>
      </w:r>
      <w:r>
        <w:rPr>
          <w:color w:val="856304"/>
          <w:sz w:val="16"/>
        </w:rPr>
        <w:t xml:space="preserve">  - TO BE COMPLETED: technology licensor name</w:t>
        <w:br/>
      </w:r>
      <w:r>
        <w:rPr>
          <w:color w:val="856304"/>
          <w:sz w:val="16"/>
        </w:rPr>
        <w:t>SOURCES CITED: SRC-007, SRC-008, SRC-011, SRC-015, SRC-022, SRC-023, SRC-024, SRC-026, SRC-ED-004, SRC-ED-005, SRC-ED-009, SRC-ED-010, SRC-ED-019, SRC-ED-023</w:t>
        <w:br/>
      </w:r>
      <w:r>
        <w:rPr>
          <w:color w:val="856304"/>
          <w:sz w:val="16"/>
        </w:rPr>
        <w:t>WORD COUNT: 3792</w:t>
        <w:br/>
      </w:r>
    </w:p>
    <w:p>
      <w:pPr>
        <w:pStyle w:val="Heading1"/>
      </w:pPr>
      <w:r>
        <w:t>Section 0: Project and Applicants</w:t>
      </w:r>
    </w:p>
    <w:p>
      <w:pPr>
        <w:pStyle w:val="Heading2"/>
      </w:pPr>
      <w:r>
        <w:t>0.1 Background and Objectives</w:t>
      </w:r>
    </w:p>
    <w:p>
      <w:pPr>
        <w:pStyle w:val="Heading3"/>
      </w:pPr>
      <w:r>
        <w:t>The EU's Critical LFP Supply Chain Vulnerability</w:t>
      </w:r>
    </w:p>
    <w:p>
      <w:r>
        <w:rPr>
          <w:sz w:val="18"/>
        </w:rPr>
        <w:t xml:space="preserve">The European Union faces an acute and escalating dependency on China for lithium iron phosphate (LFP) cathode active material (CAM) — the fastest-growing battery chemistry for electric vehicles and grid-scale energy storage. China controls over 99% of global LFP CAM production capacity </w:t>
      </w:r>
      <w:r>
        <w:rPr>
          <w:color w:val="0066CC"/>
          <w:sz w:val="16"/>
        </w:rPr>
        <w:t>[CLM-001]</w:t>
      </w:r>
      <w:r>
        <w:rPr>
          <w:sz w:val="18"/>
        </w:rPr>
        <w:t xml:space="preserve">, with CATL, BYD, Gotion High-Tech, and Dynanonic dominating supply </w:t>
      </w:r>
      <w:r>
        <w:rPr>
          <w:color w:val="0066CC"/>
          <w:sz w:val="16"/>
        </w:rPr>
        <w:t>[SRC-022, SRC-023]</w:t>
      </w:r>
      <w:r>
        <w:rPr>
          <w:sz w:val="18"/>
        </w:rPr>
        <w:t xml:space="preserve">. No EU-based company has brought LFP CAM production online as of late 2025 </w:t>
      </w:r>
      <w:r>
        <w:rPr>
          <w:color w:val="0066CC"/>
          <w:sz w:val="16"/>
        </w:rPr>
        <w:t>[CLM-003]</w:t>
      </w:r>
      <w:r>
        <w:rPr>
          <w:sz w:val="18"/>
        </w:rPr>
        <w:t>.</w:t>
      </w:r>
    </w:p>
    <w:p>
      <w:r>
        <w:rPr>
          <w:sz w:val="18"/>
        </w:rPr>
        <w:t xml:space="preserve">This dependency has moved from latent risk to active threat. In July 2025, China imposed export licensing requirements on 4th-generation LFP cathode technology. In October 2025, controls were broadened to battery cells, precursors, anode materials, and production equipment </w:t>
      </w:r>
      <w:r>
        <w:rPr>
          <w:color w:val="0066CC"/>
          <w:sz w:val="16"/>
        </w:rPr>
        <w:t>[CLM-002]</w:t>
      </w:r>
      <w:r>
        <w:rPr>
          <w:sz w:val="18"/>
        </w:rPr>
        <w:t xml:space="preserve">. The German Council on Foreign Relations (DGAP) has urged the EU to urgently improve supply chain transparency and accelerate domestic LFP CAM manufacturing </w:t>
      </w:r>
      <w:r>
        <w:rPr>
          <w:color w:val="0066CC"/>
          <w:sz w:val="16"/>
        </w:rPr>
        <w:t>[SRC-024]</w:t>
      </w:r>
      <w:r>
        <w:rPr>
          <w:sz w:val="18"/>
        </w:rPr>
        <w:t xml:space="preserve">. The European Parliament Research Service has framed the absence of EU-based LFP CAM production as a critical strategic gap requiring immediate industrial action </w:t>
      </w:r>
      <w:r>
        <w:rPr>
          <w:color w:val="0066CC"/>
          <w:sz w:val="16"/>
        </w:rPr>
        <w:t>[SRC-023]</w:t>
      </w:r>
      <w:r>
        <w:rPr>
          <w:sz w:val="18"/>
        </w:rPr>
        <w:t>.</w:t>
      </w:r>
    </w:p>
    <w:p>
      <w:r>
        <w:rPr>
          <w:sz w:val="18"/>
        </w:rPr>
        <w:t xml:space="preserve">The EU has responded with a comprehensive policy architecture — the Net-Zero Industry Act (NZIA), the Critical Raw Materials Act (CRMA), the EU Battery Regulation (including the Battery Passport by 2027), and the Innovation Fund — to develop domestic battery manufacturing capabilities </w:t>
      </w:r>
      <w:r>
        <w:rPr>
          <w:color w:val="0066CC"/>
          <w:sz w:val="16"/>
        </w:rPr>
        <w:t>[SRC-023, SRC-026]</w:t>
      </w:r>
      <w:r>
        <w:rPr>
          <w:sz w:val="18"/>
        </w:rPr>
        <w:t xml:space="preserve">. The Innovation Fund has already funded a comparable LFP CAM project: FREYR Battery received EUR 122M for a 30,000 t/yr facility in Vaasa, Finland (October 2024), confirming call eligibility and strategic priority </w:t>
      </w:r>
      <w:r>
        <w:rPr>
          <w:color w:val="0066CC"/>
          <w:sz w:val="16"/>
        </w:rPr>
        <w:t>[CLM-004]</w:t>
      </w:r>
      <w:r>
        <w:rPr>
          <w:sz w:val="18"/>
        </w:rPr>
        <w:t xml:space="preserve">. However, FREYR's primary build-out focus is currently its US Giga America facility; the Vaasa project has not reached Final Investment Decision (FID) and competes internally for capital and management bandwidth </w:t>
      </w:r>
      <w:r>
        <w:rPr>
          <w:color w:val="0066CC"/>
          <w:sz w:val="16"/>
        </w:rPr>
        <w:t>[CLM-029]</w:t>
      </w:r>
      <w:r>
        <w:rPr>
          <w:sz w:val="18"/>
        </w:rPr>
        <w:t>.</w:t>
      </w:r>
    </w:p>
    <w:p>
      <w:pPr>
        <w:pStyle w:val="Heading3"/>
      </w:pPr>
      <w:r>
        <w:t>Market Context and Policy Alignment</w:t>
      </w:r>
    </w:p>
    <w:p>
      <w:r>
        <w:rPr>
          <w:sz w:val="18"/>
        </w:rPr>
        <w:t xml:space="preserve">LFP has become the dominant battery chemistry for standard-range electric vehicles and grid-scale energy storage, driven by its superior safety (no thermal runaway), long cycle life (&gt;6,000 cycles at cell level depending on architecture), and lower raw material cost compared to nickel-based alternatives </w:t>
      </w:r>
      <w:r>
        <w:rPr>
          <w:color w:val="0066CC"/>
          <w:sz w:val="16"/>
        </w:rPr>
        <w:t>[SRC-011, SRC-015]</w:t>
      </w:r>
      <w:r>
        <w:rPr>
          <w:sz w:val="18"/>
        </w:rPr>
        <w:t>. The global LFP CAM market is growing at &gt;25% CAGR through 2030, with demand driven by the EU's transport electrification targets and the rapid expansion of stationary energy storage for renewable grid integration. The target market for the Brindisi plant is primarily ESS cell manufacturers, where LFP's cycle life and safety advantages are decisive.</w:t>
      </w:r>
    </w:p>
    <w:p>
      <w:r>
        <w:rPr>
          <w:sz w:val="18"/>
        </w:rPr>
        <w:t xml:space="preserve">The EU's policy response to the battery supply chain vulnerability is comprehensive and urgent. The Net-Zero Industry Act (NZIA) mandates that at least 40% of the EU's annual deployment needs for key clean technologies — including batteries — should be manufactured domestically by 2030. The Critical Raw Materials Act (CRMA) targets diversification of supply chains for strategic materials including lithium and battery-grade processed materials. The EU Battery Regulation (2023/1542) introduces the Battery Passport by February 2027, requiring manufacturers to provide verified data on carbon footprint, recycled content, and material provenance — data that is inherently easier to provide for EU-manufactured products with full traceability </w:t>
      </w:r>
      <w:r>
        <w:rPr>
          <w:color w:val="0066CC"/>
          <w:sz w:val="16"/>
        </w:rPr>
        <w:t>[SRC-023, SRC-026]</w:t>
      </w:r>
      <w:r>
        <w:rPr>
          <w:sz w:val="18"/>
        </w:rPr>
        <w:t xml:space="preserve">. The Innovation Fund, with EUR 1 billion allocated to the CLEAN-TECH-MANUFACTURING topic in the 2025 call, provides the direct co-financing mechanism for bridging the CAPEX gap in domestic battery material manufacturing </w:t>
      </w:r>
      <w:r>
        <w:rPr>
          <w:color w:val="0066CC"/>
          <w:sz w:val="16"/>
        </w:rPr>
        <w:t>[SRC-026]</w:t>
      </w:r>
      <w:r>
        <w:rPr>
          <w:sz w:val="18"/>
        </w:rPr>
        <w:t>.</w:t>
      </w:r>
    </w:p>
    <w:p>
      <w:r>
        <w:rPr>
          <w:sz w:val="18"/>
        </w:rPr>
        <w:t xml:space="preserve">Commission Communication C/2025/3236 of 18 June 2025 explicitly identifies battery cells, battery packs, and anode active materials as products with critical dependencies on third countries (primarily China), requiring mitigation actions under the NZIA framework </w:t>
      </w:r>
      <w:r>
        <w:rPr>
          <w:color w:val="0066CC"/>
          <w:sz w:val="16"/>
        </w:rPr>
        <w:t>[SRC-023]</w:t>
      </w:r>
      <w:r>
        <w:rPr>
          <w:sz w:val="18"/>
        </w:rPr>
        <w:t>. While this communication focuses on cells and anode materials, the upstream dependency on Chinese LFP CAM is the root cause — without domestic cathode material supply, European cell manufacturers remain dependent on Chinese exports regardless of cell-level localisation.</w:t>
      </w:r>
    </w:p>
    <w:p>
      <w:pPr>
        <w:pStyle w:val="Heading3"/>
      </w:pPr>
      <w:r>
        <w:t>The Brindisi Opportunity: A Vertically Integrated Clean Energy Hub</w:t>
      </w:r>
    </w:p>
    <w:p>
      <w:r>
        <w:rPr>
          <w:sz w:val="18"/>
        </w:rPr>
        <w:t xml:space="preserve">Eni's industrial site in Brindisi, Puglia, offers a brownfield conversion opportunity uniquely suited to LFP CAM manufacturing — and, critically, the Brindisi site is the location of a planned </w:t>
      </w:r>
      <w:r>
        <w:rPr>
          <w:b/>
          <w:sz w:val="18"/>
        </w:rPr>
        <w:t>FIB-Eni joint venture battery cell and BESS manufacturing facility</w:t>
      </w:r>
      <w:r>
        <w:rPr>
          <w:sz w:val="18"/>
        </w:rPr>
        <w:t xml:space="preserve"> that will be co-located with the LFP CAM plant. This creates a </w:t>
      </w:r>
      <w:r>
        <w:rPr>
          <w:b/>
          <w:sz w:val="18"/>
        </w:rPr>
        <w:t>vertically integrated value chain from cathode material to grid-deployed energy storage</w:t>
      </w:r>
      <w:r>
        <w:rPr>
          <w:sz w:val="18"/>
        </w:rPr>
        <w:t xml:space="preserve"> within a single industrial site: LFP CAM produced by this project feeds directly into the co-located JV factory, which manufactures battery cells and assembles them into battery energy storage systems (BESS). Eni, as the direct internal customer, will deploy these BESS on the Italian electricity grid for grid stabilisation and decarbonisation. The full value chain is: </w:t>
      </w:r>
      <w:r>
        <w:rPr>
          <w:b/>
          <w:sz w:val="18"/>
        </w:rPr>
        <w:t>LFP CAM (this project) to battery cells (JV factory) to BESS systems (JV factory) to Italian grid deployment (Eni)</w:t>
      </w:r>
      <w:r>
        <w:rPr>
          <w:sz w:val="18"/>
        </w:rPr>
        <w:t>.</w:t>
      </w:r>
    </w:p>
    <w:p>
      <w:r>
        <w:rPr>
          <w:sz w:val="18"/>
        </w:rPr>
        <w:t>The site provides existing industrial infrastructure — power supply connections, road and port access, and environmental permitting precedent — that substantially de-risks the construction timeline. Located in Southern Europe, the Brindisi plant would provide geographic diversification within the emerging EU LFP supply chain, complementing FREYR's Northern European site and serving Mediterranean battery cell manufacturers.</w:t>
      </w:r>
    </w:p>
    <w:p>
      <w:r>
        <w:rPr>
          <w:sz w:val="18"/>
        </w:rPr>
        <w:t xml:space="preserve">Puglia's renewable energy trajectory — driven by one of Italy's highest solar irradiation levels and substantial onshore wind capacity — positions Brindisi as an increasingly decarbonized manufacturing location. Italy's NECP projects grid carbon intensity declining to approximately 146 gCO2/kWh by 2030 (65% renewable electricity), crossing the gas-breakeven threshold (~180 gCO2/kWh) by approximately 2027-2028 </w:t>
      </w:r>
      <w:r>
        <w:rPr>
          <w:color w:val="0066CC"/>
          <w:sz w:val="16"/>
        </w:rPr>
        <w:t>[CLM-025, CLM-026]</w:t>
      </w:r>
      <w:r>
        <w:rPr>
          <w:sz w:val="18"/>
        </w:rPr>
        <w:t>.</w:t>
      </w:r>
    </w:p>
    <w:p>
      <w:pPr>
        <w:pStyle w:val="Heading3"/>
      </w:pPr>
      <w:r>
        <w:t>Project Objectives</w:t>
      </w:r>
    </w:p>
    <w:p>
      <w:r>
        <w:rPr>
          <w:sz w:val="18"/>
        </w:rPr>
        <w:t xml:space="preserve">The FAAM-ENI Circular Energy project will construct and operate the first LFP cathode active material production facility in Italy and Southern Europe </w:t>
      </w:r>
      <w:r>
        <w:rPr>
          <w:color w:val="0066CC"/>
          <w:sz w:val="16"/>
        </w:rPr>
        <w:t>[CLM-022]</w:t>
      </w:r>
      <w:r>
        <w:rPr>
          <w:sz w:val="18"/>
        </w:rPr>
        <w:t>, integrating electrified process heat with an ISO 23247-compliant digital twin for real-time process optimisation. The project pursues the following specific objectives:</w:t>
      </w:r>
    </w:p>
    <w:p>
      <w:pPr>
        <w:pStyle w:val="ListNumber"/>
      </w:pPr>
      <w:r>
        <w:rPr>
          <w:b/>
          <w:sz w:val="18"/>
        </w:rPr>
        <w:t>Establish EU LFP CAM production capacity</w:t>
      </w:r>
      <w:r>
        <w:rPr>
          <w:sz w:val="18"/>
        </w:rPr>
        <w:t>: Commission a production plant at Eni's Brindisi brownfield site capable of producing battery-grade LFP CAM (LiFePO4/C), directly reducing EU dependency on Chinese imports and addressing NZIA manufacturing benchmarks.</w:t>
      </w:r>
    </w:p>
    <w:p>
      <w:pPr>
        <w:pStyle w:val="ListNumber"/>
      </w:pPr>
      <w:r>
        <w:rPr>
          <w:b/>
          <w:sz w:val="18"/>
        </w:rPr>
        <w:t>Progressively electrify process heat</w:t>
      </w:r>
      <w:r>
        <w:rPr>
          <w:sz w:val="18"/>
        </w:rPr>
        <w:t xml:space="preserve">: Deploy electric roller hearth kiln calcination and heat pump-assisted spray drying, progressively replacing natural gas-fired thermal processes used by incumbent Asian producers. The initial plant design retains limited gas use (189 m3/t LFP CAM, primarily in spray drying and calcination auxiliary heating) while maximising electrification. The digital twin will optimise the energy mix and guide further gas-to-electric substitution as technology matures and the grid decarbonises. Target: 55-70% GHG reduction versus fully gas-fired benchmark by 2030, rising to 80-90% by 2035 as electrification deepens and grid intensity falls </w:t>
      </w:r>
      <w:r>
        <w:rPr>
          <w:color w:val="0066CC"/>
          <w:sz w:val="16"/>
        </w:rPr>
        <w:t>[CLM-026]</w:t>
      </w:r>
      <w:r>
        <w:rPr>
          <w:sz w:val="18"/>
        </w:rPr>
        <w:t>.</w:t>
      </w:r>
    </w:p>
    <w:p>
      <w:pPr>
        <w:pStyle w:val="ListNumber"/>
      </w:pPr>
      <w:r>
        <w:rPr>
          <w:b/>
          <w:sz w:val="18"/>
        </w:rPr>
        <w:t>Implement the first digital twin for LFP CAM powder synthesis</w:t>
      </w:r>
      <w:r>
        <w:rPr>
          <w:sz w:val="18"/>
        </w:rPr>
        <w:t xml:space="preserve">: Deploy an ISO 23247-compliant, multi-scale physics-based digital twin spanning the full production chain (spray drying, calcination, jet milling) with closed-loop model-predictive control (MPC). Target: scrap rate reduction 10-50%, energy consumption reduction 12-15%, batch-to-batch variability reduction &gt;40% </w:t>
      </w:r>
      <w:r>
        <w:rPr>
          <w:color w:val="0066CC"/>
          <w:sz w:val="16"/>
        </w:rPr>
        <w:t>[CLM-007]</w:t>
      </w:r>
      <w:r>
        <w:rPr>
          <w:sz w:val="18"/>
        </w:rPr>
        <w:t>.</w:t>
      </w:r>
    </w:p>
    <w:p>
      <w:pPr>
        <w:pStyle w:val="ListNumber"/>
      </w:pPr>
      <w:r>
        <w:rPr>
          <w:b/>
          <w:sz w:val="18"/>
        </w:rPr>
        <w:t>Achieve financial close within 2 years</w:t>
      </w:r>
      <w:r>
        <w:rPr>
          <w:sz w:val="18"/>
        </w:rPr>
        <w:t xml:space="preserve"> of grant agreement signature and </w:t>
      </w:r>
      <w:r>
        <w:rPr>
          <w:b/>
          <w:sz w:val="18"/>
        </w:rPr>
        <w:t>entry into operation within 4 years</w:t>
      </w:r>
      <w:r>
        <w:rPr>
          <w:sz w:val="18"/>
        </w:rPr>
        <w:t>, demonstrating the project maturity expected under the CLEAN-TECH-MANUFACTURING topic.</w:t>
      </w:r>
    </w:p>
    <w:p>
      <w:pPr>
        <w:pStyle w:val="ListNumber"/>
      </w:pPr>
      <w:r>
        <w:rPr>
          <w:b/>
          <w:sz w:val="18"/>
        </w:rPr>
        <w:t>Generate primary LFP-specific lifecycle emission data</w:t>
      </w:r>
      <w:r>
        <w:rPr>
          <w:sz w:val="18"/>
        </w:rPr>
        <w:t xml:space="preserve">: Through the plant's instrumented production line, produce the first published electrified LFP CAM lifecycle emission factors, addressing the documented research gap in LFP-specific GHG data </w:t>
      </w:r>
      <w:r>
        <w:rPr>
          <w:color w:val="0066CC"/>
          <w:sz w:val="16"/>
        </w:rPr>
        <w:t>[CLM-028]</w:t>
      </w:r>
      <w:r>
        <w:rPr>
          <w:sz w:val="18"/>
        </w:rPr>
        <w:t>.</w:t>
      </w:r>
    </w:p>
    <w:p>
      <w:r>
        <w:rPr>
          <w:sz w:val="18"/>
        </w:rPr>
        <w:t>---</w:t>
      </w:r>
    </w:p>
    <w:p>
      <w:pPr>
        <w:pStyle w:val="Heading2"/>
      </w:pPr>
      <w:r>
        <w:t>0.2 Consortium: Beneficiaries and Other Participants</w:t>
      </w:r>
    </w:p>
    <w:p>
      <w:pPr>
        <w:pStyle w:val="Heading3"/>
      </w:pPr>
      <w:r>
        <w:t>FIB S.p.A. (FAAM) — Main Applicant and Coordinator</w:t>
      </w:r>
    </w:p>
    <w:p>
      <w:r>
        <w:rPr>
          <w:sz w:val="18"/>
        </w:rPr>
        <w:t>FIB S.p.A., operating under the FAAM brand, is an Italian battery manufacturer founded in 1974, with over 50 years of experience in lead-acid and lithium-ion battery production. A subsidiary of Seri Industrial S.p.A., FIB is headquartered in Monterubbiano (FM), Marche, Italy, where its first factories were established in 1976. FIB employs approximately 354 staff across its manufacturing and R&amp;D operations. The company produces lithium-ion batteries for traction, industrial, storage, and military applications, as well as lead-acid batteries and fuel cells, with a strategic focus on green batteries with low environmental impact. FIB has recently contracted an 8 GWh lithium battery facility with Lead Intelligent Equipment, demonstrating its commitment to scaling battery production capacity. FIB has a strong track record of supporting research through university partnerships, including PhD studentships and MSc degree collaborations.</w:t>
      </w:r>
    </w:p>
    <w:p>
      <w:r>
        <w:rPr>
          <w:b/>
          <w:sz w:val="18"/>
        </w:rPr>
        <w:t>Expertise and suitability as coordinator:</w:t>
      </w:r>
    </w:p>
    <w:p>
      <w:pPr>
        <w:pStyle w:val="ListBullet"/>
      </w:pPr>
      <w:r>
        <w:rPr>
          <w:sz w:val="18"/>
        </w:rPr>
        <w:t>Established battery manufacturing operations with existing quality management systems (ISO 9001) and environmental management (ISO 14001), complemented by occupational health and safety management (ISO 45001)</w:t>
      </w:r>
    </w:p>
    <w:p>
      <w:pPr>
        <w:pStyle w:val="ListBullet"/>
      </w:pPr>
      <w:r>
        <w:rPr>
          <w:sz w:val="18"/>
        </w:rPr>
        <w:t>Direct experience in scaling battery material and cell production from pilot to commercial volumes</w:t>
      </w:r>
    </w:p>
    <w:p>
      <w:pPr>
        <w:pStyle w:val="ListBullet"/>
      </w:pPr>
      <w:r>
        <w:rPr>
          <w:sz w:val="18"/>
        </w:rPr>
        <w:t>Track record in EU-funded collaborative projects in the battery value chain</w:t>
      </w:r>
    </w:p>
    <w:p>
      <w:pPr>
        <w:pStyle w:val="ListBullet"/>
      </w:pPr>
      <w:r>
        <w:rPr>
          <w:sz w:val="18"/>
        </w:rPr>
        <w:t>Existing relationships with European battery cell manufacturers as potential LFP CAM off-takers</w:t>
      </w:r>
    </w:p>
    <w:p>
      <w:pPr>
        <w:pStyle w:val="ListBullet"/>
      </w:pPr>
      <w:r>
        <w:rPr>
          <w:sz w:val="18"/>
        </w:rPr>
        <w:t>Responsible for: plant design, construction management, LFP CAM process operation, digital twin development and integration, product qualification, and off-take management</w:t>
      </w:r>
    </w:p>
    <w:p>
      <w:pPr>
        <w:pStyle w:val="Heading3"/>
      </w:pPr>
      <w:r>
        <w:t>Eni S.p.A. — Co-Investigator</w:t>
      </w:r>
    </w:p>
    <w:p>
      <w:r>
        <w:rPr>
          <w:sz w:val="18"/>
        </w:rPr>
        <w:t>Eni is one of Europe's largest integrated energy companies, with approximately 32,000 employees globally and revenues exceeding EUR 90 billion. Founded in 1953 and headquartered in Rome, Italy, Eni operates across the energy value chain with increasing investment in decarbonisation and clean technology.</w:t>
      </w:r>
    </w:p>
    <w:p>
      <w:r>
        <w:rPr>
          <w:b/>
          <w:sz w:val="18"/>
        </w:rPr>
        <w:t>Expertise and suitability:</w:t>
      </w:r>
    </w:p>
    <w:p>
      <w:pPr>
        <w:pStyle w:val="ListBullet"/>
      </w:pPr>
      <w:r>
        <w:rPr>
          <w:sz w:val="18"/>
        </w:rPr>
        <w:t>Owner and operator of the Brindisi industrial site, providing brownfield infrastructure for accelerated construction</w:t>
      </w:r>
    </w:p>
    <w:p>
      <w:pPr>
        <w:pStyle w:val="ListBullet"/>
      </w:pPr>
      <w:r>
        <w:rPr>
          <w:sz w:val="18"/>
        </w:rPr>
        <w:t>Extensive process engineering capabilities in large-scale thermal, chemical, and petrochemical operations</w:t>
      </w:r>
    </w:p>
    <w:p>
      <w:pPr>
        <w:pStyle w:val="ListBullet"/>
      </w:pPr>
      <w:r>
        <w:rPr>
          <w:sz w:val="18"/>
        </w:rPr>
        <w:t>Expertise in energy supply, grid integration, and renewable energy procurement — critical for the electrified manufacturing model</w:t>
      </w:r>
    </w:p>
    <w:p>
      <w:pPr>
        <w:pStyle w:val="ListBullet"/>
      </w:pPr>
      <w:r>
        <w:rPr>
          <w:sz w:val="18"/>
        </w:rPr>
        <w:t>Established environmental management, permitting, and community engagement track record at the Brindisi site</w:t>
      </w:r>
    </w:p>
    <w:p>
      <w:pPr>
        <w:pStyle w:val="ListBullet"/>
      </w:pPr>
      <w:r>
        <w:rPr>
          <w:sz w:val="18"/>
        </w:rPr>
        <w:t>Existing investment framework for clean-technology transition projects under Eni's decarbonisation strategy</w:t>
      </w:r>
    </w:p>
    <w:p>
      <w:pPr>
        <w:pStyle w:val="ListBullet"/>
      </w:pPr>
      <w:r>
        <w:rPr>
          <w:b/>
          <w:sz w:val="18"/>
        </w:rPr>
        <w:t>Direct internal offtaker for the project's output</w:t>
      </w:r>
      <w:r>
        <w:rPr>
          <w:sz w:val="18"/>
        </w:rPr>
        <w:t>: Eni is a partner in the co-located FIB-Eni joint venture battery cell and BESS factory at Brindisi, and will deploy the manufactured BESS systems on the Italian electricity grid for grid stabilisation and decarbonisation services. This role as guaranteed internal customer eliminates offtake risk and secures market demand for the LFP CAM produced by this project.</w:t>
      </w:r>
    </w:p>
    <w:p>
      <w:pPr>
        <w:pStyle w:val="ListBullet"/>
      </w:pPr>
      <w:r>
        <w:rPr>
          <w:sz w:val="18"/>
        </w:rPr>
        <w:t>Responsible for: site provision and preparation, energy supply architecture (including renewable electricity procurement), process engineering support, environmental permitting, co-financing, and downstream BESS grid deployment</w:t>
      </w:r>
    </w:p>
    <w:p>
      <w:pPr>
        <w:pStyle w:val="Heading3"/>
      </w:pPr>
      <w:r>
        <w:t>Technology Licensor</w:t>
      </w:r>
    </w:p>
    <w:p>
      <w:r>
        <w:rPr>
          <w:sz w:val="18"/>
        </w:rPr>
        <w:t xml:space="preserve">FIB has secured a technology licensor for the LFP CAM solid-state synthesis process — </w:t>
      </w:r>
      <w:r>
        <w:rPr>
          <w:b/>
          <w:color w:val="CC0000"/>
          <w:sz w:val="18"/>
        </w:rPr>
        <w:t>[TO BE COMPLETED: technology licensor name]</w:t>
      </w:r>
      <w:r>
        <w:rPr>
          <w:sz w:val="18"/>
        </w:rPr>
        <w:t xml:space="preserve"> — providing process know-how, recipe optimisation, and equipment specification support. The technology licensor brings proven industrial experience in LFP CAM production, de-risking the scale-up from established process parameters to the Brindisi plant's specific configuration and throughput requirements. The licensor relationship covers process recipe definition, calcination profile optimisation, and spray drying parameter specification, while FIB retains ownership of the digital twin integration and progressive electrification innovations.</w:t>
      </w:r>
    </w:p>
    <w:p>
      <w:pPr>
        <w:pStyle w:val="Heading3"/>
      </w:pPr>
      <w:r>
        <w:t>FIB-Eni Joint Venture Battery Factory (Co-Located at Brindisi)</w:t>
      </w:r>
    </w:p>
    <w:p>
      <w:r>
        <w:rPr>
          <w:sz w:val="18"/>
        </w:rPr>
        <w:t>FIB and Eni are establishing a joint venture battery cell and BESS manufacturing facility on the same Brindisi industrial site as the LFP CAM plant. The JV factory will convert the LFP CAM produced by this project into battery cells and assemble them into grid-scale battery energy storage systems (BESS). Eni will deploy these BESS on the Italian electricity grid as part of its strategy to stabilise and decarbonise the Italian power system. This co-located JV factory is the direct and guaranteed customer for the LFP CAM output, creating a mine-to-grid vertically integrated value chain within a single consortium and site. The parallel development of the JV factory is coordinated with the LFP CAM plant timeline to ensure seamless integration upon entry into operation.</w:t>
      </w:r>
    </w:p>
    <w:p>
      <w:pPr>
        <w:pStyle w:val="Heading3"/>
      </w:pPr>
      <w:r>
        <w:t>Relationship Between Partners</w:t>
      </w:r>
    </w:p>
    <w:p>
      <w:r>
        <w:rPr>
          <w:sz w:val="18"/>
        </w:rPr>
        <w:t>The FIB-Eni partnership combines complementary capabilities: FIB brings battery-specific manufacturing and product expertise; Eni contributes the Brindisi site, process engineering scale-up experience, energy infrastructure, balance-sheet strength, and — critically — the role of direct internal offtaker through the co-located JV battery factory and downstream BESS grid deployment. The project framework establishes FIB as coordinator responsible for all LFP CAM production activities and digital twin development, with Eni providing the manufacturing platform (site, energy, permitting), co-investment, and guaranteed offtake. Decision-making is governed by a joint steering committee with defined escalation protocols. Both partners have a long-term strategic interest in the success of Italian battery material manufacturing — reinforced by the vertically integrated value chain that creates shared commercial incentives from cathode material production through to grid-deployed energy storage.</w:t>
      </w:r>
    </w:p>
    <w:p>
      <w:r>
        <w:rPr>
          <w:sz w:val="18"/>
        </w:rPr>
        <w:t>---</w:t>
      </w:r>
    </w:p>
    <w:p>
      <w:pPr>
        <w:pStyle w:val="Heading2"/>
      </w:pPr>
      <w:r>
        <w:t>0.3 Technical Characteristics and Scope</w:t>
      </w:r>
    </w:p>
    <w:p>
      <w:pPr>
        <w:pStyle w:val="Heading3"/>
      </w:pPr>
      <w:r>
        <w:t>Project Location and Site</w:t>
      </w:r>
    </w:p>
    <w:p>
      <w:r>
        <w:rPr>
          <w:sz w:val="18"/>
        </w:rPr>
        <w:t xml:space="preserve">The plant will be located at Eni's existing industrial site in </w:t>
      </w:r>
      <w:r>
        <w:rPr>
          <w:b/>
          <w:sz w:val="18"/>
        </w:rPr>
        <w:t>Brindisi, Puglia, Italy</w:t>
      </w:r>
      <w:r>
        <w:rPr>
          <w:sz w:val="18"/>
        </w:rPr>
        <w:t xml:space="preserve"> (41.0N, 17.9E). The Brindisi site offers:</w:t>
      </w:r>
    </w:p>
    <w:p>
      <w:pPr>
        <w:pStyle w:val="ListBullet"/>
      </w:pPr>
      <w:r>
        <w:rPr>
          <w:sz w:val="18"/>
        </w:rPr>
        <w:t>Existing industrial zoning and environmental permitting precedent</w:t>
      </w:r>
    </w:p>
    <w:p>
      <w:pPr>
        <w:pStyle w:val="ListBullet"/>
      </w:pPr>
      <w:r>
        <w:rPr>
          <w:sz w:val="18"/>
        </w:rPr>
        <w:t>Grid-connected power supply infrastructure with capacity for electrified manufacturing loads</w:t>
      </w:r>
    </w:p>
    <w:p>
      <w:pPr>
        <w:pStyle w:val="ListBullet"/>
      </w:pPr>
      <w:r>
        <w:rPr>
          <w:sz w:val="18"/>
        </w:rPr>
        <w:t>Road access (SS 613, E55 corridor) and port access (Port of Brindisi) for raw material import and product distribution</w:t>
      </w:r>
    </w:p>
    <w:p>
      <w:pPr>
        <w:pStyle w:val="ListBullet"/>
      </w:pPr>
      <w:r>
        <w:rPr>
          <w:sz w:val="18"/>
        </w:rPr>
        <w:t>Proximity to Southern European battery cell manufacturing operations</w:t>
      </w:r>
    </w:p>
    <w:p>
      <w:pPr>
        <w:pStyle w:val="Heading3"/>
      </w:pPr>
      <w:r>
        <w:t>LFP CAM Technology: Solid-State Synthesis Route</w:t>
      </w:r>
    </w:p>
    <w:p>
      <w:r>
        <w:rPr>
          <w:sz w:val="18"/>
        </w:rPr>
        <w:t xml:space="preserve">The plant employs the </w:t>
      </w:r>
      <w:r>
        <w:rPr>
          <w:b/>
          <w:sz w:val="18"/>
        </w:rPr>
        <w:t>solid-state synthesis route</w:t>
      </w:r>
      <w:r>
        <w:rPr>
          <w:sz w:val="18"/>
        </w:rPr>
        <w:t xml:space="preserve"> — the dominant industrial process for LFP CAM production globally </w:t>
      </w:r>
      <w:r>
        <w:rPr>
          <w:color w:val="0066CC"/>
          <w:sz w:val="16"/>
        </w:rPr>
        <w:t>[SRC-011]</w:t>
      </w:r>
      <w:r>
        <w:rPr>
          <w:sz w:val="18"/>
        </w:rPr>
        <w:t>. This route is selected for its excellent scalability, established process knowledge, and compatibility with electrified heating systems. The process involves stoichiometric mixing of precursors, wet milling, spray drying for particle engineering, and calcination under inert atmosphere to form phase-pure olivine LiFePO4 with in-situ carbon coating.</w:t>
      </w:r>
    </w:p>
    <w:p>
      <w:r>
        <w:rPr>
          <w:sz w:val="18"/>
        </w:rPr>
        <w:t xml:space="preserve">The manufacturing process comprises a </w:t>
      </w:r>
      <w:r>
        <w:rPr>
          <w:b/>
          <w:sz w:val="18"/>
        </w:rPr>
        <w:t>7-step production chain</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Step</w:t>
            </w:r>
          </w:p>
        </w:tc>
        <w:tc>
          <w:tcPr>
            <w:tcW w:type="dxa" w:w="3513"/>
          </w:tcPr>
          <w:p>
            <w:r>
              <w:rPr>
                <w:b/>
                <w:sz w:val="16"/>
              </w:rPr>
              <w:t>Operation</w:t>
            </w:r>
          </w:p>
        </w:tc>
        <w:tc>
          <w:tcPr>
            <w:tcW w:type="dxa" w:w="3513"/>
          </w:tcPr>
          <w:p>
            <w:r>
              <w:rPr>
                <w:b/>
                <w:sz w:val="16"/>
              </w:rPr>
              <w:t>Key Parameters</w:t>
            </w:r>
          </w:p>
        </w:tc>
      </w:tr>
      <w:tr>
        <w:tc>
          <w:tcPr>
            <w:tcW w:type="dxa" w:w="3513"/>
          </w:tcPr>
          <w:p>
            <w:r>
              <w:rPr>
                <w:sz w:val="16"/>
              </w:rPr>
              <w:t>1</w:t>
            </w:r>
          </w:p>
        </w:tc>
        <w:tc>
          <w:tcPr>
            <w:tcW w:type="dxa" w:w="3513"/>
          </w:tcPr>
          <w:p>
            <w:r>
              <w:rPr>
                <w:sz w:val="16"/>
              </w:rPr>
              <w:t>Raw materials dosing</w:t>
            </w:r>
          </w:p>
        </w:tc>
        <w:tc>
          <w:tcPr>
            <w:tcW w:type="dxa" w:w="3513"/>
          </w:tcPr>
          <w:p>
            <w:r>
              <w:rPr>
                <w:sz w:val="16"/>
              </w:rPr>
              <w:t>Iron phosphate (0.98 t/t), lithium carbonate (0.25 t/t), glucose (0.010 t/t), TiO2 (0.008 t/t), H3PO4 (0.006 t/t) into dispersion tank</w:t>
            </w:r>
          </w:p>
        </w:tc>
      </w:tr>
      <w:tr>
        <w:tc>
          <w:tcPr>
            <w:tcW w:type="dxa" w:w="3513"/>
          </w:tcPr>
          <w:p>
            <w:r>
              <w:rPr>
                <w:sz w:val="16"/>
              </w:rPr>
              <w:t>2</w:t>
            </w:r>
          </w:p>
        </w:tc>
        <w:tc>
          <w:tcPr>
            <w:tcW w:type="dxa" w:w="3513"/>
          </w:tcPr>
          <w:p>
            <w:r>
              <w:rPr>
                <w:sz w:val="16"/>
              </w:rPr>
              <w:t>Sand milling + magnetic separation</w:t>
            </w:r>
          </w:p>
        </w:tc>
        <w:tc>
          <w:tcPr>
            <w:tcW w:type="dxa" w:w="3513"/>
          </w:tcPr>
          <w:p>
            <w:r>
              <w:rPr>
                <w:sz w:val="16"/>
              </w:rPr>
              <w:t>Particle size reduction, demagnetisation</w:t>
            </w:r>
          </w:p>
        </w:tc>
      </w:tr>
      <w:tr>
        <w:tc>
          <w:tcPr>
            <w:tcW w:type="dxa" w:w="3513"/>
          </w:tcPr>
          <w:p>
            <w:r>
              <w:rPr>
                <w:sz w:val="16"/>
              </w:rPr>
              <w:t>3</w:t>
            </w:r>
          </w:p>
        </w:tc>
        <w:tc>
          <w:tcPr>
            <w:tcW w:type="dxa" w:w="3513"/>
          </w:tcPr>
          <w:p>
            <w:r>
              <w:rPr>
                <w:sz w:val="16"/>
              </w:rPr>
              <w:t>Spray drying</w:t>
            </w:r>
          </w:p>
        </w:tc>
        <w:tc>
          <w:tcPr>
            <w:tcW w:type="dxa" w:w="3513"/>
          </w:tcPr>
          <w:p>
            <w:r>
              <w:rPr>
                <w:sz w:val="16"/>
              </w:rPr>
              <w:t>Aqueous slurry to solid unreacted mixture; controls morphology</w:t>
            </w:r>
          </w:p>
        </w:tc>
      </w:tr>
      <w:tr>
        <w:tc>
          <w:tcPr>
            <w:tcW w:type="dxa" w:w="3513"/>
          </w:tcPr>
          <w:p>
            <w:r>
              <w:rPr>
                <w:sz w:val="16"/>
              </w:rPr>
              <w:t>4</w:t>
            </w:r>
          </w:p>
        </w:tc>
        <w:tc>
          <w:tcPr>
            <w:tcW w:type="dxa" w:w="3513"/>
          </w:tcPr>
          <w:p>
            <w:r>
              <w:rPr>
                <w:sz w:val="16"/>
              </w:rPr>
              <w:t>Crucible loading + calcination</w:t>
            </w:r>
          </w:p>
        </w:tc>
        <w:tc>
          <w:tcPr>
            <w:tcW w:type="dxa" w:w="3513"/>
          </w:tcPr>
          <w:p>
            <w:r>
              <w:rPr>
                <w:sz w:val="16"/>
              </w:rPr>
              <w:t>Electric roller hearth kiln, 600-700 C under N2 (pO2 &lt;10 ppm)</w:t>
            </w:r>
          </w:p>
        </w:tc>
      </w:tr>
      <w:tr>
        <w:tc>
          <w:tcPr>
            <w:tcW w:type="dxa" w:w="3513"/>
          </w:tcPr>
          <w:p>
            <w:r>
              <w:rPr>
                <w:sz w:val="16"/>
              </w:rPr>
              <w:t>5</w:t>
            </w:r>
          </w:p>
        </w:tc>
        <w:tc>
          <w:tcPr>
            <w:tcW w:type="dxa" w:w="3513"/>
          </w:tcPr>
          <w:p>
            <w:r>
              <w:rPr>
                <w:sz w:val="16"/>
              </w:rPr>
              <w:t>Jet milling</w:t>
            </w:r>
          </w:p>
        </w:tc>
        <w:tc>
          <w:tcPr>
            <w:tcW w:type="dxa" w:w="3513"/>
          </w:tcPr>
          <w:p>
            <w:r>
              <w:rPr>
                <w:sz w:val="16"/>
              </w:rPr>
              <w:t>Air-flow grinding to target D50 0.7-2.5 um</w:t>
            </w:r>
          </w:p>
        </w:tc>
      </w:tr>
      <w:tr>
        <w:tc>
          <w:tcPr>
            <w:tcW w:type="dxa" w:w="3513"/>
          </w:tcPr>
          <w:p>
            <w:r>
              <w:rPr>
                <w:sz w:val="16"/>
              </w:rPr>
              <w:t>6</w:t>
            </w:r>
          </w:p>
        </w:tc>
        <w:tc>
          <w:tcPr>
            <w:tcW w:type="dxa" w:w="3513"/>
          </w:tcPr>
          <w:p>
            <w:r>
              <w:rPr>
                <w:sz w:val="16"/>
              </w:rPr>
              <w:t>Ultrasonic sieving + demagnetisation</w:t>
            </w:r>
          </w:p>
        </w:tc>
        <w:tc>
          <w:tcPr>
            <w:tcW w:type="dxa" w:w="3513"/>
          </w:tcPr>
          <w:p>
            <w:r>
              <w:rPr>
                <w:sz w:val="16"/>
              </w:rPr>
              <w:t>Classification and magnetic particle removal</w:t>
            </w:r>
          </w:p>
        </w:tc>
      </w:tr>
      <w:tr>
        <w:tc>
          <w:tcPr>
            <w:tcW w:type="dxa" w:w="3513"/>
          </w:tcPr>
          <w:p>
            <w:r>
              <w:rPr>
                <w:sz w:val="16"/>
              </w:rPr>
              <w:t>7</w:t>
            </w:r>
          </w:p>
        </w:tc>
        <w:tc>
          <w:tcPr>
            <w:tcW w:type="dxa" w:w="3513"/>
          </w:tcPr>
          <w:p>
            <w:r>
              <w:rPr>
                <w:sz w:val="16"/>
              </w:rPr>
              <w:t>Automated packaging</w:t>
            </w:r>
          </w:p>
        </w:tc>
        <w:tc>
          <w:tcPr>
            <w:tcW w:type="dxa" w:w="3513"/>
          </w:tcPr>
          <w:p>
            <w:r>
              <w:rPr>
                <w:sz w:val="16"/>
              </w:rPr>
              <w:t>Final product: battery-grade LiFePO4/C</w:t>
            </w:r>
          </w:p>
        </w:tc>
      </w:tr>
    </w:tbl>
    <w:p>
      <w:pPr>
        <w:pStyle w:val="Heading3"/>
      </w:pPr>
      <w:r>
        <w:t>Key Inputs and Feedstock</w:t>
      </w:r>
    </w:p>
    <w:p>
      <w:pPr>
        <w:pStyle w:val="ListBullet"/>
      </w:pPr>
      <w:r>
        <w:rPr>
          <w:b/>
          <w:sz w:val="18"/>
        </w:rPr>
        <w:t>Iron phosphate (FePO4)</w:t>
      </w:r>
      <w:r>
        <w:rPr>
          <w:sz w:val="18"/>
        </w:rPr>
        <w:t>: Primary iron and phosphorus source. Consumption: 0.98 t per tonne LFP CAM (49,000 t/yr at full capacity). Sourced from diversified suppliers including European and non-Chinese sources, subject to off-take negotiations</w:t>
      </w:r>
    </w:p>
    <w:p>
      <w:pPr>
        <w:pStyle w:val="ListBullet"/>
      </w:pPr>
      <w:r>
        <w:rPr>
          <w:b/>
          <w:sz w:val="18"/>
        </w:rPr>
        <w:t>Lithium carbonate (Li2CO3)</w:t>
      </w:r>
      <w:r>
        <w:rPr>
          <w:sz w:val="18"/>
        </w:rPr>
        <w:t>: Primary lithium source. Consumption: 0.25 t per tonne LFP CAM (12,500 t/yr at full capacity). Sourced from multiple qualified suppliers including Australian, Chilean, and European refiners to ensure supply chain diversification</w:t>
      </w:r>
    </w:p>
    <w:p>
      <w:pPr>
        <w:pStyle w:val="ListBullet"/>
      </w:pPr>
      <w:r>
        <w:rPr>
          <w:b/>
          <w:sz w:val="18"/>
        </w:rPr>
        <w:t>Glucose (C6H12O6)</w:t>
      </w:r>
      <w:r>
        <w:rPr>
          <w:sz w:val="18"/>
        </w:rPr>
        <w:t>: Carbon source for in-situ carbon coating during calcination. Consumption: 0.010 t per tonne LFP CAM (500 t/yr at full capacity). Commodity chemical available from European suppliers</w:t>
      </w:r>
    </w:p>
    <w:p>
      <w:pPr>
        <w:pStyle w:val="ListBullet"/>
      </w:pPr>
      <w:r>
        <w:rPr>
          <w:b/>
          <w:sz w:val="18"/>
        </w:rPr>
        <w:t>TiO2</w:t>
      </w:r>
      <w:r>
        <w:rPr>
          <w:sz w:val="18"/>
        </w:rPr>
        <w:t>: Doping/coating additive. Consumption: 0.008 t per tonne LFP CAM (400 t/yr at full capacity)</w:t>
      </w:r>
    </w:p>
    <w:p>
      <w:pPr>
        <w:pStyle w:val="ListBullet"/>
      </w:pPr>
      <w:r>
        <w:rPr>
          <w:b/>
          <w:sz w:val="18"/>
        </w:rPr>
        <w:t>H3PO4</w:t>
      </w:r>
      <w:r>
        <w:rPr>
          <w:sz w:val="18"/>
        </w:rPr>
        <w:t>: Supplementary phosphorus source. Consumption: 0.006 t per tonne LFP CAM (300 t/yr at full capacity)</w:t>
      </w:r>
    </w:p>
    <w:p>
      <w:pPr>
        <w:pStyle w:val="Heading3"/>
      </w:pPr>
      <w:r>
        <w:t>Expected Output</w:t>
      </w:r>
    </w:p>
    <w:p>
      <w:r>
        <w:rPr>
          <w:sz w:val="18"/>
        </w:rPr>
        <w:t xml:space="preserve">The plant is designed for an annual production capacity of </w:t>
      </w:r>
      <w:r>
        <w:rPr>
          <w:b/>
          <w:sz w:val="18"/>
        </w:rPr>
        <w:t>50,000 tonnes (50 kton/yr)</w:t>
      </w:r>
      <w:r>
        <w:rPr>
          <w:sz w:val="18"/>
        </w:rPr>
        <w:t xml:space="preserve"> of battery-grade LFP CAM, organised across </w:t>
      </w:r>
      <w:r>
        <w:rPr>
          <w:b/>
          <w:sz w:val="18"/>
        </w:rPr>
        <w:t>4 modular production lines</w:t>
      </w:r>
      <w:r>
        <w:rPr>
          <w:sz w:val="18"/>
        </w:rPr>
        <w:t xml:space="preserve"> of 12,500 t/yr each. The plant produces two product grades: </w:t>
      </w:r>
      <w:r>
        <w:rPr>
          <w:b/>
          <w:sz w:val="18"/>
        </w:rPr>
        <w:t>nanosized LFP (75% of output)</w:t>
      </w:r>
      <w:r>
        <w:rPr>
          <w:sz w:val="18"/>
        </w:rPr>
        <w:t xml:space="preserve"> and </w:t>
      </w:r>
      <w:r>
        <w:rPr>
          <w:b/>
          <w:sz w:val="18"/>
        </w:rPr>
        <w:t>spherical LFP (25% of output)</w:t>
      </w:r>
      <w:r>
        <w:rPr>
          <w:sz w:val="18"/>
        </w:rPr>
        <w:t>, the latter achieved through a configurable spray-drying and optional jet-milling bypass. The workshop footprint is approximately 161.1 m x 106 m (~17,100 m2). The production process employs flexible solid-state synthesis with configurable spray-drying, calcination in saggars under N2 atmosphere, and optional jet-milling bypass for the spherical grade. The product meets the following specifications:</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Quality Attribute</w:t>
            </w:r>
          </w:p>
        </w:tc>
        <w:tc>
          <w:tcPr>
            <w:tcW w:type="dxa" w:w="5270"/>
          </w:tcPr>
          <w:p>
            <w:r>
              <w:rPr>
                <w:b/>
                <w:sz w:val="16"/>
              </w:rPr>
              <w:t>Target Specification</w:t>
            </w:r>
          </w:p>
        </w:tc>
      </w:tr>
      <w:tr>
        <w:tc>
          <w:tcPr>
            <w:tcW w:type="dxa" w:w="5270"/>
          </w:tcPr>
          <w:p>
            <w:r>
              <w:rPr>
                <w:sz w:val="16"/>
              </w:rPr>
              <w:t>D10 particle size</w:t>
            </w:r>
          </w:p>
        </w:tc>
        <w:tc>
          <w:tcPr>
            <w:tcW w:type="dxa" w:w="5270"/>
          </w:tcPr>
          <w:p>
            <w:r>
              <w:rPr>
                <w:sz w:val="16"/>
              </w:rPr>
              <w:t>0.3-1.0 um</w:t>
            </w:r>
          </w:p>
        </w:tc>
      </w:tr>
      <w:tr>
        <w:tc>
          <w:tcPr>
            <w:tcW w:type="dxa" w:w="5270"/>
          </w:tcPr>
          <w:p>
            <w:r>
              <w:rPr>
                <w:sz w:val="16"/>
              </w:rPr>
              <w:t>D50 particle size</w:t>
            </w:r>
          </w:p>
        </w:tc>
        <w:tc>
          <w:tcPr>
            <w:tcW w:type="dxa" w:w="5270"/>
          </w:tcPr>
          <w:p>
            <w:r>
              <w:rPr>
                <w:sz w:val="16"/>
              </w:rPr>
              <w:t>0.7-2.5 um</w:t>
            </w:r>
          </w:p>
        </w:tc>
      </w:tr>
      <w:tr>
        <w:tc>
          <w:tcPr>
            <w:tcW w:type="dxa" w:w="5270"/>
          </w:tcPr>
          <w:p>
            <w:r>
              <w:rPr>
                <w:sz w:val="16"/>
              </w:rPr>
              <w:t>D90 particle size</w:t>
            </w:r>
          </w:p>
        </w:tc>
        <w:tc>
          <w:tcPr>
            <w:tcW w:type="dxa" w:w="5270"/>
          </w:tcPr>
          <w:p>
            <w:r>
              <w:rPr>
                <w:sz w:val="16"/>
              </w:rPr>
              <w:t>2.5-12.0 um</w:t>
            </w:r>
          </w:p>
        </w:tc>
      </w:tr>
      <w:tr>
        <w:tc>
          <w:tcPr>
            <w:tcW w:type="dxa" w:w="5270"/>
          </w:tcPr>
          <w:p>
            <w:r>
              <w:rPr>
                <w:sz w:val="16"/>
              </w:rPr>
              <w:t>Specific surface area (SSA)</w:t>
            </w:r>
          </w:p>
        </w:tc>
        <w:tc>
          <w:tcPr>
            <w:tcW w:type="dxa" w:w="5270"/>
          </w:tcPr>
          <w:p>
            <w:r>
              <w:rPr>
                <w:sz w:val="16"/>
              </w:rPr>
              <w:t>10-14 m2/g</w:t>
            </w:r>
          </w:p>
        </w:tc>
      </w:tr>
      <w:tr>
        <w:tc>
          <w:tcPr>
            <w:tcW w:type="dxa" w:w="5270"/>
          </w:tcPr>
          <w:p>
            <w:r>
              <w:rPr>
                <w:sz w:val="16"/>
              </w:rPr>
              <w:t>Tap density</w:t>
            </w:r>
          </w:p>
        </w:tc>
        <w:tc>
          <w:tcPr>
            <w:tcW w:type="dxa" w:w="5270"/>
          </w:tcPr>
          <w:p>
            <w:r>
              <w:rPr>
                <w:sz w:val="16"/>
              </w:rPr>
              <w:t>1.0-1.4 g/cm3</w:t>
            </w:r>
          </w:p>
        </w:tc>
      </w:tr>
      <w:tr>
        <w:tc>
          <w:tcPr>
            <w:tcW w:type="dxa" w:w="5270"/>
          </w:tcPr>
          <w:p>
            <w:r>
              <w:rPr>
                <w:sz w:val="16"/>
              </w:rPr>
              <w:t>Pellet density</w:t>
            </w:r>
          </w:p>
        </w:tc>
        <w:tc>
          <w:tcPr>
            <w:tcW w:type="dxa" w:w="5270"/>
          </w:tcPr>
          <w:p>
            <w:r>
              <w:rPr>
                <w:sz w:val="16"/>
              </w:rPr>
              <w:t>&gt;=2.40 g/cm3</w:t>
            </w:r>
          </w:p>
        </w:tc>
      </w:tr>
      <w:tr>
        <w:tc>
          <w:tcPr>
            <w:tcW w:type="dxa" w:w="5270"/>
          </w:tcPr>
          <w:p>
            <w:r>
              <w:rPr>
                <w:sz w:val="16"/>
              </w:rPr>
              <w:t>Electrode press density</w:t>
            </w:r>
          </w:p>
        </w:tc>
        <w:tc>
          <w:tcPr>
            <w:tcW w:type="dxa" w:w="5270"/>
          </w:tcPr>
          <w:p>
            <w:r>
              <w:rPr>
                <w:sz w:val="16"/>
              </w:rPr>
              <w:t>&gt;=2.30 g/cm3</w:t>
            </w:r>
          </w:p>
        </w:tc>
      </w:tr>
      <w:tr>
        <w:tc>
          <w:tcPr>
            <w:tcW w:type="dxa" w:w="5270"/>
          </w:tcPr>
          <w:p>
            <w:r>
              <w:rPr>
                <w:sz w:val="16"/>
              </w:rPr>
              <w:t>Carbon content</w:t>
            </w:r>
          </w:p>
        </w:tc>
        <w:tc>
          <w:tcPr>
            <w:tcW w:type="dxa" w:w="5270"/>
          </w:tcPr>
          <w:p>
            <w:r>
              <w:rPr>
                <w:sz w:val="16"/>
              </w:rPr>
              <w:t>1.0-1.8 wt%</w:t>
            </w:r>
          </w:p>
        </w:tc>
      </w:tr>
      <w:tr>
        <w:tc>
          <w:tcPr>
            <w:tcW w:type="dxa" w:w="5270"/>
          </w:tcPr>
          <w:p>
            <w:r>
              <w:rPr>
                <w:sz w:val="16"/>
              </w:rPr>
              <w:t>Moisture</w:t>
            </w:r>
          </w:p>
        </w:tc>
        <w:tc>
          <w:tcPr>
            <w:tcW w:type="dxa" w:w="5270"/>
          </w:tcPr>
          <w:p>
            <w:r>
              <w:rPr>
                <w:sz w:val="16"/>
              </w:rPr>
              <w:t>&lt;750 ppm</w:t>
            </w:r>
          </w:p>
        </w:tc>
      </w:tr>
      <w:tr>
        <w:tc>
          <w:tcPr>
            <w:tcW w:type="dxa" w:w="5270"/>
          </w:tcPr>
          <w:p>
            <w:r>
              <w:rPr>
                <w:sz w:val="16"/>
              </w:rPr>
              <w:t>Magnetic impurities</w:t>
            </w:r>
          </w:p>
        </w:tc>
        <w:tc>
          <w:tcPr>
            <w:tcW w:type="dxa" w:w="5270"/>
          </w:tcPr>
          <w:p>
            <w:r>
              <w:rPr>
                <w:sz w:val="16"/>
              </w:rPr>
              <w:t>&lt;=1000 ppb</w:t>
            </w:r>
          </w:p>
        </w:tc>
      </w:tr>
      <w:tr>
        <w:tc>
          <w:tcPr>
            <w:tcW w:type="dxa" w:w="5270"/>
          </w:tcPr>
          <w:p>
            <w:r>
              <w:rPr>
                <w:sz w:val="16"/>
              </w:rPr>
              <w:t>Discharge capacity (0.1C)</w:t>
            </w:r>
          </w:p>
        </w:tc>
        <w:tc>
          <w:tcPr>
            <w:tcW w:type="dxa" w:w="5270"/>
          </w:tcPr>
          <w:p>
            <w:r>
              <w:rPr>
                <w:sz w:val="16"/>
              </w:rPr>
              <w:t>&gt;=155 mAh/g</w:t>
            </w:r>
          </w:p>
        </w:tc>
      </w:tr>
      <w:tr>
        <w:tc>
          <w:tcPr>
            <w:tcW w:type="dxa" w:w="5270"/>
          </w:tcPr>
          <w:p>
            <w:r>
              <w:rPr>
                <w:sz w:val="16"/>
              </w:rPr>
              <w:t>Discharge capacity (1C)</w:t>
            </w:r>
          </w:p>
        </w:tc>
        <w:tc>
          <w:tcPr>
            <w:tcW w:type="dxa" w:w="5270"/>
          </w:tcPr>
          <w:p>
            <w:r>
              <w:rPr>
                <w:sz w:val="16"/>
              </w:rPr>
              <w:t>&gt;=140 mAh/g</w:t>
            </w:r>
          </w:p>
        </w:tc>
      </w:tr>
      <w:tr>
        <w:tc>
          <w:tcPr>
            <w:tcW w:type="dxa" w:w="5270"/>
          </w:tcPr>
          <w:p>
            <w:r>
              <w:rPr>
                <w:sz w:val="16"/>
              </w:rPr>
              <w:t>Initial Coulombic Efficiency (ICE)</w:t>
            </w:r>
          </w:p>
        </w:tc>
        <w:tc>
          <w:tcPr>
            <w:tcW w:type="dxa" w:w="5270"/>
          </w:tcPr>
          <w:p>
            <w:r>
              <w:rPr>
                <w:sz w:val="16"/>
              </w:rPr>
              <w:t>~98%</w:t>
            </w:r>
          </w:p>
        </w:tc>
      </w:tr>
      <w:tr>
        <w:tc>
          <w:tcPr>
            <w:tcW w:type="dxa" w:w="5270"/>
          </w:tcPr>
          <w:p>
            <w:r>
              <w:rPr>
                <w:sz w:val="16"/>
              </w:rPr>
              <w:t>Phase purity (olivine)</w:t>
            </w:r>
          </w:p>
        </w:tc>
        <w:tc>
          <w:tcPr>
            <w:tcW w:type="dxa" w:w="5270"/>
          </w:tcPr>
          <w:p>
            <w:r>
              <w:rPr>
                <w:sz w:val="16"/>
              </w:rPr>
              <w:t>&gt;98% by XRD Rietveld</w:t>
            </w:r>
          </w:p>
        </w:tc>
      </w:tr>
    </w:tbl>
    <w:p>
      <w:r>
        <w:rPr>
          <w:sz w:val="18"/>
        </w:rPr>
        <w:t>---</w:t>
      </w:r>
    </w:p>
    <w:p>
      <w:pPr>
        <w:pStyle w:val="Heading2"/>
      </w:pPr>
      <w:r>
        <w:t>0.4 Technology Scope and Chosen Solution</w:t>
      </w:r>
    </w:p>
    <w:p>
      <w:pPr>
        <w:pStyle w:val="Heading3"/>
      </w:pPr>
      <w:r>
        <w:t>Electrified Manufacturing</w:t>
      </w:r>
    </w:p>
    <w:p>
      <w:r>
        <w:rPr>
          <w:sz w:val="18"/>
        </w:rPr>
        <w:t xml:space="preserve">The central technology choice is a </w:t>
      </w:r>
      <w:r>
        <w:rPr>
          <w:b/>
          <w:sz w:val="18"/>
        </w:rPr>
        <w:t>progressive electrification strategy</w:t>
      </w:r>
      <w:r>
        <w:rPr>
          <w:sz w:val="18"/>
        </w:rPr>
        <w:t xml:space="preserve"> for process heat in spray drying and calcination — the two most energy-intensive steps in LFP CAM production. The plant is designed to maximise electricity use from day one while retaining limited natural gas capacity (189 m3/t LFP CAM in the initial configuration) for process steps where full electrification is not yet technically or economically feasible at production scale. This represents a fundamental departure from the gas-fired rotary kilns and gas-heated spray dryers used by all incumbent Chinese LFP CAM producers </w:t>
      </w:r>
      <w:r>
        <w:rPr>
          <w:color w:val="0066CC"/>
          <w:sz w:val="16"/>
        </w:rPr>
        <w:t>[CLM-001, SRC-022]</w:t>
      </w:r>
      <w:r>
        <w:rPr>
          <w:sz w:val="18"/>
        </w:rPr>
        <w:t>, achieving a significantly higher degree of electrification than the Asian gas-fired benchmark.</w:t>
      </w:r>
    </w:p>
    <w:p>
      <w:r>
        <w:rPr>
          <w:b/>
          <w:sz w:val="18"/>
        </w:rPr>
        <w:t>Spray drying electrification</w:t>
      </w:r>
      <w:r>
        <w:rPr>
          <w:sz w:val="18"/>
        </w:rPr>
        <w:t xml:space="preserve">: Heat pump-assisted pre-heating (high-temperature heat pump at COP 3.04-3.6 </w:t>
      </w:r>
      <w:r>
        <w:rPr>
          <w:color w:val="0066CC"/>
          <w:sz w:val="16"/>
        </w:rPr>
        <w:t>[SRC-ED-004, SRC-ED-005]</w:t>
      </w:r>
      <w:r>
        <w:rPr>
          <w:sz w:val="18"/>
        </w:rPr>
        <w:t xml:space="preserve">) combined with electric resistance or NIR final drying </w:t>
      </w:r>
      <w:r>
        <w:rPr>
          <w:color w:val="0066CC"/>
          <w:sz w:val="16"/>
        </w:rPr>
        <w:t>[SRC-ED-019]</w:t>
      </w:r>
      <w:r>
        <w:rPr>
          <w:sz w:val="18"/>
        </w:rPr>
        <w:t>, replacing natural gas burners.</w:t>
      </w:r>
    </w:p>
    <w:p>
      <w:r>
        <w:rPr>
          <w:b/>
          <w:sz w:val="18"/>
        </w:rPr>
        <w:t>Calcination electrification</w:t>
      </w:r>
      <w:r>
        <w:rPr>
          <w:sz w:val="18"/>
        </w:rPr>
        <w:t xml:space="preserve">: Electric roller hearth kiln operating at 600-700 C under N2 atmosphere, achieving 95% thermal efficiency versus 25-60% for gas-fired kilns </w:t>
      </w:r>
      <w:r>
        <w:rPr>
          <w:color w:val="0066CC"/>
          <w:sz w:val="16"/>
        </w:rPr>
        <w:t>[CLM-023]</w:t>
      </w:r>
      <w:r>
        <w:rPr>
          <w:sz w:val="18"/>
        </w:rPr>
        <w:t xml:space="preserve">. Electric roller hearth kilns are the established industrial standard for NMC CAM calcination (Jo et al., 2025; NGK vendor data </w:t>
      </w:r>
      <w:r>
        <w:rPr>
          <w:color w:val="0066CC"/>
          <w:sz w:val="16"/>
        </w:rPr>
        <w:t>[SRC-ED-010, SRC-ED-023]</w:t>
      </w:r>
      <w:r>
        <w:rPr>
          <w:sz w:val="18"/>
        </w:rPr>
        <w:t>) and are directly applicable to LFP calcination temperatures and atmosphere requirements.</w:t>
      </w:r>
    </w:p>
    <w:p>
      <w:r>
        <w:rPr>
          <w:b/>
          <w:sz w:val="18"/>
        </w:rPr>
        <w:t>Future-proof design rationale</w:t>
      </w:r>
      <w:r>
        <w:rPr>
          <w:sz w:val="18"/>
        </w:rPr>
        <w:t xml:space="preserve">: Italy's current grid carbon intensity (~310 gCO2/kWh) is marginal for GHG benefits versus gas combustion. However, the plant is designed for a 20+ year operational life. Italy's NECP trajectory projects grid intensity declining to ~146 gCO2/kWh by 2030 and ~30-60 gCO2/kWh by 2035 (G7 commitment). Electrification now locks in infrastructure compatible with the decarbonised grid of the 2030s, before fossil-fuel-based process heating becomes stranded </w:t>
      </w:r>
      <w:r>
        <w:rPr>
          <w:color w:val="0066CC"/>
          <w:sz w:val="16"/>
        </w:rPr>
        <w:t>[CLM-030]</w:t>
      </w:r>
      <w:r>
        <w:rPr>
          <w:sz w:val="18"/>
        </w:rPr>
        <w:t>.</w:t>
      </w:r>
    </w:p>
    <w:p>
      <w:pPr>
        <w:pStyle w:val="Heading3"/>
      </w:pPr>
      <w:r>
        <w:t>ISO 23247 Digital Twin Integration</w:t>
      </w:r>
    </w:p>
    <w:p>
      <w:r>
        <w:rPr>
          <w:sz w:val="18"/>
        </w:rPr>
        <w:t xml:space="preserve">The production plant integrates an </w:t>
      </w:r>
      <w:r>
        <w:rPr>
          <w:b/>
          <w:sz w:val="18"/>
        </w:rPr>
        <w:t>ISO 23247-compliant digital twin</w:t>
      </w:r>
      <w:r>
        <w:rPr>
          <w:sz w:val="18"/>
        </w:rPr>
        <w:t xml:space="preserve"> — the first for LFP CAM powder synthesis </w:t>
      </w:r>
      <w:r>
        <w:rPr>
          <w:color w:val="0066CC"/>
          <w:sz w:val="16"/>
        </w:rPr>
        <w:t>[CLM-005]</w:t>
      </w:r>
      <w:r>
        <w:rPr>
          <w:sz w:val="18"/>
        </w:rPr>
        <w:t xml:space="preserve">. The digital twin architecture follows the ISO 23247 four-layer model </w:t>
      </w:r>
      <w:r>
        <w:rPr>
          <w:color w:val="0066CC"/>
          <w:sz w:val="16"/>
        </w:rPr>
        <w:t>[SRC-007, SRC-008]</w:t>
      </w:r>
      <w:r>
        <w:rPr>
          <w:sz w:val="18"/>
        </w:rPr>
        <w:t>:</w:t>
      </w:r>
    </w:p>
    <w:p>
      <w:pPr>
        <w:pStyle w:val="ListNumber"/>
      </w:pPr>
      <w:r>
        <w:rPr>
          <w:b/>
          <w:sz w:val="18"/>
        </w:rPr>
        <w:t>Observable Manufacturing Element (OME)</w:t>
      </w:r>
      <w:r>
        <w:rPr>
          <w:sz w:val="18"/>
        </w:rPr>
        <w:t>: The 7-step physical production line instrumented with PAT sensors</w:t>
      </w:r>
    </w:p>
    <w:p>
      <w:pPr>
        <w:pStyle w:val="ListNumber"/>
      </w:pPr>
      <w:r>
        <w:rPr>
          <w:b/>
          <w:sz w:val="18"/>
        </w:rPr>
        <w:t>Data Collection and Device Control (DCDC)</w:t>
      </w:r>
      <w:r>
        <w:rPr>
          <w:sz w:val="18"/>
        </w:rPr>
        <w:t>: Edge gateways, OPC-UA/MQTT protocols, PLC interfaces for real-time bidirectional data exchange</w:t>
      </w:r>
    </w:p>
    <w:p>
      <w:pPr>
        <w:pStyle w:val="ListNumber"/>
      </w:pPr>
      <w:r>
        <w:rPr>
          <w:b/>
          <w:sz w:val="18"/>
        </w:rPr>
        <w:t>Digital Twin Core Entity</w:t>
      </w:r>
      <w:r>
        <w:rPr>
          <w:sz w:val="18"/>
        </w:rPr>
        <w:t xml:space="preserve">: Multi-scale physics-based models (CALPHAD thermodynamics, CFD for calcination, population balance models, DEM for milling, reaction kinetics) integrated with machine learning surrogates for real-time prediction </w:t>
      </w:r>
      <w:r>
        <w:rPr>
          <w:color w:val="0066CC"/>
          <w:sz w:val="16"/>
        </w:rPr>
        <w:t>[CLM-018]</w:t>
      </w:r>
    </w:p>
    <w:p>
      <w:pPr>
        <w:pStyle w:val="ListNumber"/>
      </w:pPr>
      <w:r>
        <w:rPr>
          <w:b/>
          <w:sz w:val="18"/>
        </w:rPr>
        <w:t>User Entity</w:t>
      </w:r>
      <w:r>
        <w:rPr>
          <w:sz w:val="18"/>
        </w:rPr>
        <w:t>: Model-predictive control (MPC) interfaces, quality prediction dashboards, predictive maintenance modules</w:t>
      </w:r>
    </w:p>
    <w:p>
      <w:r>
        <w:rPr>
          <w:sz w:val="18"/>
        </w:rPr>
        <w:t xml:space="preserve">The DT core entity implements a </w:t>
      </w:r>
      <w:r>
        <w:rPr>
          <w:b/>
          <w:sz w:val="18"/>
        </w:rPr>
        <w:t>QbD/PAT framework adapted from pharmaceutical manufacturing</w:t>
      </w:r>
      <w:r>
        <w:rPr>
          <w:sz w:val="18"/>
        </w:rPr>
        <w:t xml:space="preserve"> (ICH Q8), systematically mapping Critical Quality Attributes (D50, BET, phase purity, carbon content, capacity) to Critical Process Parameters across all 7 process steps </w:t>
      </w:r>
      <w:r>
        <w:rPr>
          <w:color w:val="0066CC"/>
          <w:sz w:val="16"/>
        </w:rPr>
        <w:t>[CLM-009]</w:t>
      </w:r>
      <w:r>
        <w:rPr>
          <w:sz w:val="18"/>
        </w:rPr>
        <w:t xml:space="preserve">. In-line sensors (Raman spectroscopy, FBRM, pyrometry, O2 monitoring) feed real-time data to the DT for closed-loop process adjustment </w:t>
      </w:r>
      <w:r>
        <w:rPr>
          <w:color w:val="0066CC"/>
          <w:sz w:val="16"/>
        </w:rPr>
        <w:t>[CLM-019]</w:t>
      </w:r>
      <w:r>
        <w:rPr>
          <w:sz w:val="18"/>
        </w:rPr>
        <w:t>.</w:t>
      </w:r>
    </w:p>
    <w:p>
      <w:pPr>
        <w:pStyle w:val="Heading3"/>
      </w:pPr>
      <w:r>
        <w:t>Why Electrified Manufacturing Over Gas-Fired Alternatives</w:t>
      </w:r>
    </w:p>
    <w:p>
      <w:r>
        <w:rPr>
          <w:sz w:val="18"/>
        </w:rPr>
        <w:t>The choice of electrified process heat over the incumbent gas-fired approach is driven by three converging factors:</w:t>
      </w:r>
    </w:p>
    <w:p>
      <w:pPr>
        <w:pStyle w:val="ListNumber"/>
      </w:pPr>
      <w:r>
        <w:rPr>
          <w:b/>
          <w:sz w:val="18"/>
        </w:rPr>
        <w:t>Climate alignment</w:t>
      </w:r>
      <w:r>
        <w:rPr>
          <w:sz w:val="18"/>
        </w:rPr>
        <w:t xml:space="preserve">: Per Section 1.3.4 of the Innovation Fund GHG methodology, the GHG avoidance is calculated on the use phase of the manufactured battery components (ESS systems containing LFP CAM), not on the manufacturing plant itself. The plant's progressive electrification (66.6% at entry into operation) nonetheless delivers a substantially lower product carbon footprint than gas-fired competitors, strengthening the innovation case and long-term competitiveness. As Italy's grid decarbonises (~146 gCO2/kWh by 2030), the electrified plant's embedded carbon advantage compounds </w:t>
      </w:r>
      <w:r>
        <w:rPr>
          <w:color w:val="0066CC"/>
          <w:sz w:val="16"/>
        </w:rPr>
        <w:t>[CLM-026]</w:t>
      </w:r>
      <w:r>
        <w:rPr>
          <w:sz w:val="18"/>
        </w:rPr>
        <w:t>.</w:t>
      </w:r>
    </w:p>
    <w:p>
      <w:pPr>
        <w:pStyle w:val="ListNumber"/>
      </w:pPr>
      <w:r>
        <w:rPr>
          <w:b/>
          <w:sz w:val="18"/>
        </w:rPr>
        <w:t>Process quality advantage</w:t>
      </w:r>
      <w:r>
        <w:rPr>
          <w:sz w:val="18"/>
        </w:rPr>
        <w:t xml:space="preserve">: Electric heating provides superior temperature uniformity compared to gas flame heating. In LFP calcination, temperature variations of as little as 50 C can shift the product from phase-pure olivine to impurity-contaminated material (Li3PO4, Fe2P above 800 C) </w:t>
      </w:r>
      <w:r>
        <w:rPr>
          <w:color w:val="0066CC"/>
          <w:sz w:val="16"/>
        </w:rPr>
        <w:t>[SRC-011, CLM-020]</w:t>
      </w:r>
      <w:r>
        <w:rPr>
          <w:sz w:val="18"/>
        </w:rPr>
        <w:t>. Electric roller hearth kilns enable zone-by-zone temperature control with precision compatible with DT-driven MPC, a capability that gas-fired rotary kilns cannot match.</w:t>
      </w:r>
    </w:p>
    <w:p>
      <w:pPr>
        <w:pStyle w:val="ListNumber"/>
      </w:pPr>
      <w:r>
        <w:rPr>
          <w:b/>
          <w:sz w:val="18"/>
        </w:rPr>
        <w:t>Stranded asset avoidance</w:t>
      </w:r>
      <w:r>
        <w:rPr>
          <w:sz w:val="18"/>
        </w:rPr>
        <w:t>: A gas-fired plant built today would face escalating carbon costs under the EU ETS, potential regulatory restrictions on new fossil fuel infrastructure, and eventual conversion costs. Electrifying from the outset eliminates these risks and positions the plant as a first mover in clean LFP CAM manufacturing.</w:t>
      </w:r>
    </w:p>
    <w:p>
      <w:pPr>
        <w:pStyle w:val="Heading3"/>
      </w:pPr>
      <w:r>
        <w:t>Critical Interfaces Between Technical Components</w:t>
      </w:r>
    </w:p>
    <w:p>
      <w:r>
        <w:rPr>
          <w:sz w:val="18"/>
        </w:rPr>
        <w:t>The technical architecture involves three critical interfaces that determine system performance:</w:t>
      </w:r>
    </w:p>
    <w:p>
      <w:r>
        <w:rPr>
          <w:b/>
          <w:sz w:val="18"/>
        </w:rPr>
        <w:t>Interface 1: PAT sensors to DT (DCDC layer)</w:t>
      </w:r>
      <w:r>
        <w:rPr>
          <w:sz w:val="18"/>
        </w:rPr>
        <w:t>: The sensor network generates approximately 50-100 data streams at frequencies ranging from 0.1 Hz (at-line XRD) to 10 Hz (IR camera). The OPC-UA/MQTT data pipeline must aggregate, timestamp, and deliver this data to the DT core within 100 ms for real-time applications. Edge computing nodes at each major process step (spray dryer, kiln, mill) perform initial signal processing and anomaly detection before cloud transmission.</w:t>
      </w:r>
    </w:p>
    <w:p>
      <w:r>
        <w:rPr>
          <w:b/>
          <w:sz w:val="18"/>
        </w:rPr>
        <w:t>Interface 2: DT core to MPC (User Entity layer)</w:t>
      </w:r>
      <w:r>
        <w:rPr>
          <w:sz w:val="18"/>
        </w:rPr>
        <w:t>: The physics-based surrogate models in the DT core compute quality predictions and optimal setpoints. These must be translated to PLC-compatible control signals via the MPC interface. The MPC operates on a receding-horizon basis: 5-15 minute horizons for calcination (thermal inertia), 1-3 minute horizons for spray drying (faster dynamics), and millisecond-level for milling classifier speed. Process constraints (temperature limits, atmosphere limits, equipment rated capacities) are encoded as hard constraints in the MPC optimisation.</w:t>
      </w:r>
    </w:p>
    <w:p>
      <w:r>
        <w:rPr>
          <w:b/>
          <w:sz w:val="18"/>
        </w:rPr>
        <w:t>Interface 3: Electric RHK to atmosphere control</w:t>
      </w:r>
      <w:r>
        <w:rPr>
          <w:sz w:val="18"/>
        </w:rPr>
        <w:t>: The kiln atmosphere (N2 with pO2 &lt;10 ppm) must be maintained while allowing product entry and exit via the roller conveyor. Gas-tight sealing at kiln entry/exit zones, N2 curtain flow, and continuous pO2 monitoring with automatic N2 purge response form the critical path. The DT models kiln atmosphere dynamics to predict and pre-empt O2 ingress events.</w:t>
      </w:r>
    </w:p>
    <w:p>
      <w:pPr>
        <w:pStyle w:val="Heading3"/>
      </w:pPr>
      <w:r>
        <w:t>Construction, Operation, and Maintenance</w:t>
      </w:r>
    </w:p>
    <w:p>
      <w:r>
        <w:rPr>
          <w:b/>
          <w:sz w:val="18"/>
        </w:rPr>
        <w:t>Construction phase</w:t>
      </w:r>
      <w:r>
        <w:rPr>
          <w:sz w:val="18"/>
        </w:rPr>
        <w:t xml:space="preserve"> (target: 24 months from FID): Brownfield site preparation, equipment procurement and installation (spray dryer, electric roller hearth kiln, jet mill, PAT sensor network, DT computing infrastructure), commissioning and process qualification.</w:t>
      </w:r>
    </w:p>
    <w:p>
      <w:r>
        <w:rPr>
          <w:b/>
          <w:sz w:val="18"/>
        </w:rPr>
        <w:t>Operation</w:t>
      </w:r>
      <w:r>
        <w:rPr>
          <w:sz w:val="18"/>
        </w:rPr>
        <w:t xml:space="preserve">: Continuous production with batch calcination cycles. The DT enables condition-based monitoring of all critical equipment, reducing unplanned downtime through predictive maintenance — a benefit demonstrated at 20-50% downtime reduction in comparable process industry DT deployments </w:t>
      </w:r>
      <w:r>
        <w:rPr>
          <w:color w:val="0066CC"/>
          <w:sz w:val="16"/>
        </w:rPr>
        <w:t>[CLM-007]</w:t>
      </w:r>
      <w:r>
        <w:rPr>
          <w:sz w:val="18"/>
        </w:rPr>
        <w:t>.</w:t>
      </w:r>
    </w:p>
    <w:p>
      <w:r>
        <w:rPr>
          <w:b/>
          <w:sz w:val="18"/>
        </w:rPr>
        <w:t>Maintenance</w:t>
      </w:r>
      <w:r>
        <w:rPr>
          <w:sz w:val="18"/>
        </w:rPr>
        <w:t>: Condition-based maintenance driven by DT-derived equipment health indicators, replacing calendar-based maintenance schedules. Virtual sensing capabilities allow monitoring of parameters that cannot be directly measured in real-time (e.g., internal kiln atmosphere composition gradients), extending sensor coverage without additional hardware.</w:t>
      </w:r>
    </w:p>
    <w:p>
      <w:pPr>
        <w:pStyle w:val="Heading3"/>
      </w:pPr>
      <w:r>
        <w:t>Safety, Reliability, and Technical Performance</w:t>
      </w:r>
    </w:p>
    <w:p>
      <w:r>
        <w:rPr>
          <w:b/>
          <w:sz w:val="18"/>
        </w:rPr>
        <w:t>Safety</w:t>
      </w:r>
      <w:r>
        <w:rPr>
          <w:sz w:val="18"/>
        </w:rPr>
        <w:t>: LFP CAM production operates below 700 C under inert atmosphere — significantly lower risk than NMC synthesis (which requires reactive lithium hydroxide and temperatures to 950 C). The inert atmosphere (N2) and the progressive electrification design (minimising on-site gas combustion) reduce fire and explosion risk compared to fully gas-fired equivalents. A comprehensive safety programme including HAZID/HAZOP studies and ATEX (explosive atmosphere) assessment is mandated for the detailed engineering phase, addressing powder handling safety, dust control, and residual gas infrastructure. Standard industrial safety protocols for powder handling (dust explosion prevention), chemical handling (lithium carbonate, iron phosphate), and high-temperature equipment apply. The facility will be managed under ISO 45001 occupational health and safety standards.</w:t>
      </w:r>
    </w:p>
    <w:p>
      <w:r>
        <w:rPr>
          <w:b/>
          <w:sz w:val="18"/>
        </w:rPr>
        <w:t>Reliability</w:t>
      </w:r>
      <w:r>
        <w:rPr>
          <w:sz w:val="18"/>
        </w:rPr>
        <w:t xml:space="preserve">: The DT-driven predictive maintenance approach targets &gt;92% overall equipment effectiveness (OEE), compared to industry averages of 75-85% for batch chemical manufacturing. Electric heating elements (SiC, Kanthal Tubothal/Fibrothal) have demonstrated lifetimes exceeding 10,000 operating hours at temperatures up to 1100 C </w:t>
      </w:r>
      <w:r>
        <w:rPr>
          <w:color w:val="0066CC"/>
          <w:sz w:val="16"/>
        </w:rPr>
        <w:t>[SRC-ED-009]</w:t>
      </w:r>
      <w:r>
        <w:rPr>
          <w:sz w:val="18"/>
        </w:rPr>
        <w:t>.</w:t>
      </w:r>
    </w:p>
    <w:p>
      <w:r>
        <w:rPr>
          <w:b/>
          <w:sz w:val="18"/>
        </w:rPr>
        <w:t>Technical performance</w:t>
      </w:r>
      <w:r>
        <w:rPr>
          <w:sz w:val="18"/>
        </w:rPr>
        <w:t>: The product quality specifications (Section 0.3) define the design space within which the DT's MPC system operates. The closed-loop control architecture ensures that process excursions are detected and corrected within a single control cycle (target: &lt;60 seconds for calcination temperature, &lt;5 minutes for spray drying outlet conditions), maintaining product quality within specification without operator intervention.</w:t>
      </w:r>
    </w:p>
    <w:p>
      <w:r>
        <w:br w:type="page"/>
      </w:r>
    </w:p>
    <w:p>
      <w:pPr>
        <w:spacing w:before="120" w:after="120"/>
        <w:shd w:val="clear" w:color="auto" w:fill="FFF3CD"/>
      </w:pPr>
      <w:r>
        <w:rPr>
          <w:b/>
          <w:color w:val="856304"/>
          <w:sz w:val="16"/>
        </w:rPr>
        <w:t xml:space="preserve">[REVIEWER NOTES] </w:t>
      </w:r>
      <w:r>
        <w:rPr>
          <w:color w:val="856304"/>
          <w:sz w:val="16"/>
        </w:rPr>
        <w:t>CLAIMS REFERENCED: CLM-001, CLM-003, CLM-005, CLM-006, CLM-007, CLM-008, CLM-010, CLM-013, CLM-016, CLM-017, CLM-018, CLM-019, CLM-020, CLM-021, CLM-023, CLM-024, CLM-026, CLM-028, CLM-029, CLM-030</w:t>
        <w:br/>
      </w:r>
      <w:r>
        <w:rPr>
          <w:color w:val="856304"/>
          <w:sz w:val="16"/>
        </w:rPr>
        <w:t>SOURCES CITED: SRC-001, SRC-002, SRC-003, SRC-004, SRC-006, SRC-007, SRC-008, SRC-009, SRC-010, SRC-011, SRC-014, SRC-016, SRC-017, SRC-018, SRC-019, SRC-020, SRC-022, SRC-023, SRC-025, SRC-028</w:t>
        <w:br/>
      </w:r>
      <w:r>
        <w:rPr>
          <w:color w:val="856304"/>
          <w:sz w:val="16"/>
        </w:rPr>
        <w:t xml:space="preserve">  ... and 12 more</w:t>
        <w:br/>
      </w:r>
      <w:r>
        <w:rPr>
          <w:color w:val="856304"/>
          <w:sz w:val="16"/>
        </w:rPr>
        <w:t>WORD COUNT: 5402</w:t>
        <w:br/>
      </w:r>
    </w:p>
    <w:p>
      <w:pPr>
        <w:pStyle w:val="Heading1"/>
      </w:pPr>
      <w:r>
        <w:t>Section 1: Degree of Innovation</w:t>
      </w:r>
    </w:p>
    <w:p>
      <w:r>
        <w:rPr>
          <w:b/>
          <w:sz w:val="18"/>
        </w:rPr>
        <w:t>Scoring: 15 pts x 2 weight = 30 weighted pts | Minimum pass: 9/15 | CASCADE GATE</w:t>
      </w:r>
    </w:p>
    <w:p>
      <w:pPr>
        <w:pStyle w:val="Heading2"/>
      </w:pPr>
      <w:r>
        <w:t>1.1 Innovation in Relation to the State of the Art</w:t>
      </w:r>
    </w:p>
    <w:p>
      <w:pPr>
        <w:pStyle w:val="Heading3"/>
      </w:pPr>
      <w:r>
        <w:t>Commercial State-of-the-Art</w:t>
      </w:r>
    </w:p>
    <w:p>
      <w:r>
        <w:rPr>
          <w:sz w:val="18"/>
        </w:rPr>
        <w:t xml:space="preserve">Global LFP cathode active material production is dominated by Chinese manufacturers. CATL, BYD, Gotion High-Tech, and Dynanonic collectively control over 99% of global capacity </w:t>
      </w:r>
      <w:r>
        <w:rPr>
          <w:color w:val="0066CC"/>
          <w:sz w:val="16"/>
        </w:rPr>
        <w:t>[CLM-001]</w:t>
      </w:r>
      <w:r>
        <w:rPr>
          <w:sz w:val="18"/>
        </w:rPr>
        <w:t xml:space="preserve">, with all commercial-scale plants located in China </w:t>
      </w:r>
      <w:r>
        <w:rPr>
          <w:color w:val="0066CC"/>
          <w:sz w:val="16"/>
        </w:rPr>
        <w:t>[SRC-022, SRC-023]</w:t>
      </w:r>
      <w:r>
        <w:rPr>
          <w:sz w:val="18"/>
        </w:rPr>
        <w:t xml:space="preserve">. No European manufacturer operates a commercial LFP CAM production line </w:t>
      </w:r>
      <w:r>
        <w:rPr>
          <w:color w:val="0066CC"/>
          <w:sz w:val="16"/>
        </w:rPr>
        <w:t>[CLM-003]</w:t>
      </w:r>
      <w:r>
        <w:rPr>
          <w:sz w:val="18"/>
        </w:rPr>
        <w:t>.</w:t>
      </w:r>
    </w:p>
    <w:p>
      <w:r>
        <w:rPr>
          <w:sz w:val="18"/>
        </w:rPr>
        <w:t>The commercial production process at incumbent Chinese facilities follows a well-established pattern:</w:t>
      </w:r>
    </w:p>
    <w:p>
      <w:pPr>
        <w:pStyle w:val="ListBullet"/>
      </w:pPr>
      <w:r>
        <w:rPr>
          <w:b/>
          <w:sz w:val="18"/>
        </w:rPr>
        <w:t>Thermal processing</w:t>
      </w:r>
      <w:r>
        <w:rPr>
          <w:sz w:val="18"/>
        </w:rPr>
        <w:t xml:space="preserve">: Natural gas-fired rotary kilns for calcination at 600-700 C and gas-heated spray dryers for precursor drying. Gas-fired kilns achieve 25-60% thermal efficiency depending on heat recovery configuration </w:t>
      </w:r>
      <w:r>
        <w:rPr>
          <w:color w:val="0066CC"/>
          <w:sz w:val="16"/>
        </w:rPr>
        <w:t>[CLM-023, SRC-ED-009]</w:t>
      </w:r>
      <w:r>
        <w:rPr>
          <w:sz w:val="18"/>
        </w:rPr>
        <w:t>. Gas combustion introduces combustion products into the kiln atmosphere, complicating the strict pO2 control (&lt;10 ppm under N2) required for phase-pure olivine formation.</w:t>
      </w:r>
    </w:p>
    <w:p>
      <w:pPr>
        <w:pStyle w:val="ListBullet"/>
      </w:pPr>
      <w:r>
        <w:rPr>
          <w:b/>
          <w:sz w:val="18"/>
        </w:rPr>
        <w:t>Process control</w:t>
      </w:r>
      <w:r>
        <w:rPr>
          <w:sz w:val="18"/>
        </w:rPr>
        <w:t xml:space="preserve">: Recipe-based, empirical approaches. Calcination temperature profiles, dwell times, and atmosphere conditions are fixed based on historical production experience. Process adjustment occurs between batches based on offline quality testing of finished product, not during production. Wang et al. (2023, 50 citations) explicitly identified the gap in theoretical models and in-line monitoring for industrial cathode precursor synthesis </w:t>
      </w:r>
      <w:r>
        <w:rPr>
          <w:color w:val="0066CC"/>
          <w:sz w:val="16"/>
        </w:rPr>
        <w:t>[SRC-028, CLM-013]</w:t>
      </w:r>
      <w:r>
        <w:rPr>
          <w:sz w:val="18"/>
        </w:rPr>
        <w:t>.</w:t>
      </w:r>
    </w:p>
    <w:p>
      <w:pPr>
        <w:pStyle w:val="ListBullet"/>
      </w:pPr>
      <w:r>
        <w:rPr>
          <w:b/>
          <w:sz w:val="18"/>
        </w:rPr>
        <w:t>Quality assurance</w:t>
      </w:r>
      <w:r>
        <w:rPr>
          <w:sz w:val="18"/>
        </w:rPr>
        <w:t>: Offline batch testing after production completion. Critical quality attributes (D50, BET, phase purity, carbon content, discharge capacity) are measured at-line or off-line using XRD, BET analysis, particle size analysis, and electrochemical testing. There is no real-time, in-process quality prediction capability in current commercial LFP CAM production.</w:t>
      </w:r>
    </w:p>
    <w:p>
      <w:pPr>
        <w:pStyle w:val="ListBullet"/>
      </w:pPr>
      <w:r>
        <w:rPr>
          <w:b/>
          <w:sz w:val="18"/>
        </w:rPr>
        <w:t>Digital integration</w:t>
      </w:r>
      <w:r>
        <w:rPr>
          <w:sz w:val="18"/>
        </w:rPr>
        <w:t xml:space="preserve">: No published evidence of integrated digital twin technology deployed in any commercial LFP CAM production facility. Chinese producers may have unpublished proprietary systems, but systematic searches across two independent review papers (Ayerbe et al., 2021 </w:t>
      </w:r>
      <w:r>
        <w:rPr>
          <w:color w:val="0066CC"/>
          <w:sz w:val="16"/>
        </w:rPr>
        <w:t>[SRC-001]</w:t>
      </w:r>
      <w:r>
        <w:rPr>
          <w:sz w:val="18"/>
        </w:rPr>
        <w:t xml:space="preserve">; Dubarry et al., 2023 </w:t>
      </w:r>
      <w:r>
        <w:rPr>
          <w:color w:val="0066CC"/>
          <w:sz w:val="16"/>
        </w:rPr>
        <w:t>[SRC-002]</w:t>
      </w:r>
      <w:r>
        <w:rPr>
          <w:sz w:val="18"/>
        </w:rPr>
        <w:t xml:space="preserve">), the patent landscape (12 patents analysed including CNIPA), and a 35-page deep-dive technical report </w:t>
      </w:r>
      <w:r>
        <w:rPr>
          <w:color w:val="0066CC"/>
          <w:sz w:val="16"/>
        </w:rPr>
        <w:t>[SRC-DT-REPORT]</w:t>
      </w:r>
      <w:r>
        <w:rPr>
          <w:sz w:val="18"/>
        </w:rPr>
        <w:t xml:space="preserve"> confirm this gap. The ARTISTIC group (U. Picardie Jules Verne) explicitly scoped their work to electrode manufacturing, not CAM synthesis </w:t>
      </w:r>
      <w:r>
        <w:rPr>
          <w:color w:val="0066CC"/>
          <w:sz w:val="16"/>
        </w:rPr>
        <w:t>[SRC-004, CLM-006]</w:t>
      </w:r>
      <w:r>
        <w:rPr>
          <w:sz w:val="18"/>
        </w:rPr>
        <w:t>.</w:t>
      </w:r>
    </w:p>
    <w:p>
      <w:r>
        <w:rPr>
          <w:b/>
          <w:sz w:val="18"/>
        </w:rPr>
        <w:t>Innovation Fund portfolio context</w:t>
      </w:r>
      <w:r>
        <w:rPr>
          <w:sz w:val="18"/>
        </w:rPr>
        <w:t xml:space="preserve">: FREYR Battery received EUR 122M (October 2024) for a 30,000 t/yr LFP CAM facility in Vaasa, Finland </w:t>
      </w:r>
      <w:r>
        <w:rPr>
          <w:color w:val="0066CC"/>
          <w:sz w:val="16"/>
        </w:rPr>
        <w:t>[SRC-025]</w:t>
      </w:r>
      <w:r>
        <w:rPr>
          <w:sz w:val="18"/>
        </w:rPr>
        <w:t xml:space="preserve">. However, FREYR has not specified progressive electrification of process heat, has not reached FID for Vaasa, and is currently prioritising its US Giga America facility </w:t>
      </w:r>
      <w:r>
        <w:rPr>
          <w:color w:val="0066CC"/>
          <w:sz w:val="16"/>
        </w:rPr>
        <w:t>[CLM-029]</w:t>
      </w:r>
      <w:r>
        <w:rPr>
          <w:sz w:val="18"/>
        </w:rPr>
        <w:t>. The FAAM-ENI project differentiates on three axes: (i) progressively electrified process heat (66.6% electrification at entry into operation, with a roadmap to &gt;95%); (ii) integrated ISO 23247 digital twin; and (iii) a more advanced project maturity trajectory with a committed brownfield site and co-investor (Eni).</w:t>
      </w:r>
    </w:p>
    <w:p>
      <w:pPr>
        <w:pStyle w:val="Heading3"/>
      </w:pPr>
      <w:r>
        <w:t>Technological State-of-the-Art</w:t>
      </w:r>
    </w:p>
    <w:p>
      <w:r>
        <w:rPr>
          <w:sz w:val="18"/>
        </w:rPr>
        <w:t>The technological frontier relevant to this project spans three domains: digital twins for battery manufacturing, electrification of industrial process heat, and process analytical technology for powder manufacturing.</w:t>
      </w:r>
    </w:p>
    <w:p>
      <w:pPr>
        <w:pStyle w:val="Heading4"/>
      </w:pPr>
      <w:r>
        <w:t>Digital Twins in Battery Manufacturing</w:t>
      </w:r>
    </w:p>
    <w:p>
      <w:r>
        <w:rPr>
          <w:sz w:val="18"/>
        </w:rPr>
        <w:t>Three principal DT implementations define the technological state-of-the-art:</w:t>
      </w:r>
    </w:p>
    <w:p>
      <w:r>
        <w:rPr>
          <w:b/>
          <w:sz w:val="18"/>
        </w:rPr>
        <w:t>ARTISTIC Platform</w:t>
      </w:r>
      <w:r>
        <w:rPr>
          <w:sz w:val="18"/>
        </w:rPr>
        <w:t xml:space="preserve"> (Franco group, Universite de Picardie Jules Verne; ERC-funded) </w:t>
      </w:r>
      <w:r>
        <w:rPr>
          <w:color w:val="0066CC"/>
          <w:sz w:val="16"/>
        </w:rPr>
        <w:t>[SRC-003, SRC-004]</w:t>
      </w:r>
      <w:r>
        <w:rPr>
          <w:sz w:val="18"/>
        </w:rPr>
        <w:t xml:space="preserve">: The most comprehensive DT for battery electrode manufacturing. Employs a multi-scale simulation chain: coarse-grained molecular dynamics for slurry preparation, lattice models for coating/drying, discrete element method (DEM) for calendering, lattice Boltzmann method (LBM) for electrolyte filling, and finite element method (FEM, Newman P2D) for electrochemical performance. Validated for NMC111, NMC622, LFP, graphite, and silicon-graphite electrodes. Key achievement: Bayesian optimisation-driven inverse design finds optimal manufacturing parameters in fewer than 50 iterations (Duquesnoy et al., 2022, 81 citations in Energy Storage Materials </w:t>
      </w:r>
      <w:r>
        <w:rPr>
          <w:color w:val="0066CC"/>
          <w:sz w:val="16"/>
        </w:rPr>
        <w:t>[SRC-004]</w:t>
      </w:r>
      <w:r>
        <w:rPr>
          <w:sz w:val="18"/>
        </w:rPr>
        <w:t xml:space="preserve">). </w:t>
      </w:r>
      <w:r>
        <w:rPr>
          <w:b/>
          <w:sz w:val="18"/>
        </w:rPr>
        <w:t>Critical limitation</w:t>
      </w:r>
      <w:r>
        <w:rPr>
          <w:sz w:val="18"/>
        </w:rPr>
        <w:t xml:space="preserve">: ARTISTIC addresses electrode-level manufacturing (slurry to cell), not upstream CAM powder synthesis from precursors </w:t>
      </w:r>
      <w:r>
        <w:rPr>
          <w:color w:val="0066CC"/>
          <w:sz w:val="16"/>
        </w:rPr>
        <w:t>[CLM-006]</w:t>
      </w:r>
      <w:r>
        <w:rPr>
          <w:sz w:val="18"/>
        </w:rPr>
        <w:t>.</w:t>
      </w:r>
    </w:p>
    <w:p>
      <w:r>
        <w:rPr>
          <w:b/>
          <w:sz w:val="18"/>
        </w:rPr>
        <w:t>TwinHeat</w:t>
      </w:r>
      <w:r>
        <w:rPr>
          <w:sz w:val="18"/>
        </w:rPr>
        <w:t xml:space="preserve"> (MINES Paris industrial chair) </w:t>
      </w:r>
      <w:r>
        <w:rPr>
          <w:color w:val="0066CC"/>
          <w:sz w:val="16"/>
        </w:rPr>
        <w:t>[SRC-DT-REPORT]</w:t>
      </w:r>
      <w:r>
        <w:rPr>
          <w:sz w:val="18"/>
        </w:rPr>
        <w:t xml:space="preserve">: Industrial DTs for heat treatment optimisation of furnaces. Uses a dual AI loop: (1) CFD-generated training data combined with neural network surrogates for real-time temperature prediction, and (2) deep reinforcement learning for energy-optimal furnace control. Has demonstrated 10-15% energy reduction and &lt;1 C prediction accuracy on carburising, nitriding, and quenching furnaces </w:t>
      </w:r>
      <w:r>
        <w:rPr>
          <w:color w:val="0066CC"/>
          <w:sz w:val="16"/>
        </w:rPr>
        <w:t>[CLM-016]</w:t>
      </w:r>
      <w:r>
        <w:rPr>
          <w:sz w:val="18"/>
        </w:rPr>
        <w:t xml:space="preserve">. The approach is directly transferable to calcination furnace DT, substituting carburising chemistry with LFP reaction kinetics. </w:t>
      </w:r>
      <w:r>
        <w:rPr>
          <w:b/>
          <w:sz w:val="18"/>
        </w:rPr>
        <w:t>Critical limitation</w:t>
      </w:r>
      <w:r>
        <w:rPr>
          <w:sz w:val="18"/>
        </w:rPr>
        <w:t>: Applied to metallurgical heat treatment, not battery CAM synthesis.</w:t>
      </w:r>
    </w:p>
    <w:p>
      <w:r>
        <w:rPr>
          <w:b/>
          <w:sz w:val="18"/>
        </w:rPr>
        <w:t>Fraunhofer ITWM DiBaZ</w:t>
      </w:r>
      <w:r>
        <w:rPr>
          <w:sz w:val="18"/>
        </w:rPr>
        <w:t xml:space="preserve"> </w:t>
      </w:r>
      <w:r>
        <w:rPr>
          <w:color w:val="0066CC"/>
          <w:sz w:val="16"/>
        </w:rPr>
        <w:t>[SRC-DT-REPORT]</w:t>
      </w:r>
      <w:r>
        <w:rPr>
          <w:sz w:val="18"/>
        </w:rPr>
        <w:t xml:space="preserve">: DT covering all process steps in battery cell production, from electrode coating through formation. Includes inline CT quality control, physics-based drying/calendering/filling models, and autoencoder-based anomaly detection. Fraunhofer FFB has reported a 10.3% scrap rate reduction using DT-guided process optimisation </w:t>
      </w:r>
      <w:r>
        <w:rPr>
          <w:color w:val="0066CC"/>
          <w:sz w:val="16"/>
        </w:rPr>
        <w:t>[CLM-017]</w:t>
      </w:r>
      <w:r>
        <w:rPr>
          <w:sz w:val="18"/>
        </w:rPr>
        <w:t xml:space="preserve">. </w:t>
      </w:r>
      <w:r>
        <w:rPr>
          <w:b/>
          <w:sz w:val="18"/>
        </w:rPr>
        <w:t>Critical limitation</w:t>
      </w:r>
      <w:r>
        <w:rPr>
          <w:sz w:val="18"/>
        </w:rPr>
        <w:t>: Covers cell-level production, not CAM powder synthesis.</w:t>
      </w:r>
    </w:p>
    <w:p>
      <w:r>
        <w:rPr>
          <w:b/>
          <w:sz w:val="18"/>
        </w:rPr>
        <w:t>Li et al. (2024)</w:t>
      </w:r>
      <w:r>
        <w:rPr>
          <w:sz w:val="18"/>
        </w:rPr>
        <w:t xml:space="preserve"> </w:t>
      </w:r>
      <w:r>
        <w:rPr>
          <w:color w:val="0066CC"/>
          <w:sz w:val="16"/>
        </w:rPr>
        <w:t>[SRC-006]</w:t>
      </w:r>
      <w:r>
        <w:rPr>
          <w:sz w:val="18"/>
        </w:rPr>
        <w:t>: DT for LFP battery pack assembly line optimisation — 3D digital representation enabling production flow simulation. Addresses pack assembly only.</w:t>
      </w:r>
    </w:p>
    <w:p>
      <w:r>
        <w:rPr>
          <w:b/>
          <w:sz w:val="18"/>
        </w:rPr>
        <w:t>Ma et al. (2023)</w:t>
      </w:r>
      <w:r>
        <w:rPr>
          <w:sz w:val="18"/>
        </w:rPr>
        <w:t xml:space="preserve"> </w:t>
      </w:r>
      <w:r>
        <w:rPr>
          <w:color w:val="0066CC"/>
          <w:sz w:val="16"/>
        </w:rPr>
        <w:t>[SRC-014]</w:t>
      </w:r>
      <w:r>
        <w:rPr>
          <w:sz w:val="18"/>
        </w:rPr>
        <w:t>: Predictive model for NMC811 sintering furnace integrating chemical reactions, thermal conduction, and CFD. Validated with &lt;10% error. Represents a physics-based process model applicable to calcination but was not implemented as an integrated DT.</w:t>
      </w:r>
    </w:p>
    <w:p>
      <w:r>
        <w:rPr>
          <w:b/>
          <w:sz w:val="18"/>
        </w:rPr>
        <w:t>The gap</w:t>
      </w:r>
      <w:r>
        <w:rPr>
          <w:sz w:val="18"/>
        </w:rPr>
        <w:t xml:space="preserve">: No published or patented digital twin exists for upstream CAM powder production from precursors </w:t>
      </w:r>
      <w:r>
        <w:rPr>
          <w:color w:val="0066CC"/>
          <w:sz w:val="16"/>
        </w:rPr>
        <w:t>[CLM-005]</w:t>
      </w:r>
      <w:r>
        <w:rPr>
          <w:sz w:val="18"/>
        </w:rPr>
        <w:t xml:space="preserve">. The spray drying to calcination to milling chain — where final CAM quality is determined — has no DT coverage in the literature. This gap is confirmed by two independent review papers (Ayerbe et al., 2021, 124 citations </w:t>
      </w:r>
      <w:r>
        <w:rPr>
          <w:color w:val="0066CC"/>
          <w:sz w:val="16"/>
        </w:rPr>
        <w:t>[SRC-001]</w:t>
      </w:r>
      <w:r>
        <w:rPr>
          <w:sz w:val="18"/>
        </w:rPr>
        <w:t xml:space="preserve">; Dubarry et al., 2023, 38 citations in Joule </w:t>
      </w:r>
      <w:r>
        <w:rPr>
          <w:color w:val="0066CC"/>
          <w:sz w:val="16"/>
        </w:rPr>
        <w:t>[SRC-002]</w:t>
      </w:r>
      <w:r>
        <w:rPr>
          <w:sz w:val="18"/>
        </w:rPr>
        <w:t xml:space="preserve">) and the comprehensive deep-dive report </w:t>
      </w:r>
      <w:r>
        <w:rPr>
          <w:color w:val="0066CC"/>
          <w:sz w:val="16"/>
        </w:rPr>
        <w:t>[SRC-DT-REPORT]</w:t>
      </w:r>
      <w:r>
        <w:rPr>
          <w:sz w:val="18"/>
        </w:rPr>
        <w:t>.</w:t>
      </w:r>
    </w:p>
    <w:p>
      <w:pPr>
        <w:pStyle w:val="Heading4"/>
      </w:pPr>
      <w:r>
        <w:t>ISO 23247 Digital Manufacturing Framework</w:t>
      </w:r>
    </w:p>
    <w:p>
      <w:r>
        <w:rPr>
          <w:sz w:val="18"/>
        </w:rPr>
        <w:t xml:space="preserve">ISO 23247 (2021) defines the reference architecture for manufacturing DTs through a four-layer functional model </w:t>
      </w:r>
      <w:r>
        <w:rPr>
          <w:color w:val="0066CC"/>
          <w:sz w:val="16"/>
        </w:rPr>
        <w:t>[SRC-007, SRC-008]</w:t>
      </w:r>
      <w:r>
        <w:rPr>
          <w:sz w:val="18"/>
        </w:rPr>
        <w:t>. Published implementations include:</w:t>
      </w:r>
    </w:p>
    <w:p>
      <w:pPr>
        <w:pStyle w:val="ListBullet"/>
      </w:pPr>
      <w:r>
        <w:rPr>
          <w:sz w:val="18"/>
        </w:rPr>
        <w:t xml:space="preserve">Shao (2021, NIST): Three use cases on the NIST Smart Manufacturing Systems Test Bed for CNC machining — the definitive ISO 23247 reference (43 citations) </w:t>
      </w:r>
      <w:r>
        <w:rPr>
          <w:color w:val="0066CC"/>
          <w:sz w:val="16"/>
        </w:rPr>
        <w:t>[SRC-007]</w:t>
      </w:r>
    </w:p>
    <w:p>
      <w:pPr>
        <w:pStyle w:val="ListBullet"/>
      </w:pPr>
      <w:r>
        <w:rPr>
          <w:sz w:val="18"/>
        </w:rPr>
        <w:t xml:space="preserve">Cabral et al. (2023): ISO 23247-compliant DT for CNC milling centre using MQTT and MTConnect </w:t>
      </w:r>
      <w:r>
        <w:rPr>
          <w:color w:val="0066CC"/>
          <w:sz w:val="16"/>
        </w:rPr>
        <w:t>[SRC-009]</w:t>
      </w:r>
    </w:p>
    <w:p>
      <w:pPr>
        <w:pStyle w:val="ListBullet"/>
      </w:pPr>
      <w:r>
        <w:rPr>
          <w:sz w:val="18"/>
        </w:rPr>
        <w:t xml:space="preserve">Melo et al. (2024): ISO 23247-compliant DT for automotive body shop inspection enabling zero defect manufacturing </w:t>
      </w:r>
      <w:r>
        <w:rPr>
          <w:color w:val="0066CC"/>
          <w:sz w:val="16"/>
        </w:rPr>
        <w:t>[SRC-010]</w:t>
      </w:r>
    </w:p>
    <w:p>
      <w:r>
        <w:rPr>
          <w:b/>
          <w:sz w:val="18"/>
        </w:rPr>
        <w:t>All published ISO 23247 implementations are in discrete manufacturing</w:t>
      </w:r>
      <w:r>
        <w:rPr>
          <w:sz w:val="18"/>
        </w:rPr>
        <w:t xml:space="preserve"> (machining, assembly) or additive manufacturing. No peer-reviewed implementation exists for thermal/chemical powder synthesis processes </w:t>
      </w:r>
      <w:r>
        <w:rPr>
          <w:color w:val="0066CC"/>
          <w:sz w:val="16"/>
        </w:rPr>
        <w:t>[CLM-008]</w:t>
      </w:r>
      <w:r>
        <w:rPr>
          <w:sz w:val="18"/>
        </w:rPr>
        <w:t>. Applying ISO 23247 to continuous/batch chemical manufacturing where the standard must accommodate reaction kinetics feedback, atmosphere control, and multi-phase transformations is an undemonstrated extension.</w:t>
      </w:r>
    </w:p>
    <w:p>
      <w:pPr>
        <w:pStyle w:val="Heading4"/>
      </w:pPr>
      <w:r>
        <w:t>Electrification of Industrial Process Heat</w:t>
      </w:r>
    </w:p>
    <w:p>
      <w:r>
        <w:rPr>
          <w:sz w:val="18"/>
        </w:rPr>
        <w:t xml:space="preserve">Industrial process heating accounts for approximately 20% of global CO2 emissions </w:t>
      </w:r>
      <w:r>
        <w:rPr>
          <w:color w:val="0066CC"/>
          <w:sz w:val="16"/>
        </w:rPr>
        <w:t>[CLM-010, SRC-018]</w:t>
      </w:r>
      <w:r>
        <w:rPr>
          <w:sz w:val="18"/>
        </w:rPr>
        <w:t xml:space="preserve">. Electrification technologies for high-temperature heat (&gt;400 C) are technically proven </w:t>
      </w:r>
      <w:r>
        <w:rPr>
          <w:color w:val="0066CC"/>
          <w:sz w:val="16"/>
        </w:rPr>
        <w:t>[SRC-016, SRC-017]</w:t>
      </w:r>
      <w:r>
        <w:rPr>
          <w:sz w:val="18"/>
        </w:rPr>
        <w:t>:</w:t>
      </w:r>
    </w:p>
    <w:p>
      <w:pPr>
        <w:pStyle w:val="ListBullet"/>
      </w:pPr>
      <w:r>
        <w:rPr>
          <w:sz w:val="18"/>
        </w:rPr>
        <w:t xml:space="preserve">Electric resistance heating: mature at TRL 7-9 for kilns, achieving 95% thermal efficiency versus 25-60% for gas </w:t>
      </w:r>
      <w:r>
        <w:rPr>
          <w:color w:val="0066CC"/>
          <w:sz w:val="16"/>
        </w:rPr>
        <w:t>[CLM-023, SRC-ED-009]</w:t>
      </w:r>
    </w:p>
    <w:p>
      <w:pPr>
        <w:pStyle w:val="ListBullet"/>
      </w:pPr>
      <w:r>
        <w:rPr>
          <w:sz w:val="18"/>
        </w:rPr>
        <w:t xml:space="preserve">Electric roller hearth kilns: the established industrial standard for NMC CAM calcination, with validated CFD models (Jo et al., 2025 </w:t>
      </w:r>
      <w:r>
        <w:rPr>
          <w:color w:val="0066CC"/>
          <w:sz w:val="16"/>
        </w:rPr>
        <w:t>[SRC-ED-010]</w:t>
      </w:r>
      <w:r>
        <w:rPr>
          <w:sz w:val="18"/>
        </w:rPr>
        <w:t xml:space="preserve">) and commercial equipment (NGK </w:t>
      </w:r>
      <w:r>
        <w:rPr>
          <w:color w:val="0066CC"/>
          <w:sz w:val="16"/>
        </w:rPr>
        <w:t>[SRC-ED-023]</w:t>
      </w:r>
      <w:r>
        <w:rPr>
          <w:sz w:val="18"/>
        </w:rPr>
        <w:t>)</w:t>
      </w:r>
    </w:p>
    <w:p>
      <w:pPr>
        <w:pStyle w:val="ListBullet"/>
      </w:pPr>
      <w:r>
        <w:rPr>
          <w:sz w:val="18"/>
        </w:rPr>
        <w:t xml:space="preserve">High-temperature heat pumps (HTHP): demonstrated at COP 3.04-3.6 for spray dryer pre-heating </w:t>
      </w:r>
      <w:r>
        <w:rPr>
          <w:color w:val="0066CC"/>
          <w:sz w:val="16"/>
        </w:rPr>
        <w:t>[SRC-ED-004, SRC-ED-005]</w:t>
      </w:r>
    </w:p>
    <w:p>
      <w:r>
        <w:rPr>
          <w:sz w:val="18"/>
        </w:rPr>
        <w:t xml:space="preserve">Electrified calcination has been demonstrated in cement (Liu et al., 2023 </w:t>
      </w:r>
      <w:r>
        <w:rPr>
          <w:color w:val="0066CC"/>
          <w:sz w:val="16"/>
        </w:rPr>
        <w:t>[SRC-019]</w:t>
      </w:r>
      <w:r>
        <w:rPr>
          <w:sz w:val="18"/>
        </w:rPr>
        <w:t xml:space="preserve">) and lime (Dylong et al., 2025 </w:t>
      </w:r>
      <w:r>
        <w:rPr>
          <w:color w:val="0066CC"/>
          <w:sz w:val="16"/>
        </w:rPr>
        <w:t>[SRC-020]</w:t>
      </w:r>
      <w:r>
        <w:rPr>
          <w:sz w:val="18"/>
        </w:rPr>
        <w:t xml:space="preserve">). Kanthal (Sandvik Group) documents 95% thermal efficiency for electric kilns versus 25-60% for gas kilns in battery material applications </w:t>
      </w:r>
      <w:r>
        <w:rPr>
          <w:color w:val="0066CC"/>
          <w:sz w:val="16"/>
        </w:rPr>
        <w:t>[SRC-ED-009]</w:t>
      </w:r>
      <w:r>
        <w:rPr>
          <w:sz w:val="18"/>
        </w:rPr>
        <w:t>.</w:t>
      </w:r>
    </w:p>
    <w:p>
      <w:r>
        <w:rPr>
          <w:b/>
          <w:sz w:val="18"/>
        </w:rPr>
        <w:t>The gap</w:t>
      </w:r>
      <w:r>
        <w:rPr>
          <w:sz w:val="18"/>
        </w:rPr>
        <w:t>: No published work validates progressively electrified process heat (spray drying + calcination) specifically for LFP CAM synthesis at production scale [GAP-003]. Electric roller hearth kilns exist; HTHP-assisted spray drying exists; the specific combination applied to LFP CAM with its strict atmosphere (pO2 &lt;10 ppm), temperature profile (600-700 C), and product quality requirements (phase-pure olivine) has not been demonstrated.</w:t>
      </w:r>
    </w:p>
    <w:p>
      <w:r>
        <w:rPr>
          <w:sz w:val="18"/>
        </w:rPr>
        <w:t>---</w:t>
      </w:r>
    </w:p>
    <w:p>
      <w:pPr>
        <w:pStyle w:val="Heading3"/>
      </w:pPr>
      <w:r>
        <w:t>Innovation Beyond the State-of-the-Art</w:t>
      </w:r>
    </w:p>
    <w:p>
      <w:r>
        <w:rPr>
          <w:sz w:val="18"/>
        </w:rPr>
        <w:t>The FAAM-ENI project delivers innovation across four pillars — plus a transformative structural innovation — each addressing a documented gap in the current state-of-the-art. The innovation is not incremental: it creates capabilities that do not currently exist at any scale, combining technologies that have been proven independently but never integrated for LFP CAM manufacturing.</w:t>
      </w:r>
    </w:p>
    <w:p>
      <w:r>
        <w:rPr>
          <w:b/>
          <w:sz w:val="18"/>
        </w:rPr>
        <w:t>Structural Innovation: Vertically Integrated Mine-to-Grid Value Chain</w:t>
      </w:r>
    </w:p>
    <w:p>
      <w:r>
        <w:rPr>
          <w:sz w:val="18"/>
        </w:rPr>
        <w:t>Beyond the four technology pillars, the project embodies a structural innovation of strategic significance: the LFP CAM plant is co-located with a planned FIB-Eni joint venture battery cell and BESS manufacturing facility at the same Brindisi site. The full value chain — LFP CAM production (this project), battery cell manufacturing (JV factory), BESS system assembly (JV factory), and Italian grid deployment (Eni) — operates within a single consortium and industrial site. This vertically integrated architecture is unprecedented in the European battery sector and delivers compounding innovation benefits: (i) immediate quality feedback from cell manufacturing to CAM process optimisation via the DT, enabling a closed-loop quality improvement cycle that no standalone CAM producer can replicate; (ii) secured internal offtake eliminating market risk; and (iii) an end-to-end European battery value chain from raw materials to grid-deployed energy storage, directly serving EU strategic autonomy objectives. This is not merely a CAM factory — it is an integrated clean energy manufacturing hub.</w:t>
      </w:r>
    </w:p>
    <w:p>
      <w:pPr>
        <w:pStyle w:val="Heading4"/>
      </w:pPr>
      <w:r>
        <w:t>Innovation Pillar 1: First Digital Twin for LFP CAM Powder Synthesis [NOV-001]</w:t>
      </w:r>
    </w:p>
    <w:p>
      <w:r>
        <w:rPr>
          <w:i/>
          <w:sz w:val="18"/>
        </w:rPr>
        <w:t>Defensibility score: 8/10 — highest novelty anchor</w:t>
      </w:r>
    </w:p>
    <w:p>
      <w:r>
        <w:rPr>
          <w:b/>
          <w:sz w:val="18"/>
        </w:rPr>
        <w:t>What is new</w:t>
      </w:r>
      <w:r>
        <w:rPr>
          <w:sz w:val="18"/>
        </w:rPr>
        <w:t xml:space="preserve">: An integrated digital twin spanning the full LFP CAM production chain — from spray drying through calcination to jet milling — providing real-time quality prediction and closed-loop process control. This fills the documented gap between electrode-level DTs (ARTISTIC </w:t>
      </w:r>
      <w:r>
        <w:rPr>
          <w:color w:val="0066CC"/>
          <w:sz w:val="16"/>
        </w:rPr>
        <w:t>[SRC-004]</w:t>
      </w:r>
      <w:r>
        <w:rPr>
          <w:sz w:val="18"/>
        </w:rPr>
        <w:t xml:space="preserve">) and cell-level DTs (DiBaZ </w:t>
      </w:r>
      <w:r>
        <w:rPr>
          <w:color w:val="0066CC"/>
          <w:sz w:val="16"/>
        </w:rPr>
        <w:t>[SRC-DT-REPORT]</w:t>
      </w:r>
      <w:r>
        <w:rPr>
          <w:sz w:val="18"/>
        </w:rPr>
        <w:t>).</w:t>
      </w:r>
    </w:p>
    <w:p>
      <w:r>
        <w:rPr>
          <w:b/>
          <w:sz w:val="18"/>
        </w:rPr>
        <w:t>Multi-scale modelling framework</w:t>
      </w:r>
      <w:r>
        <w:rPr>
          <w:sz w:val="18"/>
        </w:rPr>
        <w:t>: The DT core entity implements a physics-based modelling hierarchy that bridges six length scales: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Scale</w:t>
            </w:r>
          </w:p>
        </w:tc>
        <w:tc>
          <w:tcPr>
            <w:tcW w:type="dxa" w:w="2635"/>
          </w:tcPr>
          <w:p>
            <w:r>
              <w:rPr>
                <w:b/>
                <w:sz w:val="16"/>
              </w:rPr>
              <w:t>Method</w:t>
            </w:r>
          </w:p>
        </w:tc>
        <w:tc>
          <w:tcPr>
            <w:tcW w:type="dxa" w:w="2635"/>
          </w:tcPr>
          <w:p>
            <w:r>
              <w:rPr>
                <w:b/>
                <w:sz w:val="16"/>
              </w:rPr>
              <w:t>Application in LFP DT</w:t>
            </w:r>
          </w:p>
        </w:tc>
        <w:tc>
          <w:tcPr>
            <w:tcW w:type="dxa" w:w="2635"/>
          </w:tcPr>
          <w:p>
            <w:r>
              <w:rPr>
                <w:b/>
                <w:sz w:val="16"/>
              </w:rPr>
              <w:t>Key outputs</w:t>
            </w:r>
          </w:p>
        </w:tc>
      </w:tr>
      <w:tr>
        <w:tc>
          <w:tcPr>
            <w:tcW w:type="dxa" w:w="2635"/>
          </w:tcPr>
          <w:p>
            <w:r>
              <w:rPr>
                <w:sz w:val="16"/>
              </w:rPr>
              <w:t>Atomistic</w:t>
            </w:r>
          </w:p>
        </w:tc>
        <w:tc>
          <w:tcPr>
            <w:tcW w:type="dxa" w:w="2635"/>
          </w:tcPr>
          <w:p>
            <w:r>
              <w:rPr>
                <w:sz w:val="16"/>
              </w:rPr>
              <w:t>DFT (VASP/Quantum ESPRESSO)</w:t>
            </w:r>
          </w:p>
        </w:tc>
        <w:tc>
          <w:tcPr>
            <w:tcW w:type="dxa" w:w="2635"/>
          </w:tcPr>
          <w:p>
            <w:r>
              <w:rPr>
                <w:sz w:val="16"/>
              </w:rPr>
              <w:t>LFP olivine formation energetics, defect energies, Li+ migration barriers</w:t>
            </w:r>
          </w:p>
        </w:tc>
        <w:tc>
          <w:tcPr>
            <w:tcW w:type="dxa" w:w="2635"/>
          </w:tcPr>
          <w:p>
            <w:r>
              <w:rPr>
                <w:sz w:val="16"/>
              </w:rPr>
              <w:t>Thermodynamic parameters, diffusion coefficients</w:t>
            </w:r>
          </w:p>
        </w:tc>
      </w:tr>
      <w:tr>
        <w:tc>
          <w:tcPr>
            <w:tcW w:type="dxa" w:w="2635"/>
          </w:tcPr>
          <w:p>
            <w:r>
              <w:rPr>
                <w:sz w:val="16"/>
              </w:rPr>
              <w:t>Molecular</w:t>
            </w:r>
          </w:p>
        </w:tc>
        <w:tc>
          <w:tcPr>
            <w:tcW w:type="dxa" w:w="2635"/>
          </w:tcPr>
          <w:p>
            <w:r>
              <w:rPr>
                <w:sz w:val="16"/>
              </w:rPr>
              <w:t>Molecular dynamics</w:t>
            </w:r>
          </w:p>
        </w:tc>
        <w:tc>
          <w:tcPr>
            <w:tcW w:type="dxa" w:w="2635"/>
          </w:tcPr>
          <w:p>
            <w:r>
              <w:rPr>
                <w:sz w:val="16"/>
              </w:rPr>
              <w:t>Carbon coating pyrolysis mechanisms, surface adsorption</w:t>
            </w:r>
          </w:p>
        </w:tc>
        <w:tc>
          <w:tcPr>
            <w:tcW w:type="dxa" w:w="2635"/>
          </w:tcPr>
          <w:p>
            <w:r>
              <w:rPr>
                <w:sz w:val="16"/>
              </w:rPr>
              <w:t>Carbon coating quality parameters</w:t>
            </w:r>
          </w:p>
        </w:tc>
      </w:tr>
      <w:tr>
        <w:tc>
          <w:tcPr>
            <w:tcW w:type="dxa" w:w="2635"/>
          </w:tcPr>
          <w:p>
            <w:r>
              <w:rPr>
                <w:sz w:val="16"/>
              </w:rPr>
              <w:t>Mesoscale</w:t>
            </w:r>
          </w:p>
        </w:tc>
        <w:tc>
          <w:tcPr>
            <w:tcW w:type="dxa" w:w="2635"/>
          </w:tcPr>
          <w:p>
            <w:r>
              <w:rPr>
                <w:sz w:val="16"/>
              </w:rPr>
              <w:t>Phase-field / kinetic Monte Carlo</w:t>
            </w:r>
          </w:p>
        </w:tc>
        <w:tc>
          <w:tcPr>
            <w:tcW w:type="dxa" w:w="2635"/>
          </w:tcPr>
          <w:p>
            <w:r>
              <w:rPr>
                <w:sz w:val="16"/>
              </w:rPr>
              <w:t>Nucleation and grain growth kinetics during calcination</w:t>
            </w:r>
          </w:p>
        </w:tc>
        <w:tc>
          <w:tcPr>
            <w:tcW w:type="dxa" w:w="2635"/>
          </w:tcPr>
          <w:p>
            <w:r>
              <w:rPr>
                <w:sz w:val="16"/>
              </w:rPr>
              <w:t>Grain size distribution, phase evolution</w:t>
            </w:r>
          </w:p>
        </w:tc>
      </w:tr>
      <w:tr>
        <w:tc>
          <w:tcPr>
            <w:tcW w:type="dxa" w:w="2635"/>
          </w:tcPr>
          <w:p>
            <w:r>
              <w:rPr>
                <w:sz w:val="16"/>
              </w:rPr>
              <w:t>Continuum</w:t>
            </w:r>
          </w:p>
        </w:tc>
        <w:tc>
          <w:tcPr>
            <w:tcW w:type="dxa" w:w="2635"/>
          </w:tcPr>
          <w:p>
            <w:r>
              <w:rPr>
                <w:sz w:val="16"/>
              </w:rPr>
              <w:t>CFD + PBM + reaction kinetics</w:t>
            </w:r>
          </w:p>
        </w:tc>
        <w:tc>
          <w:tcPr>
            <w:tcW w:type="dxa" w:w="2635"/>
          </w:tcPr>
          <w:p>
            <w:r>
              <w:rPr>
                <w:sz w:val="16"/>
              </w:rPr>
              <w:t>Calcination kiln heat/mass transfer; spray dryer droplet drying; Jander/Avrami reaction kinetics</w:t>
            </w:r>
          </w:p>
        </w:tc>
        <w:tc>
          <w:tcPr>
            <w:tcW w:type="dxa" w:w="2635"/>
          </w:tcPr>
          <w:p>
            <w:r>
              <w:rPr>
                <w:sz w:val="16"/>
              </w:rPr>
              <w:t>Temperature profiles, conversion rates, particle size evolution</w:t>
            </w:r>
          </w:p>
        </w:tc>
      </w:tr>
      <w:tr>
        <w:tc>
          <w:tcPr>
            <w:tcW w:type="dxa" w:w="2635"/>
          </w:tcPr>
          <w:p>
            <w:r>
              <w:rPr>
                <w:sz w:val="16"/>
              </w:rPr>
              <w:t>Equipment</w:t>
            </w:r>
          </w:p>
        </w:tc>
        <w:tc>
          <w:tcPr>
            <w:tcW w:type="dxa" w:w="2635"/>
          </w:tcPr>
          <w:p>
            <w:r>
              <w:rPr>
                <w:sz w:val="16"/>
              </w:rPr>
              <w:t>DEM for jet milling</w:t>
            </w:r>
          </w:p>
        </w:tc>
        <w:tc>
          <w:tcPr>
            <w:tcW w:type="dxa" w:w="2635"/>
          </w:tcPr>
          <w:p>
            <w:r>
              <w:rPr>
                <w:sz w:val="16"/>
              </w:rPr>
              <w:t>Particle breakage and classification</w:t>
            </w:r>
          </w:p>
        </w:tc>
        <w:tc>
          <w:tcPr>
            <w:tcW w:type="dxa" w:w="2635"/>
          </w:tcPr>
          <w:p>
            <w:r>
              <w:rPr>
                <w:sz w:val="16"/>
              </w:rPr>
              <w:t>Milled particle size distribution (D50, D90)</w:t>
            </w:r>
          </w:p>
        </w:tc>
      </w:tr>
      <w:tr>
        <w:tc>
          <w:tcPr>
            <w:tcW w:type="dxa" w:w="2635"/>
          </w:tcPr>
          <w:p>
            <w:r>
              <w:rPr>
                <w:sz w:val="16"/>
              </w:rPr>
              <w:t>Plant</w:t>
            </w:r>
          </w:p>
        </w:tc>
        <w:tc>
          <w:tcPr>
            <w:tcW w:type="dxa" w:w="2635"/>
          </w:tcPr>
          <w:p>
            <w:r>
              <w:rPr>
                <w:sz w:val="16"/>
              </w:rPr>
              <w:t>Flowsheet simulation (Aspen Plus/gPROMS)</w:t>
            </w:r>
          </w:p>
        </w:tc>
        <w:tc>
          <w:tcPr>
            <w:tcW w:type="dxa" w:w="2635"/>
          </w:tcPr>
          <w:p>
            <w:r>
              <w:rPr>
                <w:sz w:val="16"/>
              </w:rPr>
              <w:t>Mass/energy balance, throughput optimisation</w:t>
            </w:r>
          </w:p>
        </w:tc>
        <w:tc>
          <w:tcPr>
            <w:tcW w:type="dxa" w:w="2635"/>
          </w:tcPr>
          <w:p>
            <w:r>
              <w:rPr>
                <w:sz w:val="16"/>
              </w:rPr>
              <w:t>Production rate, energy consumption, yield</w:t>
            </w:r>
          </w:p>
        </w:tc>
      </w:tr>
    </w:tbl>
    <w:p>
      <w:r>
        <w:rPr>
          <w:sz w:val="18"/>
        </w:rPr>
        <w:t xml:space="preserve">The multi-scale chain does not run in real-time at all scales simultaneously. DFT and mesoscale calculations are performed offline to generate material property databases and calibration parameters. These feed into continuum-scale surrogate models (neural network approximations of CFD and PBM solutions, trained on high-fidelity simulation datasets) that execute in real-time (&lt;1 second inference) for closed-loop control </w:t>
      </w:r>
      <w:r>
        <w:rPr>
          <w:color w:val="0066CC"/>
          <w:sz w:val="16"/>
        </w:rPr>
        <w:t>[CLM-018]</w:t>
      </w:r>
      <w:r>
        <w:rPr>
          <w:sz w:val="18"/>
        </w:rPr>
        <w:t xml:space="preserve">. This surrogate-based hierarchy is the approach validated by TwinHeat for furnace control (achieving &lt;1 C prediction accuracy </w:t>
      </w:r>
      <w:r>
        <w:rPr>
          <w:color w:val="0066CC"/>
          <w:sz w:val="16"/>
        </w:rPr>
        <w:t>[CLM-016]</w:t>
      </w:r>
      <w:r>
        <w:rPr>
          <w:sz w:val="18"/>
        </w:rPr>
        <w:t>) — here extended to chemical powder synthesis for the first time.</w:t>
      </w:r>
    </w:p>
    <w:p>
      <w:r>
        <w:rPr>
          <w:b/>
          <w:sz w:val="18"/>
        </w:rPr>
        <w:t>Real-time ISO 23247 Layer 4 process twin</w:t>
      </w:r>
      <w:r>
        <w:rPr>
          <w:sz w:val="18"/>
        </w:rPr>
        <w:t xml:space="preserve">: The DT implements the ISO 23247 four-layer architecture mapped onto the 7-step LFP CAM production line </w:t>
      </w:r>
      <w:r>
        <w:rPr>
          <w:color w:val="0066CC"/>
          <w:sz w:val="16"/>
        </w:rPr>
        <w:t>[CLM-008]</w:t>
      </w:r>
      <w:r>
        <w:rPr>
          <w:sz w:val="18"/>
        </w:rPr>
        <w:t>:</w:t>
      </w:r>
    </w:p>
    <w:p>
      <w:pPr>
        <w:pStyle w:val="ListBullet"/>
      </w:pPr>
      <w:r>
        <w:rPr>
          <w:b/>
          <w:sz w:val="18"/>
        </w:rPr>
        <w:t>Layer 1 (OME)</w:t>
      </w:r>
      <w:r>
        <w:rPr>
          <w:sz w:val="18"/>
        </w:rPr>
        <w:t>: Physical production equipment instrumented with PAT sensors at each process step</w:t>
      </w:r>
    </w:p>
    <w:p>
      <w:pPr>
        <w:pStyle w:val="ListBullet"/>
      </w:pPr>
      <w:r>
        <w:rPr>
          <w:b/>
          <w:sz w:val="18"/>
        </w:rPr>
        <w:t>Layer 2 (DCDC)</w:t>
      </w:r>
      <w:r>
        <w:rPr>
          <w:sz w:val="18"/>
        </w:rPr>
        <w:t>: OPC-UA/MQTT data exchange, edge computing nodes (latency &lt;100 ms), PLC/SCADA integration</w:t>
      </w:r>
    </w:p>
    <w:p>
      <w:pPr>
        <w:pStyle w:val="ListBullet"/>
      </w:pPr>
      <w:r>
        <w:rPr>
          <w:b/>
          <w:sz w:val="18"/>
        </w:rPr>
        <w:t>Layer 3 (Core DT)</w:t>
      </w:r>
      <w:r>
        <w:rPr>
          <w:sz w:val="18"/>
        </w:rPr>
        <w:t>: Physics-informed surrogate models for each unit operation; multi-fidelity uncertainty quantification; state estimation combining sensor data with model predictions via ensemble Kalman filtering</w:t>
      </w:r>
    </w:p>
    <w:p>
      <w:pPr>
        <w:pStyle w:val="ListBullet"/>
      </w:pPr>
      <w:r>
        <w:rPr>
          <w:b/>
          <w:sz w:val="18"/>
        </w:rPr>
        <w:t>Layer 4 (User Entity)</w:t>
      </w:r>
      <w:r>
        <w:rPr>
          <w:sz w:val="18"/>
        </w:rPr>
        <w:t>: Model-predictive control (MPC) for calcination temperature profile, spray drying parameters, and milling energy; quality prediction dashboards; predictive maintenance</w:t>
      </w:r>
    </w:p>
    <w:p>
      <w:r>
        <w:rPr>
          <w:b/>
          <w:sz w:val="18"/>
        </w:rPr>
        <w:t>Closed-loop MPC using physics-based + ML hybrid models</w:t>
      </w:r>
      <w:r>
        <w:rPr>
          <w:sz w:val="18"/>
        </w:rPr>
        <w:t>: The MPC controller operates on a receding-horizon optimisation that minimises a cost function combining product quality deviation (from CQA targets), energy consumption, and throughput. The controller receives real-time sensor data, updates state estimates through the physics-informed surrogate, and computes optimal setpoint trajectories for the next control horizon (5-15 minutes for calcination, 1-3 minutes for spray drying).</w:t>
      </w:r>
    </w:p>
    <w:p>
      <w:r>
        <w:rPr>
          <w:b/>
          <w:sz w:val="18"/>
        </w:rPr>
        <w:t>PAT integration</w:t>
      </w:r>
      <w:r>
        <w:rPr>
          <w:sz w:val="18"/>
        </w:rPr>
        <w:t xml:space="preserve">: The DT ingests data from in-line and at-line sensors deployed across the production chain </w:t>
      </w:r>
      <w:r>
        <w:rPr>
          <w:color w:val="0066CC"/>
          <w:sz w:val="16"/>
        </w:rPr>
        <w:t>[CLM-019]</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Sensor</w:t>
            </w:r>
          </w:p>
        </w:tc>
        <w:tc>
          <w:tcPr>
            <w:tcW w:type="dxa" w:w="2635"/>
          </w:tcPr>
          <w:p>
            <w:r>
              <w:rPr>
                <w:b/>
                <w:sz w:val="16"/>
              </w:rPr>
              <w:t>Measurement</w:t>
            </w:r>
          </w:p>
        </w:tc>
        <w:tc>
          <w:tcPr>
            <w:tcW w:type="dxa" w:w="2635"/>
          </w:tcPr>
          <w:p>
            <w:r>
              <w:rPr>
                <w:b/>
                <w:sz w:val="16"/>
              </w:rPr>
              <w:t>Location</w:t>
            </w:r>
          </w:p>
        </w:tc>
        <w:tc>
          <w:tcPr>
            <w:tcW w:type="dxa" w:w="2635"/>
          </w:tcPr>
          <w:p>
            <w:r>
              <w:rPr>
                <w:b/>
                <w:sz w:val="16"/>
              </w:rPr>
              <w:t>Update rate</w:t>
            </w:r>
          </w:p>
        </w:tc>
      </w:tr>
      <w:tr>
        <w:tc>
          <w:tcPr>
            <w:tcW w:type="dxa" w:w="2635"/>
          </w:tcPr>
          <w:p>
            <w:r>
              <w:rPr>
                <w:sz w:val="16"/>
              </w:rPr>
              <w:t>Raman spectroscopy</w:t>
            </w:r>
          </w:p>
        </w:tc>
        <w:tc>
          <w:tcPr>
            <w:tcW w:type="dxa" w:w="2635"/>
          </w:tcPr>
          <w:p>
            <w:r>
              <w:rPr>
                <w:sz w:val="16"/>
              </w:rPr>
              <w:t>Olivine phase (950 cm-1), carbon D/G ratio, impurities</w:t>
            </w:r>
          </w:p>
        </w:tc>
        <w:tc>
          <w:tcPr>
            <w:tcW w:type="dxa" w:w="2635"/>
          </w:tcPr>
          <w:p>
            <w:r>
              <w:rPr>
                <w:sz w:val="16"/>
              </w:rPr>
              <w:t>Post-calcination (at-line)</w:t>
            </w:r>
          </w:p>
        </w:tc>
        <w:tc>
          <w:tcPr>
            <w:tcW w:type="dxa" w:w="2635"/>
          </w:tcPr>
          <w:p>
            <w:r>
              <w:rPr>
                <w:sz w:val="16"/>
              </w:rPr>
              <w:t>30-60 sec</w:t>
            </w:r>
          </w:p>
        </w:tc>
      </w:tr>
      <w:tr>
        <w:tc>
          <w:tcPr>
            <w:tcW w:type="dxa" w:w="2635"/>
          </w:tcPr>
          <w:p>
            <w:r>
              <w:rPr>
                <w:sz w:val="16"/>
              </w:rPr>
              <w:t>FBRM (focused beam reflectance)</w:t>
            </w:r>
          </w:p>
        </w:tc>
        <w:tc>
          <w:tcPr>
            <w:tcW w:type="dxa" w:w="2635"/>
          </w:tcPr>
          <w:p>
            <w:r>
              <w:rPr>
                <w:sz w:val="16"/>
              </w:rPr>
              <w:t>Chord length distribution</w:t>
            </w:r>
          </w:p>
        </w:tc>
        <w:tc>
          <w:tcPr>
            <w:tcW w:type="dxa" w:w="2635"/>
          </w:tcPr>
          <w:p>
            <w:r>
              <w:rPr>
                <w:sz w:val="16"/>
              </w:rPr>
              <w:t>Milling, slurry</w:t>
            </w:r>
          </w:p>
        </w:tc>
        <w:tc>
          <w:tcPr>
            <w:tcW w:type="dxa" w:w="2635"/>
          </w:tcPr>
          <w:p>
            <w:r>
              <w:rPr>
                <w:sz w:val="16"/>
              </w:rPr>
              <w:t>2 sec</w:t>
            </w:r>
          </w:p>
        </w:tc>
      </w:tr>
      <w:tr>
        <w:tc>
          <w:tcPr>
            <w:tcW w:type="dxa" w:w="2635"/>
          </w:tcPr>
          <w:p>
            <w:r>
              <w:rPr>
                <w:sz w:val="16"/>
              </w:rPr>
              <w:t>Laser diffraction</w:t>
            </w:r>
          </w:p>
        </w:tc>
        <w:tc>
          <w:tcPr>
            <w:tcW w:type="dxa" w:w="2635"/>
          </w:tcPr>
          <w:p>
            <w:r>
              <w:rPr>
                <w:sz w:val="16"/>
              </w:rPr>
              <w:t>D10/D50/D90</w:t>
            </w:r>
          </w:p>
        </w:tc>
        <w:tc>
          <w:tcPr>
            <w:tcW w:type="dxa" w:w="2635"/>
          </w:tcPr>
          <w:p>
            <w:r>
              <w:rPr>
                <w:sz w:val="16"/>
              </w:rPr>
              <w:t>Post-milling (at-line)</w:t>
            </w:r>
          </w:p>
        </w:tc>
        <w:tc>
          <w:tcPr>
            <w:tcW w:type="dxa" w:w="2635"/>
          </w:tcPr>
          <w:p>
            <w:r>
              <w:rPr>
                <w:sz w:val="16"/>
              </w:rPr>
              <w:t>60 sec</w:t>
            </w:r>
          </w:p>
        </w:tc>
      </w:tr>
      <w:tr>
        <w:tc>
          <w:tcPr>
            <w:tcW w:type="dxa" w:w="2635"/>
          </w:tcPr>
          <w:p>
            <w:r>
              <w:rPr>
                <w:sz w:val="16"/>
              </w:rPr>
              <w:t>Pyrometry (ratio pyrometer)</w:t>
            </w:r>
          </w:p>
        </w:tc>
        <w:tc>
          <w:tcPr>
            <w:tcW w:type="dxa" w:w="2635"/>
          </w:tcPr>
          <w:p>
            <w:r>
              <w:rPr>
                <w:sz w:val="16"/>
              </w:rPr>
              <w:t>Temperature</w:t>
            </w:r>
          </w:p>
        </w:tc>
        <w:tc>
          <w:tcPr>
            <w:tcW w:type="dxa" w:w="2635"/>
          </w:tcPr>
          <w:p>
            <w:r>
              <w:rPr>
                <w:sz w:val="16"/>
              </w:rPr>
              <w:t>Calcination kiln</w:t>
            </w:r>
          </w:p>
        </w:tc>
        <w:tc>
          <w:tcPr>
            <w:tcW w:type="dxa" w:w="2635"/>
          </w:tcPr>
          <w:p>
            <w:r>
              <w:rPr>
                <w:sz w:val="16"/>
              </w:rPr>
              <w:t>0.1 sec</w:t>
            </w:r>
          </w:p>
        </w:tc>
      </w:tr>
      <w:tr>
        <w:tc>
          <w:tcPr>
            <w:tcW w:type="dxa" w:w="2635"/>
          </w:tcPr>
          <w:p>
            <w:r>
              <w:rPr>
                <w:sz w:val="16"/>
              </w:rPr>
              <w:t>IR camera</w:t>
            </w:r>
          </w:p>
        </w:tc>
        <w:tc>
          <w:tcPr>
            <w:tcW w:type="dxa" w:w="2635"/>
          </w:tcPr>
          <w:p>
            <w:r>
              <w:rPr>
                <w:sz w:val="16"/>
              </w:rPr>
              <w:t>Temperature field (2D)</w:t>
            </w:r>
          </w:p>
        </w:tc>
        <w:tc>
          <w:tcPr>
            <w:tcW w:type="dxa" w:w="2635"/>
          </w:tcPr>
          <w:p>
            <w:r>
              <w:rPr>
                <w:sz w:val="16"/>
              </w:rPr>
              <w:t>Kiln exit, spray dryer</w:t>
            </w:r>
          </w:p>
        </w:tc>
        <w:tc>
          <w:tcPr>
            <w:tcW w:type="dxa" w:w="2635"/>
          </w:tcPr>
          <w:p>
            <w:r>
              <w:rPr>
                <w:sz w:val="16"/>
              </w:rPr>
              <w:t>10 Hz</w:t>
            </w:r>
          </w:p>
        </w:tc>
      </w:tr>
      <w:tr>
        <w:tc>
          <w:tcPr>
            <w:tcW w:type="dxa" w:w="2635"/>
          </w:tcPr>
          <w:p>
            <w:r>
              <w:rPr>
                <w:sz w:val="16"/>
              </w:rPr>
              <w:t>Zirconia O2 sensor</w:t>
            </w:r>
          </w:p>
        </w:tc>
        <w:tc>
          <w:tcPr>
            <w:tcW w:type="dxa" w:w="2635"/>
          </w:tcPr>
          <w:p>
            <w:r>
              <w:rPr>
                <w:sz w:val="16"/>
              </w:rPr>
              <w:t>pO2 (&lt;10 ppm)</w:t>
            </w:r>
          </w:p>
        </w:tc>
        <w:tc>
          <w:tcPr>
            <w:tcW w:type="dxa" w:w="2635"/>
          </w:tcPr>
          <w:p>
            <w:r>
              <w:rPr>
                <w:sz w:val="16"/>
              </w:rPr>
              <w:t>Calcination kiln atmosphere</w:t>
            </w:r>
          </w:p>
        </w:tc>
        <w:tc>
          <w:tcPr>
            <w:tcW w:type="dxa" w:w="2635"/>
          </w:tcPr>
          <w:p>
            <w:r>
              <w:rPr>
                <w:sz w:val="16"/>
              </w:rPr>
              <w:t>1 sec</w:t>
            </w:r>
          </w:p>
        </w:tc>
      </w:tr>
      <w:tr>
        <w:tc>
          <w:tcPr>
            <w:tcW w:type="dxa" w:w="2635"/>
          </w:tcPr>
          <w:p>
            <w:r>
              <w:rPr>
                <w:sz w:val="16"/>
              </w:rPr>
              <w:t>NDIR</w:t>
            </w:r>
          </w:p>
        </w:tc>
        <w:tc>
          <w:tcPr>
            <w:tcW w:type="dxa" w:w="2635"/>
          </w:tcPr>
          <w:p>
            <w:r>
              <w:rPr>
                <w:sz w:val="16"/>
              </w:rPr>
              <w:t>CO2, CO, CH4</w:t>
            </w:r>
          </w:p>
        </w:tc>
        <w:tc>
          <w:tcPr>
            <w:tcW w:type="dxa" w:w="2635"/>
          </w:tcPr>
          <w:p>
            <w:r>
              <w:rPr>
                <w:sz w:val="16"/>
              </w:rPr>
              <w:t>Kiln exhaust</w:t>
            </w:r>
          </w:p>
        </w:tc>
        <w:tc>
          <w:tcPr>
            <w:tcW w:type="dxa" w:w="2635"/>
          </w:tcPr>
          <w:p>
            <w:r>
              <w:rPr>
                <w:sz w:val="16"/>
              </w:rPr>
              <w:t>1 sec</w:t>
            </w:r>
          </w:p>
        </w:tc>
      </w:tr>
      <w:tr>
        <w:tc>
          <w:tcPr>
            <w:tcW w:type="dxa" w:w="2635"/>
          </w:tcPr>
          <w:p>
            <w:r>
              <w:rPr>
                <w:sz w:val="16"/>
              </w:rPr>
              <w:t>XRF</w:t>
            </w:r>
          </w:p>
        </w:tc>
        <w:tc>
          <w:tcPr>
            <w:tcW w:type="dxa" w:w="2635"/>
          </w:tcPr>
          <w:p>
            <w:r>
              <w:rPr>
                <w:sz w:val="16"/>
              </w:rPr>
              <w:t>Elemental composition (Li, Fe, P)</w:t>
            </w:r>
          </w:p>
        </w:tc>
        <w:tc>
          <w:tcPr>
            <w:tcW w:type="dxa" w:w="2635"/>
          </w:tcPr>
          <w:p>
            <w:r>
              <w:rPr>
                <w:sz w:val="16"/>
              </w:rPr>
              <w:t>Post-milling (at-line)</w:t>
            </w:r>
          </w:p>
        </w:tc>
        <w:tc>
          <w:tcPr>
            <w:tcW w:type="dxa" w:w="2635"/>
          </w:tcPr>
          <w:p>
            <w:r>
              <w:rPr>
                <w:sz w:val="16"/>
              </w:rPr>
              <w:t>5 min</w:t>
            </w:r>
          </w:p>
        </w:tc>
      </w:tr>
    </w:tbl>
    <w:p>
      <w:r>
        <w:rPr>
          <w:b/>
          <w:sz w:val="18"/>
        </w:rPr>
        <w:t>Expected outcomes</w:t>
      </w:r>
      <w:r>
        <w:rPr>
          <w:sz w:val="18"/>
        </w:rPr>
        <w:t xml:space="preserve">: Based on cross-industry DT benchmarks validated across steel, chemicals, pharmaceuticals, and battery cell production </w:t>
      </w:r>
      <w:r>
        <w:rPr>
          <w:color w:val="0066CC"/>
          <w:sz w:val="16"/>
        </w:rPr>
        <w:t>[CLM-007]</w:t>
      </w:r>
      <w:r>
        <w:rPr>
          <w:sz w:val="18"/>
        </w:rPr>
        <w:t>:</w:t>
      </w:r>
    </w:p>
    <w:p>
      <w:pPr>
        <w:pStyle w:val="ListBullet"/>
      </w:pPr>
      <w:r>
        <w:rPr>
          <w:sz w:val="18"/>
        </w:rPr>
        <w:t xml:space="preserve">Scrap rate reduction: 10-50% (Fraunhofer FFB demonstrated 10.3% in battery cell production </w:t>
      </w:r>
      <w:r>
        <w:rPr>
          <w:color w:val="0066CC"/>
          <w:sz w:val="16"/>
        </w:rPr>
        <w:t>[CLM-017]</w:t>
      </w:r>
      <w:r>
        <w:rPr>
          <w:sz w:val="18"/>
        </w:rPr>
        <w:t>)</w:t>
      </w:r>
    </w:p>
    <w:p>
      <w:pPr>
        <w:pStyle w:val="ListBullet"/>
      </w:pPr>
      <w:r>
        <w:rPr>
          <w:sz w:val="18"/>
        </w:rPr>
        <w:t xml:space="preserve">Energy consumption reduction: 12-15% (TwinHeat demonstrated 10-15% in furnace operations </w:t>
      </w:r>
      <w:r>
        <w:rPr>
          <w:color w:val="0066CC"/>
          <w:sz w:val="16"/>
        </w:rPr>
        <w:t>[CLM-016]</w:t>
      </w:r>
      <w:r>
        <w:rPr>
          <w:sz w:val="18"/>
        </w:rPr>
        <w:t>)</w:t>
      </w:r>
    </w:p>
    <w:p>
      <w:pPr>
        <w:pStyle w:val="ListBullet"/>
      </w:pPr>
      <w:r>
        <w:rPr>
          <w:sz w:val="18"/>
        </w:rPr>
        <w:t>Batch-to-batch variability reduction: &gt;40%</w:t>
      </w:r>
    </w:p>
    <w:p>
      <w:pPr>
        <w:pStyle w:val="ListBullet"/>
      </w:pPr>
      <w:r>
        <w:rPr>
          <w:sz w:val="18"/>
        </w:rPr>
        <w:t>Unplanned downtime reduction: 20-50%</w:t>
      </w:r>
    </w:p>
    <w:p>
      <w:pPr>
        <w:pStyle w:val="Heading4"/>
      </w:pPr>
      <w:r>
        <w:t>Innovation Pillar 2: Progressively Electrified LFP CAM Manufacturing [NOV-002]</w:t>
      </w:r>
    </w:p>
    <w:p>
      <w:r>
        <w:rPr>
          <w:i/>
          <w:sz w:val="18"/>
        </w:rPr>
        <w:t>Defensibility score: 7/10</w:t>
      </w:r>
    </w:p>
    <w:p>
      <w:r>
        <w:rPr>
          <w:b/>
          <w:sz w:val="18"/>
        </w:rPr>
        <w:t>What is new</w:t>
      </w:r>
      <w:r>
        <w:rPr>
          <w:sz w:val="18"/>
        </w:rPr>
        <w:t xml:space="preserve">: The first LFP CAM production plant designed with a </w:t>
      </w:r>
      <w:r>
        <w:rPr>
          <w:b/>
          <w:sz w:val="18"/>
        </w:rPr>
        <w:t>progressive electrification strategy</w:t>
      </w:r>
      <w:r>
        <w:rPr>
          <w:sz w:val="18"/>
        </w:rPr>
        <w:t xml:space="preserve"> — achieving a 66.6% electrification rate at entry into operation, with 3,580 kWh/t delivered electrically and 189 m3/t of natural gas (1,796 kWh_th/t, 33.4% of total process energy) retained for process steps where full electrification is not yet technically feasible at scale. Total process energy is 5,376 kWh/t. This achieves a significantly higher degree of electrification than the fully gas-fired Asian benchmark, and the plant architecture is designed to accommodate further gas-to-electric substitution as technology matures and Italy's grid decarbonises. The digital twin plays a central role in optimising the energy mix and identifying opportunities for progressive gas elimination.</w:t>
      </w:r>
    </w:p>
    <w:p>
      <w:r>
        <w:rPr>
          <w:b/>
          <w:sz w:val="18"/>
        </w:rPr>
        <w:t>Electrification roadmap</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Phase</w:t>
            </w:r>
          </w:p>
        </w:tc>
        <w:tc>
          <w:tcPr>
            <w:tcW w:type="dxa" w:w="2635"/>
          </w:tcPr>
          <w:p>
            <w:r>
              <w:rPr>
                <w:b/>
                <w:sz w:val="16"/>
              </w:rPr>
              <w:t>Electrification Rate</w:t>
            </w:r>
          </w:p>
        </w:tc>
        <w:tc>
          <w:tcPr>
            <w:tcW w:type="dxa" w:w="2635"/>
          </w:tcPr>
          <w:p>
            <w:r>
              <w:rPr>
                <w:b/>
                <w:sz w:val="16"/>
              </w:rPr>
              <w:t>Gas Use (m3/t)</w:t>
            </w:r>
          </w:p>
        </w:tc>
        <w:tc>
          <w:tcPr>
            <w:tcW w:type="dxa" w:w="2635"/>
          </w:tcPr>
          <w:p>
            <w:r>
              <w:rPr>
                <w:b/>
                <w:sz w:val="16"/>
              </w:rPr>
              <w:t>Key Change</w:t>
            </w:r>
          </w:p>
        </w:tc>
      </w:tr>
      <w:tr>
        <w:tc>
          <w:tcPr>
            <w:tcW w:type="dxa" w:w="2635"/>
          </w:tcPr>
          <w:p>
            <w:r>
              <w:rPr>
                <w:sz w:val="16"/>
              </w:rPr>
              <w:t>Entry into Operation (Y0)</w:t>
            </w:r>
          </w:p>
        </w:tc>
        <w:tc>
          <w:tcPr>
            <w:tcW w:type="dxa" w:w="2635"/>
          </w:tcPr>
          <w:p>
            <w:r>
              <w:rPr>
                <w:sz w:val="16"/>
              </w:rPr>
              <w:t>66.6%</w:t>
            </w:r>
          </w:p>
        </w:tc>
        <w:tc>
          <w:tcPr>
            <w:tcW w:type="dxa" w:w="2635"/>
          </w:tcPr>
          <w:p>
            <w:r>
              <w:rPr>
                <w:sz w:val="16"/>
              </w:rPr>
              <w:t>189</w:t>
            </w:r>
          </w:p>
        </w:tc>
        <w:tc>
          <w:tcPr>
            <w:tcW w:type="dxa" w:w="2635"/>
          </w:tcPr>
          <w:p>
            <w:r>
              <w:rPr>
                <w:sz w:val="16"/>
              </w:rPr>
              <w:t>Baseline design</w:t>
            </w:r>
          </w:p>
        </w:tc>
      </w:tr>
      <w:tr>
        <w:tc>
          <w:tcPr>
            <w:tcW w:type="dxa" w:w="2635"/>
          </w:tcPr>
          <w:p>
            <w:r>
              <w:rPr>
                <w:sz w:val="16"/>
              </w:rPr>
              <w:t>Year 3</w:t>
            </w:r>
          </w:p>
        </w:tc>
        <w:tc>
          <w:tcPr>
            <w:tcW w:type="dxa" w:w="2635"/>
          </w:tcPr>
          <w:p>
            <w:r>
              <w:rPr>
                <w:sz w:val="16"/>
              </w:rPr>
              <w:t>~75%</w:t>
            </w:r>
          </w:p>
        </w:tc>
        <w:tc>
          <w:tcPr>
            <w:tcW w:type="dxa" w:w="2635"/>
          </w:tcPr>
          <w:p>
            <w:r>
              <w:rPr>
                <w:sz w:val="16"/>
              </w:rPr>
              <w:t>~130</w:t>
            </w:r>
          </w:p>
        </w:tc>
        <w:tc>
          <w:tcPr>
            <w:tcW w:type="dxa" w:w="2635"/>
          </w:tcPr>
          <w:p>
            <w:r>
              <w:rPr>
                <w:sz w:val="16"/>
              </w:rPr>
              <w:t>HTHP for partial spray drying preheat</w:t>
            </w:r>
          </w:p>
        </w:tc>
      </w:tr>
      <w:tr>
        <w:tc>
          <w:tcPr>
            <w:tcW w:type="dxa" w:w="2635"/>
          </w:tcPr>
          <w:p>
            <w:r>
              <w:rPr>
                <w:sz w:val="16"/>
              </w:rPr>
              <w:t>Year 5</w:t>
            </w:r>
          </w:p>
        </w:tc>
        <w:tc>
          <w:tcPr>
            <w:tcW w:type="dxa" w:w="2635"/>
          </w:tcPr>
          <w:p>
            <w:r>
              <w:rPr>
                <w:sz w:val="16"/>
              </w:rPr>
              <w:t>~85%</w:t>
            </w:r>
          </w:p>
        </w:tc>
        <w:tc>
          <w:tcPr>
            <w:tcW w:type="dxa" w:w="2635"/>
          </w:tcPr>
          <w:p>
            <w:r>
              <w:rPr>
                <w:sz w:val="16"/>
              </w:rPr>
              <w:t>~80</w:t>
            </w:r>
          </w:p>
        </w:tc>
        <w:tc>
          <w:tcPr>
            <w:tcW w:type="dxa" w:w="2635"/>
          </w:tcPr>
          <w:p>
            <w:r>
              <w:rPr>
                <w:sz w:val="16"/>
              </w:rPr>
              <w:t>Extended HTHP coverage + electric kiln optimisation</w:t>
            </w:r>
          </w:p>
        </w:tc>
      </w:tr>
      <w:tr>
        <w:tc>
          <w:tcPr>
            <w:tcW w:type="dxa" w:w="2635"/>
          </w:tcPr>
          <w:p>
            <w:r>
              <w:rPr>
                <w:sz w:val="16"/>
              </w:rPr>
              <w:t>Year 10 (target)</w:t>
            </w:r>
          </w:p>
        </w:tc>
        <w:tc>
          <w:tcPr>
            <w:tcW w:type="dxa" w:w="2635"/>
          </w:tcPr>
          <w:p>
            <w:r>
              <w:rPr>
                <w:sz w:val="16"/>
              </w:rPr>
              <w:t>&gt;95%</w:t>
            </w:r>
          </w:p>
        </w:tc>
        <w:tc>
          <w:tcPr>
            <w:tcW w:type="dxa" w:w="2635"/>
          </w:tcPr>
          <w:p>
            <w:r>
              <w:rPr>
                <w:sz w:val="16"/>
              </w:rPr>
              <w:t>&lt;25</w:t>
            </w:r>
          </w:p>
        </w:tc>
        <w:tc>
          <w:tcPr>
            <w:tcW w:type="dxa" w:w="2635"/>
          </w:tcPr>
          <w:p>
            <w:r>
              <w:rPr>
                <w:sz w:val="16"/>
              </w:rPr>
              <w:t>Full electric calcination, residual gas for backup only</w:t>
            </w:r>
          </w:p>
        </w:tc>
      </w:tr>
    </w:tbl>
    <w:p>
      <w:r>
        <w:rPr>
          <w:b/>
          <w:sz w:val="18"/>
        </w:rPr>
        <w:t>Note on GHG scoring</w:t>
      </w:r>
      <w:r>
        <w:rPr>
          <w:sz w:val="18"/>
        </w:rPr>
        <w:t xml:space="preserve">: Per the Innovation Fund GHG emission avoidance methodology, the project is classified as </w:t>
      </w:r>
      <w:r>
        <w:rPr>
          <w:b/>
          <w:sz w:val="18"/>
        </w:rPr>
        <w:t>ES / Manufacturing of Components</w:t>
      </w:r>
      <w:r>
        <w:rPr>
          <w:sz w:val="18"/>
        </w:rPr>
        <w:t xml:space="preserve"> (Section 1.3.2), where LFP CAM constitutes a specialised battery-grade cathode material — a "component" as exemplified in the methodology. The manufacturing plant itself is outside the GHG calculation system boundary. The GHG avoidance for scoring purposes is calculated based on the </w:t>
      </w:r>
      <w:r>
        <w:rPr>
          <w:b/>
          <w:sz w:val="18"/>
        </w:rPr>
        <w:t>use phase of the BESS systems</w:t>
      </w:r>
      <w:r>
        <w:rPr>
          <w:sz w:val="18"/>
        </w:rPr>
        <w:t xml:space="preserve"> in which the manufactured LFP CAM is deployed — specifically, BESS displacing fossil fuel peaking plants on the Italian electricity grid. The reference scenario is conventional electricity generation from gas peaking plants (CCGT or OCGT). The vertically integrated value chain (LFP CAM to cells to BESS to grid via the co-located JV factory and Eni deployment) provides direct traceability from CAM production to grid-deployed GHG avoidance. The progressive electrification of the plant is therefore an innovation and replicability strength (reducing the product carbon footprint and positioning the plant for long-term competitiveness), but it is not the basis of the GHG avoidance calculation under Section 2.</w:t>
      </w:r>
    </w:p>
    <w:p>
      <w:r>
        <w:rPr>
          <w:b/>
          <w:sz w:val="18"/>
        </w:rPr>
        <w:t>Electrified calcination</w:t>
      </w:r>
      <w:r>
        <w:rPr>
          <w:sz w:val="18"/>
        </w:rPr>
        <w:t xml:space="preserve">: Electric roller hearth kiln (RHK) operating at 600-700 C under flowing N2 atmosphere, with calcination performed in saggars (consistent with roller hearth or pusher kiln configurations). The electric RHK achieves 95% thermal efficiency versus 25-60% for gas-fired rotary kilns </w:t>
      </w:r>
      <w:r>
        <w:rPr>
          <w:color w:val="0066CC"/>
          <w:sz w:val="16"/>
        </w:rPr>
        <w:t>[CLM-023, SRC-ED-009]</w:t>
      </w:r>
      <w:r>
        <w:rPr>
          <w:sz w:val="18"/>
        </w:rPr>
        <w:t xml:space="preserve">. Electric heating provides superior temperature uniformity (critical for phase-pure olivine formation), eliminates combustion gas contamination of the inert atmosphere, and enables zone-by-zone temperature profile control compatible with DT-driven MPC optimisation. The electric RHK is the established industrial standard for NMC CAM calcination at temperatures to 950 C </w:t>
      </w:r>
      <w:r>
        <w:rPr>
          <w:color w:val="0066CC"/>
          <w:sz w:val="16"/>
        </w:rPr>
        <w:t>[SRC-ED-010, SRC-ED-023]</w:t>
      </w:r>
      <w:r>
        <w:rPr>
          <w:sz w:val="18"/>
        </w:rPr>
        <w:t>; LFP calcination at 600-700 C is well within the proven operating envelope. The initial plant configuration retains some natural gas use (contributing to the 189 m3/t total gas consumption), particularly for auxiliary heating and drying stages where full electrification requires further technology maturation. The DT will optimise the balance between electric and gas heating to minimise both emissions and cost, while guiding the transition pathway toward full electrification.</w:t>
      </w:r>
    </w:p>
    <w:p>
      <w:r>
        <w:rPr>
          <w:b/>
          <w:sz w:val="18"/>
        </w:rPr>
        <w:t>Heat pump-assisted spray drying</w:t>
      </w:r>
      <w:r>
        <w:rPr>
          <w:sz w:val="18"/>
        </w:rPr>
        <w:t xml:space="preserve">: High-temperature heat pump (HTHP) for spray dryer air pre-heating, achieving COP 3.04 at 120 C (Zuhlsdorf et al., 2017 </w:t>
      </w:r>
      <w:r>
        <w:rPr>
          <w:color w:val="0066CC"/>
          <w:sz w:val="16"/>
        </w:rPr>
        <w:t>[SRC-ED-004]</w:t>
      </w:r>
      <w:r>
        <w:rPr>
          <w:sz w:val="18"/>
        </w:rPr>
        <w:t xml:space="preserve">) to COP 3.6 at 200 C (Zhao et al., 2024 </w:t>
      </w:r>
      <w:r>
        <w:rPr>
          <w:color w:val="0066CC"/>
          <w:sz w:val="16"/>
        </w:rPr>
        <w:t>[SRC-ED-005]</w:t>
      </w:r>
      <w:r>
        <w:rPr>
          <w:sz w:val="18"/>
        </w:rPr>
        <w:t xml:space="preserve">). This means each kWh of electricity delivers 3.0-3.6 kWh of thermal heat for drying — a 2-3x thermodynamic advantage over direct electric resistance heating and a ~5-10x advantage over gas combustion when accounting for gas-fired dryer efficiency losses </w:t>
      </w:r>
      <w:r>
        <w:rPr>
          <w:color w:val="0066CC"/>
          <w:sz w:val="16"/>
        </w:rPr>
        <w:t>[SRC-ED-001]</w:t>
      </w:r>
      <w:r>
        <w:rPr>
          <w:sz w:val="18"/>
        </w:rPr>
        <w:t xml:space="preserve">. Final drying stages use direct electric resistance or near-infrared (NIR) heating to reach the outlet temperatures required for complete solvent removal </w:t>
      </w:r>
      <w:r>
        <w:rPr>
          <w:color w:val="0066CC"/>
          <w:sz w:val="16"/>
        </w:rPr>
        <w:t>[SRC-ED-019]</w:t>
      </w:r>
      <w:r>
        <w:rPr>
          <w:sz w:val="18"/>
        </w:rPr>
        <w:t>.</w:t>
      </w:r>
    </w:p>
    <w:p>
      <w:r>
        <w:rPr>
          <w:b/>
          <w:sz w:val="18"/>
        </w:rPr>
        <w:t>GHG and carbon footprint context</w:t>
      </w:r>
      <w:r>
        <w:rPr>
          <w:sz w:val="18"/>
        </w:rPr>
        <w:t>: The progressive electrification design is framed as a future-proof infrastructure investment. The 66.6% electrification rate achieved from day one is already substantially higher than the fully gas-fired Asian benchmark, and the plant architecture supports continued gas elimination over time. Note: per Section 1.3.4 of the Innovation Fund GHG methodology, the GHG avoidance for scoring purposes is calculated on the use phase of the manufactured battery components, not on the manufacturing plant itself. The electrification trajectory below therefore represents the plant's carbon footprint advantage — a key innovation and replicability differentiator — rather than the scored GHG avoidance metric:</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Year</w:t>
            </w:r>
          </w:p>
        </w:tc>
        <w:tc>
          <w:tcPr>
            <w:tcW w:type="dxa" w:w="2635"/>
          </w:tcPr>
          <w:p>
            <w:r>
              <w:rPr>
                <w:b/>
                <w:sz w:val="16"/>
              </w:rPr>
              <w:t>Italy grid intensity (gCO2/kWh)</w:t>
            </w:r>
          </w:p>
        </w:tc>
        <w:tc>
          <w:tcPr>
            <w:tcW w:type="dxa" w:w="2635"/>
          </w:tcPr>
          <w:p>
            <w:r>
              <w:rPr>
                <w:b/>
                <w:sz w:val="16"/>
              </w:rPr>
              <w:t>GHG reduction vs gas-fired benchmark</w:t>
            </w:r>
          </w:p>
        </w:tc>
        <w:tc>
          <w:tcPr>
            <w:tcW w:type="dxa" w:w="2635"/>
          </w:tcPr>
          <w:p>
            <w:r>
              <w:rPr>
                <w:b/>
                <w:sz w:val="16"/>
              </w:rPr>
              <w:t>Basis</w:t>
            </w:r>
          </w:p>
        </w:tc>
      </w:tr>
      <w:tr>
        <w:tc>
          <w:tcPr>
            <w:tcW w:type="dxa" w:w="2635"/>
          </w:tcPr>
          <w:p>
            <w:r>
              <w:rPr>
                <w:sz w:val="16"/>
              </w:rPr>
              <w:t>2025 (current)</w:t>
            </w:r>
          </w:p>
        </w:tc>
        <w:tc>
          <w:tcPr>
            <w:tcW w:type="dxa" w:w="2635"/>
          </w:tcPr>
          <w:p>
            <w:r>
              <w:rPr>
                <w:sz w:val="16"/>
              </w:rPr>
              <w:t>~310</w:t>
            </w:r>
          </w:p>
        </w:tc>
        <w:tc>
          <w:tcPr>
            <w:tcW w:type="dxa" w:w="2635"/>
          </w:tcPr>
          <w:p>
            <w:r>
              <w:rPr>
                <w:sz w:val="16"/>
              </w:rPr>
              <w:t>Marginal (~5-15%)</w:t>
            </w:r>
          </w:p>
        </w:tc>
        <w:tc>
          <w:tcPr>
            <w:tcW w:type="dxa" w:w="2635"/>
          </w:tcPr>
          <w:p>
            <w:r>
              <w:rPr>
                <w:sz w:val="16"/>
              </w:rPr>
              <w:t>ISPRA/Nowtricity [SRC-ED-016]</w:t>
            </w:r>
          </w:p>
        </w:tc>
      </w:tr>
      <w:tr>
        <w:tc>
          <w:tcPr>
            <w:tcW w:type="dxa" w:w="2635"/>
          </w:tcPr>
          <w:p>
            <w:r>
              <w:rPr>
                <w:sz w:val="16"/>
              </w:rPr>
              <w:t>2028 (breakeven)</w:t>
            </w:r>
          </w:p>
        </w:tc>
        <w:tc>
          <w:tcPr>
            <w:tcW w:type="dxa" w:w="2635"/>
          </w:tcPr>
          <w:p>
            <w:r>
              <w:rPr>
                <w:sz w:val="16"/>
              </w:rPr>
              <w:t>~180</w:t>
            </w:r>
          </w:p>
        </w:tc>
        <w:tc>
          <w:tcPr>
            <w:tcW w:type="dxa" w:w="2635"/>
          </w:tcPr>
          <w:p>
            <w:r>
              <w:rPr>
                <w:sz w:val="16"/>
              </w:rPr>
              <w:t>~30-40%</w:t>
            </w:r>
          </w:p>
        </w:tc>
        <w:tc>
          <w:tcPr>
            <w:tcW w:type="dxa" w:w="2635"/>
          </w:tcPr>
          <w:p>
            <w:r>
              <w:rPr>
                <w:sz w:val="16"/>
              </w:rPr>
              <w:t>NECP trajectory [SRC-ED-017]</w:t>
            </w:r>
          </w:p>
        </w:tc>
      </w:tr>
      <w:tr>
        <w:tc>
          <w:tcPr>
            <w:tcW w:type="dxa" w:w="2635"/>
          </w:tcPr>
          <w:p>
            <w:r>
              <w:rPr>
                <w:sz w:val="16"/>
              </w:rPr>
              <w:t>2030 (NECP target)</w:t>
            </w:r>
          </w:p>
        </w:tc>
        <w:tc>
          <w:tcPr>
            <w:tcW w:type="dxa" w:w="2635"/>
          </w:tcPr>
          <w:p>
            <w:r>
              <w:rPr>
                <w:sz w:val="16"/>
              </w:rPr>
              <w:t>~146</w:t>
            </w:r>
          </w:p>
        </w:tc>
        <w:tc>
          <w:tcPr>
            <w:tcW w:type="dxa" w:w="2635"/>
          </w:tcPr>
          <w:p>
            <w:r>
              <w:rPr>
                <w:sz w:val="16"/>
              </w:rPr>
              <w:t>55-70%</w:t>
            </w:r>
          </w:p>
        </w:tc>
        <w:tc>
          <w:tcPr>
            <w:tcW w:type="dxa" w:w="2635"/>
          </w:tcPr>
          <w:p>
            <w:r>
              <w:rPr>
                <w:sz w:val="16"/>
              </w:rPr>
              <w:t>Italy NECP, 65% renewables [CLM-026]</w:t>
            </w:r>
          </w:p>
        </w:tc>
      </w:tr>
      <w:tr>
        <w:tc>
          <w:tcPr>
            <w:tcW w:type="dxa" w:w="2635"/>
          </w:tcPr>
          <w:p>
            <w:r>
              <w:rPr>
                <w:sz w:val="16"/>
              </w:rPr>
              <w:t>2035 (G7 commitment)</w:t>
            </w:r>
          </w:p>
        </w:tc>
        <w:tc>
          <w:tcPr>
            <w:tcW w:type="dxa" w:w="2635"/>
          </w:tcPr>
          <w:p>
            <w:r>
              <w:rPr>
                <w:sz w:val="16"/>
              </w:rPr>
              <w:t>~30-60</w:t>
            </w:r>
          </w:p>
        </w:tc>
        <w:tc>
          <w:tcPr>
            <w:tcW w:type="dxa" w:w="2635"/>
          </w:tcPr>
          <w:p>
            <w:r>
              <w:rPr>
                <w:sz w:val="16"/>
              </w:rPr>
              <w:t>80-90%</w:t>
            </w:r>
          </w:p>
        </w:tc>
        <w:tc>
          <w:tcPr>
            <w:tcW w:type="dxa" w:w="2635"/>
          </w:tcPr>
          <w:p>
            <w:r>
              <w:rPr>
                <w:sz w:val="16"/>
              </w:rPr>
              <w:t>G7 2035 decarbonised power [CLM-026]</w:t>
            </w:r>
          </w:p>
        </w:tc>
      </w:tr>
    </w:tbl>
    <w:p>
      <w:r>
        <w:rPr>
          <w:sz w:val="18"/>
        </w:rPr>
        <w:t xml:space="preserve">The plant enters operation approximately 2028-2029, precisely when the Italian grid crosses the gas-breakeven threshold. Over the plant's 20+ year operational life, cumulative GHG avoidance accelerates as the grid continues to decarbonise </w:t>
      </w:r>
      <w:r>
        <w:rPr>
          <w:color w:val="0066CC"/>
          <w:sz w:val="16"/>
        </w:rPr>
        <w:t>[CLM-030]</w:t>
      </w:r>
      <w:r>
        <w:rPr>
          <w:sz w:val="18"/>
        </w:rPr>
        <w:t>. Electrifying now avoids the capital cost of gas infrastructure that would become stranded assets within 5-7 years of installation.</w:t>
      </w:r>
    </w:p>
    <w:p>
      <w:r>
        <w:rPr>
          <w:b/>
          <w:sz w:val="18"/>
        </w:rPr>
        <w:t>Electricity as the dominant GHG lever for LFP</w:t>
      </w:r>
      <w:r>
        <w:rPr>
          <w:sz w:val="18"/>
        </w:rPr>
        <w:t xml:space="preserve">: Lin et al. (2024) demonstrated that electricity consumption accounts for 39.7% of total global warming potential in LFP battery manufacturing — the single largest contributor </w:t>
      </w:r>
      <w:r>
        <w:rPr>
          <w:color w:val="0066CC"/>
          <w:sz w:val="16"/>
        </w:rPr>
        <w:t>[CLM-024, SRC-ED-015]</w:t>
      </w:r>
      <w:r>
        <w:rPr>
          <w:sz w:val="18"/>
        </w:rPr>
        <w:t xml:space="preserve">. Switching to clean electricity is the most impactful single decarbonisation intervention, more effective than recycling or chemistry changes. Degen and Schutte (2021, 114 citations) showed that switching from gas+electricity to low-carbon electricity reduces battery cell GHG from 4.54 to 0.53 kgCO2eq/kWh — an 88% reduction </w:t>
      </w:r>
      <w:r>
        <w:rPr>
          <w:color w:val="0066CC"/>
          <w:sz w:val="16"/>
        </w:rPr>
        <w:t>[SRC-ED-013]</w:t>
      </w:r>
      <w:r>
        <w:rPr>
          <w:sz w:val="18"/>
        </w:rPr>
        <w:t>.</w:t>
      </w:r>
    </w:p>
    <w:p>
      <w:r>
        <w:rPr>
          <w:b/>
          <w:sz w:val="18"/>
        </w:rPr>
        <w:t>NMC CAM energy analog</w:t>
      </w:r>
      <w:r>
        <w:rPr>
          <w:sz w:val="18"/>
        </w:rPr>
        <w:t xml:space="preserve">: No published LFP-specific industrial CAM synthesis energy data exists </w:t>
      </w:r>
      <w:r>
        <w:rPr>
          <w:color w:val="0066CC"/>
          <w:sz w:val="16"/>
        </w:rPr>
        <w:t>[CLM-028]</w:t>
      </w:r>
      <w:r>
        <w:rPr>
          <w:sz w:val="18"/>
        </w:rPr>
        <w:t xml:space="preserve">. The best available analog is NMC CAM production at approximately 4 kWh/kg via co-precipitation + calcination (Ahmed et al., 2017, 168 citations </w:t>
      </w:r>
      <w:r>
        <w:rPr>
          <w:color w:val="0066CC"/>
          <w:sz w:val="16"/>
        </w:rPr>
        <w:t>[SRC-ED-011]</w:t>
      </w:r>
      <w:r>
        <w:rPr>
          <w:sz w:val="18"/>
        </w:rPr>
        <w:t xml:space="preserve">). LFP CAM specific energy is estimated at 3-6 kWh/kg based on this analog and the lower calcination temperature (600-700 C versus 750-950 C for NMC). The project will generate the first primary LFP-specific energy data, addressing this documented research gap </w:t>
      </w:r>
      <w:r>
        <w:rPr>
          <w:color w:val="0066CC"/>
          <w:sz w:val="16"/>
        </w:rPr>
        <w:t>[CLM-021]</w:t>
      </w:r>
      <w:r>
        <w:rPr>
          <w:sz w:val="18"/>
        </w:rPr>
        <w:t>.</w:t>
      </w:r>
    </w:p>
    <w:p>
      <w:r>
        <w:rPr>
          <w:b/>
          <w:sz w:val="18"/>
        </w:rPr>
        <w:t>Cross-industry DT quantitative benchmarks</w:t>
      </w:r>
      <w:r>
        <w:rPr>
          <w:sz w:val="18"/>
        </w:rPr>
        <w:t xml:space="preserve">: The projected performance improvements are grounded in demonstrated results across process industries, summarised by the deep-dive report </w:t>
      </w:r>
      <w:r>
        <w:rPr>
          <w:color w:val="0066CC"/>
          <w:sz w:val="16"/>
        </w:rPr>
        <w:t>[SRC-DT-REPORT, CLM-007]</w:t>
      </w:r>
      <w:r>
        <w:rPr>
          <w:sz w:val="18"/>
        </w:rPr>
        <w:t>:</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Industry</w:t>
            </w:r>
          </w:p>
        </w:tc>
        <w:tc>
          <w:tcPr>
            <w:tcW w:type="dxa" w:w="2108"/>
          </w:tcPr>
          <w:p>
            <w:r>
              <w:rPr>
                <w:b/>
                <w:sz w:val="16"/>
              </w:rPr>
              <w:t>Application</w:t>
            </w:r>
          </w:p>
        </w:tc>
        <w:tc>
          <w:tcPr>
            <w:tcW w:type="dxa" w:w="2108"/>
          </w:tcPr>
          <w:p>
            <w:r>
              <w:rPr>
                <w:b/>
                <w:sz w:val="16"/>
              </w:rPr>
              <w:t>Scrap/waste reduction</w:t>
            </w:r>
          </w:p>
        </w:tc>
        <w:tc>
          <w:tcPr>
            <w:tcW w:type="dxa" w:w="2108"/>
          </w:tcPr>
          <w:p>
            <w:r>
              <w:rPr>
                <w:b/>
                <w:sz w:val="16"/>
              </w:rPr>
              <w:t>Energy savings</w:t>
            </w:r>
          </w:p>
        </w:tc>
        <w:tc>
          <w:tcPr>
            <w:tcW w:type="dxa" w:w="2108"/>
          </w:tcPr>
          <w:p>
            <w:r>
              <w:rPr>
                <w:b/>
                <w:sz w:val="16"/>
              </w:rPr>
              <w:t>Source</w:t>
            </w:r>
          </w:p>
        </w:tc>
      </w:tr>
      <w:tr>
        <w:tc>
          <w:tcPr>
            <w:tcW w:type="dxa" w:w="2108"/>
          </w:tcPr>
          <w:p>
            <w:r>
              <w:rPr>
                <w:sz w:val="16"/>
              </w:rPr>
              <w:t>Battery cell production</w:t>
            </w:r>
          </w:p>
        </w:tc>
        <w:tc>
          <w:tcPr>
            <w:tcW w:type="dxa" w:w="2108"/>
          </w:tcPr>
          <w:p>
            <w:r>
              <w:rPr>
                <w:sz w:val="16"/>
              </w:rPr>
              <w:t>Fraunhofer FFB DiBaZ</w:t>
            </w:r>
          </w:p>
        </w:tc>
        <w:tc>
          <w:tcPr>
            <w:tcW w:type="dxa" w:w="2108"/>
          </w:tcPr>
          <w:p>
            <w:r>
              <w:rPr>
                <w:sz w:val="16"/>
              </w:rPr>
              <w:t>10.3% scrap reduction</w:t>
            </w:r>
          </w:p>
        </w:tc>
        <w:tc>
          <w:tcPr>
            <w:tcW w:type="dxa" w:w="2108"/>
          </w:tcPr>
          <w:p>
            <w:r>
              <w:rPr>
                <w:sz w:val="16"/>
              </w:rPr>
              <w:t>—</w:t>
            </w:r>
          </w:p>
        </w:tc>
        <w:tc>
          <w:tcPr>
            <w:tcW w:type="dxa" w:w="2108"/>
          </w:tcPr>
          <w:p>
            <w:r>
              <w:rPr>
                <w:sz w:val="16"/>
              </w:rPr>
              <w:t>[CLM-017]</w:t>
            </w:r>
          </w:p>
        </w:tc>
      </w:tr>
      <w:tr>
        <w:tc>
          <w:tcPr>
            <w:tcW w:type="dxa" w:w="2108"/>
          </w:tcPr>
          <w:p>
            <w:r>
              <w:rPr>
                <w:sz w:val="16"/>
              </w:rPr>
              <w:t>Industrial furnaces</w:t>
            </w:r>
          </w:p>
        </w:tc>
        <w:tc>
          <w:tcPr>
            <w:tcW w:type="dxa" w:w="2108"/>
          </w:tcPr>
          <w:p>
            <w:r>
              <w:rPr>
                <w:sz w:val="16"/>
              </w:rPr>
              <w:t>TwinHeat (MINES Paris)</w:t>
            </w:r>
          </w:p>
        </w:tc>
        <w:tc>
          <w:tcPr>
            <w:tcW w:type="dxa" w:w="2108"/>
          </w:tcPr>
          <w:p>
            <w:r>
              <w:rPr>
                <w:sz w:val="16"/>
              </w:rPr>
              <w:t>—</w:t>
            </w:r>
          </w:p>
        </w:tc>
        <w:tc>
          <w:tcPr>
            <w:tcW w:type="dxa" w:w="2108"/>
          </w:tcPr>
          <w:p>
            <w:r>
              <w:rPr>
                <w:sz w:val="16"/>
              </w:rPr>
              <w:t>10-15% energy</w:t>
            </w:r>
          </w:p>
        </w:tc>
        <w:tc>
          <w:tcPr>
            <w:tcW w:type="dxa" w:w="2108"/>
          </w:tcPr>
          <w:p>
            <w:r>
              <w:rPr>
                <w:sz w:val="16"/>
              </w:rPr>
              <w:t>[CLM-016]</w:t>
            </w:r>
          </w:p>
        </w:tc>
      </w:tr>
      <w:tr>
        <w:tc>
          <w:tcPr>
            <w:tcW w:type="dxa" w:w="2108"/>
          </w:tcPr>
          <w:p>
            <w:r>
              <w:rPr>
                <w:sz w:val="16"/>
              </w:rPr>
              <w:t>Steel production</w:t>
            </w:r>
          </w:p>
        </w:tc>
        <w:tc>
          <w:tcPr>
            <w:tcW w:type="dxa" w:w="2108"/>
          </w:tcPr>
          <w:p>
            <w:r>
              <w:rPr>
                <w:sz w:val="16"/>
              </w:rPr>
              <w:t>Tata Steel DT</w:t>
            </w:r>
          </w:p>
        </w:tc>
        <w:tc>
          <w:tcPr>
            <w:tcW w:type="dxa" w:w="2108"/>
          </w:tcPr>
          <w:p>
            <w:r>
              <w:rPr>
                <w:sz w:val="16"/>
              </w:rPr>
              <w:t>—</w:t>
            </w:r>
          </w:p>
        </w:tc>
        <w:tc>
          <w:tcPr>
            <w:tcW w:type="dxa" w:w="2108"/>
          </w:tcPr>
          <w:p>
            <w:r>
              <w:rPr>
                <w:sz w:val="16"/>
              </w:rPr>
              <w:t>Cumulative savings &gt;$1.4B</w:t>
            </w:r>
          </w:p>
        </w:tc>
        <w:tc>
          <w:tcPr>
            <w:tcW w:type="dxa" w:w="2108"/>
          </w:tcPr>
          <w:p>
            <w:r>
              <w:rPr>
                <w:sz w:val="16"/>
              </w:rPr>
              <w:t>[SRC-DT-REPORT]</w:t>
            </w:r>
          </w:p>
        </w:tc>
      </w:tr>
      <w:tr>
        <w:tc>
          <w:tcPr>
            <w:tcW w:type="dxa" w:w="2108"/>
          </w:tcPr>
          <w:p>
            <w:r>
              <w:rPr>
                <w:sz w:val="16"/>
              </w:rPr>
              <w:t>Chemical reactors</w:t>
            </w:r>
          </w:p>
        </w:tc>
        <w:tc>
          <w:tcPr>
            <w:tcW w:type="dxa" w:w="2108"/>
          </w:tcPr>
          <w:p>
            <w:r>
              <w:rPr>
                <w:sz w:val="16"/>
              </w:rPr>
              <w:t>BASF</w:t>
            </w:r>
          </w:p>
        </w:tc>
        <w:tc>
          <w:tcPr>
            <w:tcW w:type="dxa" w:w="2108"/>
          </w:tcPr>
          <w:p>
            <w:r>
              <w:rPr>
                <w:sz w:val="16"/>
              </w:rPr>
              <w:t>20-30% unplanned downtime reduction</w:t>
            </w:r>
          </w:p>
        </w:tc>
        <w:tc>
          <w:tcPr>
            <w:tcW w:type="dxa" w:w="2108"/>
          </w:tcPr>
          <w:p>
            <w:r>
              <w:rPr>
                <w:sz w:val="16"/>
              </w:rPr>
              <w:t>5-8% energy</w:t>
            </w:r>
          </w:p>
        </w:tc>
        <w:tc>
          <w:tcPr>
            <w:tcW w:type="dxa" w:w="2108"/>
          </w:tcPr>
          <w:p>
            <w:r>
              <w:rPr>
                <w:sz w:val="16"/>
              </w:rPr>
              <w:t>[SRC-DT-REPORT]</w:t>
            </w:r>
          </w:p>
        </w:tc>
      </w:tr>
      <w:tr>
        <w:tc>
          <w:tcPr>
            <w:tcW w:type="dxa" w:w="2108"/>
          </w:tcPr>
          <w:p>
            <w:r>
              <w:rPr>
                <w:sz w:val="16"/>
              </w:rPr>
              <w:t>Pharmaceutical mfg</w:t>
            </w:r>
          </w:p>
        </w:tc>
        <w:tc>
          <w:tcPr>
            <w:tcW w:type="dxa" w:w="2108"/>
          </w:tcPr>
          <w:p>
            <w:r>
              <w:rPr>
                <w:sz w:val="16"/>
              </w:rPr>
              <w:t>Various PAT implementations</w:t>
            </w:r>
          </w:p>
        </w:tc>
        <w:tc>
          <w:tcPr>
            <w:tcW w:type="dxa" w:w="2108"/>
          </w:tcPr>
          <w:p>
            <w:r>
              <w:rPr>
                <w:sz w:val="16"/>
              </w:rPr>
              <w:t>50% out-of-spec batch reduction</w:t>
            </w:r>
          </w:p>
        </w:tc>
        <w:tc>
          <w:tcPr>
            <w:tcW w:type="dxa" w:w="2108"/>
          </w:tcPr>
          <w:p>
            <w:r>
              <w:rPr>
                <w:sz w:val="16"/>
              </w:rPr>
              <w:t>—</w:t>
            </w:r>
          </w:p>
        </w:tc>
        <w:tc>
          <w:tcPr>
            <w:tcW w:type="dxa" w:w="2108"/>
          </w:tcPr>
          <w:p>
            <w:r>
              <w:rPr>
                <w:sz w:val="16"/>
              </w:rPr>
              <w:t>[SRC-DT-REPORT]</w:t>
            </w:r>
          </w:p>
        </w:tc>
      </w:tr>
    </w:tbl>
    <w:p>
      <w:r>
        <w:rPr>
          <w:sz w:val="18"/>
        </w:rPr>
        <w:t>The FAAM-ENI project targets the conservative end of these ranges (10-50% scrap reduction, 12-15% energy savings) recognising that LFP CAM synthesis is a new domain for DT deployment. These targets will be validated through progressive refinement during commissioning and the first year of operation.</w:t>
      </w:r>
    </w:p>
    <w:p>
      <w:pPr>
        <w:pStyle w:val="Heading4"/>
      </w:pPr>
      <w:r>
        <w:t>Innovation Pillar 3: ISO 23247 + Multi-Scale Modelling for Chemical Manufacturing [NOV-003]</w:t>
      </w:r>
    </w:p>
    <w:p>
      <w:r>
        <w:rPr>
          <w:i/>
          <w:sz w:val="18"/>
        </w:rPr>
        <w:t>Defensibility score: 7/10</w:t>
      </w:r>
    </w:p>
    <w:p>
      <w:r>
        <w:rPr>
          <w:b/>
          <w:sz w:val="18"/>
        </w:rPr>
        <w:t>What is new</w:t>
      </w:r>
      <w:r>
        <w:rPr>
          <w:sz w:val="18"/>
        </w:rPr>
        <w:t>: The first implementation of the ISO 23247 four-layer digital twin architecture for a thermal/chemical powder synthesis process, combined with a multi-scale physics-based modelling hierarchy spanning atomistic to plant scale.</w:t>
      </w:r>
    </w:p>
    <w:p>
      <w:r>
        <w:rPr>
          <w:sz w:val="18"/>
        </w:rPr>
        <w:t xml:space="preserve">All existing ISO 23247 implementations address </w:t>
      </w:r>
      <w:r>
        <w:rPr>
          <w:b/>
          <w:sz w:val="18"/>
        </w:rPr>
        <w:t>discrete manufacturing</w:t>
      </w:r>
      <w:r>
        <w:rPr>
          <w:sz w:val="18"/>
        </w:rPr>
        <w:t xml:space="preserve"> — CNC machining </w:t>
      </w:r>
      <w:r>
        <w:rPr>
          <w:color w:val="0066CC"/>
          <w:sz w:val="16"/>
        </w:rPr>
        <w:t>[SRC-007, SRC-009]</w:t>
      </w:r>
      <w:r>
        <w:rPr>
          <w:sz w:val="18"/>
        </w:rPr>
        <w:t xml:space="preserve">, automotive body shop inspection </w:t>
      </w:r>
      <w:r>
        <w:rPr>
          <w:color w:val="0066CC"/>
          <w:sz w:val="16"/>
        </w:rPr>
        <w:t>[SRC-010]</w:t>
      </w:r>
      <w:r>
        <w:rPr>
          <w:sz w:val="18"/>
        </w:rPr>
        <w:t xml:space="preserve">, additive manufacturing </w:t>
      </w:r>
      <w:r>
        <w:rPr>
          <w:color w:val="0066CC"/>
          <w:sz w:val="16"/>
        </w:rPr>
        <w:t>[CLM-008]</w:t>
      </w:r>
      <w:r>
        <w:rPr>
          <w:sz w:val="18"/>
        </w:rPr>
        <w:t>. Discrete manufacturing involves deterministic, geometry-driven operations where the DT models primarily represent kinematics, forces, and dimensional tolerances.</w:t>
      </w:r>
    </w:p>
    <w:p>
      <w:r>
        <w:rPr>
          <w:sz w:val="18"/>
        </w:rPr>
        <w:t xml:space="preserve">LFP CAM synthesis is fundamentally different: it is a </w:t>
      </w:r>
      <w:r>
        <w:rPr>
          <w:b/>
          <w:sz w:val="18"/>
        </w:rPr>
        <w:t>chemical process</w:t>
      </w:r>
      <w:r>
        <w:rPr>
          <w:sz w:val="18"/>
        </w:rPr>
        <w:t xml:space="preserve"> involving thermally driven solid-state reactions, multi-phase transformations, atmosphere-dependent redox chemistry, and stochastic particle formation. The ISO 23247 framework must be extended to accommodate:</w:t>
      </w:r>
    </w:p>
    <w:p>
      <w:pPr>
        <w:pStyle w:val="ListBullet"/>
      </w:pPr>
      <w:r>
        <w:rPr>
          <w:b/>
          <w:sz w:val="18"/>
        </w:rPr>
        <w:t>Reaction kinetics feedback</w:t>
      </w:r>
      <w:r>
        <w:rPr>
          <w:sz w:val="18"/>
        </w:rPr>
        <w:t xml:space="preserve">: Real-time tracking of multi-step solid-state reactions (Jander diffusion, Avrami nucleation, shrinking core) with activation energies ranging from 65-180 kJ/mol across decomposition, intermediate formation, olivine crystallisation, and carbon coating steps </w:t>
      </w:r>
      <w:r>
        <w:rPr>
          <w:color w:val="0066CC"/>
          <w:sz w:val="16"/>
        </w:rPr>
        <w:t>[CLM-020]</w:t>
      </w:r>
    </w:p>
    <w:p>
      <w:pPr>
        <w:pStyle w:val="ListBullet"/>
      </w:pPr>
      <w:r>
        <w:rPr>
          <w:b/>
          <w:sz w:val="18"/>
        </w:rPr>
        <w:t>Atmosphere control</w:t>
      </w:r>
      <w:r>
        <w:rPr>
          <w:sz w:val="18"/>
        </w:rPr>
        <w:t>: pO2 monitoring and control at &lt;10 ppm under flowing N2 — a safety-critical parameter where deviation causes irreversible Fe3+ surface oxidation and capacity loss</w:t>
      </w:r>
    </w:p>
    <w:p>
      <w:pPr>
        <w:pStyle w:val="ListBullet"/>
      </w:pPr>
      <w:r>
        <w:rPr>
          <w:b/>
          <w:sz w:val="18"/>
        </w:rPr>
        <w:t>Multi-phase transformations</w:t>
      </w:r>
      <w:r>
        <w:rPr>
          <w:sz w:val="18"/>
        </w:rPr>
        <w:t>: Tracking the evolution from amorphous precursor mixture through intermediate phases (Li3Fe2(PO4)3, Fe2O3) to phase-pure olivine LiFePO4, with impurity phases (Li3PO4, Fe2P) as indicators of over-temperature excursions</w:t>
      </w:r>
    </w:p>
    <w:p>
      <w:pPr>
        <w:pStyle w:val="ListBullet"/>
      </w:pPr>
      <w:r>
        <w:rPr>
          <w:b/>
          <w:sz w:val="18"/>
        </w:rPr>
        <w:t>Stochastic particle dynamics</w:t>
      </w:r>
      <w:r>
        <w:rPr>
          <w:sz w:val="18"/>
        </w:rPr>
        <w:t>: Population balance modelling of particle size distributions through spray drying (droplet formation, drying kinetics) and jet milling (breakage, classification), where the DT must predict distributions rather than deterministic states</w:t>
      </w:r>
    </w:p>
    <w:p>
      <w:r>
        <w:rPr>
          <w:sz w:val="18"/>
        </w:rPr>
        <w:t>This extension of ISO 23247 from discrete to chemical manufacturing is a generalisable contribution. The reference architecture developed for LFP CAM is directly applicable to other thermal/chemical powder processes (NMC CAM, anode materials, ceramic powders, pharmaceutical granulation), creating a replicable framework with broad impact beyond this specific project.</w:t>
      </w:r>
    </w:p>
    <w:p>
      <w:r>
        <w:rPr>
          <w:sz w:val="18"/>
        </w:rPr>
        <w:t>The multi-scale modelling chain bridges DFT-derived parameters through to plant-scale flowsheet optimisation. At each scale transition, the higher-fidelity model provides calibration data, material properties, or reduced-order surrogate models to the next level. The computational strategy ensures real-time capability: DFT and mesoscale simulations are performed offline (hours to days per run) to populate material property databases; continuum-scale CFD/PBM/reaction models are trained into neural network surrogates (millisecond inference); plant-scale optimisation uses these surrogates within the MPC framework.</w:t>
      </w:r>
    </w:p>
    <w:p>
      <w:pPr>
        <w:pStyle w:val="Heading4"/>
      </w:pPr>
      <w:r>
        <w:t>Innovation Pillar 4: Pharmaceutical QbD/PAT for Battery CAM [NOV-005]</w:t>
      </w:r>
    </w:p>
    <w:p>
      <w:r>
        <w:rPr>
          <w:i/>
          <w:sz w:val="18"/>
        </w:rPr>
        <w:t>Defensibility score: 6/10</w:t>
      </w:r>
    </w:p>
    <w:p>
      <w:r>
        <w:rPr>
          <w:b/>
          <w:sz w:val="18"/>
        </w:rPr>
        <w:t>What is new</w:t>
      </w:r>
      <w:r>
        <w:rPr>
          <w:sz w:val="18"/>
        </w:rPr>
        <w:t>: The first formal application of the ICH Q8-adapted Quality-by-Design (QbD) and Process Analytical Technology (PAT) framework to LFP cathode active material manufacturing, establishing systematic CQA-CPP linkages with in-line/at-line monitoring.</w:t>
      </w:r>
    </w:p>
    <w:p>
      <w:r>
        <w:rPr>
          <w:sz w:val="18"/>
        </w:rPr>
        <w:t xml:space="preserve">The pharmaceutical industry has spent two decades developing and validating the QbD approach under ICH Q8-Q11 guidelines: defining a Quality Target Product Profile (QTPP), identifying Critical Quality Attributes (CQAs), mapping Critical Process Parameters (CPPs), establishing a design space through systematic experimentation, and deploying PAT for real-time quality assurance. This framework has never been formally applied to battery CAM manufacturing </w:t>
      </w:r>
      <w:r>
        <w:rPr>
          <w:color w:val="0066CC"/>
          <w:sz w:val="16"/>
        </w:rPr>
        <w:t>[SRC-028, CLM-013, SRC-DT-REPORT]</w:t>
      </w:r>
      <w:r>
        <w:rPr>
          <w:sz w:val="18"/>
        </w:rPr>
        <w:t>.</w:t>
      </w:r>
    </w:p>
    <w:p>
      <w:r>
        <w:rPr>
          <w:b/>
          <w:sz w:val="18"/>
        </w:rPr>
        <w:t>LFP-specific CQA-CPP mapping</w:t>
      </w:r>
      <w:r>
        <w:rPr>
          <w:sz w:val="18"/>
        </w:rPr>
        <w:t>: The project establishes the following systematic linkages: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Primary CPPs</w:t>
            </w:r>
          </w:p>
        </w:tc>
        <w:tc>
          <w:tcPr>
            <w:tcW w:type="dxa" w:w="2635"/>
          </w:tcPr>
          <w:p>
            <w:r>
              <w:rPr>
                <w:b/>
                <w:sz w:val="16"/>
              </w:rPr>
              <w:t>Monitoring</w:t>
            </w:r>
          </w:p>
        </w:tc>
      </w:tr>
      <w:tr>
        <w:tc>
          <w:tcPr>
            <w:tcW w:type="dxa" w:w="2635"/>
          </w:tcPr>
          <w:p>
            <w:r>
              <w:rPr>
                <w:sz w:val="16"/>
              </w:rPr>
              <w:t>D10 particle size</w:t>
            </w:r>
          </w:p>
        </w:tc>
        <w:tc>
          <w:tcPr>
            <w:tcW w:type="dxa" w:w="2635"/>
          </w:tcPr>
          <w:p>
            <w:r>
              <w:rPr>
                <w:sz w:val="16"/>
              </w:rPr>
              <w:t>0.3-1.0 um</w:t>
            </w:r>
          </w:p>
        </w:tc>
        <w:tc>
          <w:tcPr>
            <w:tcW w:type="dxa" w:w="2635"/>
          </w:tcPr>
          <w:p>
            <w:r>
              <w:rPr>
                <w:sz w:val="16"/>
              </w:rPr>
              <w:t>Milling: air pressure, classifier speed</w:t>
            </w:r>
          </w:p>
        </w:tc>
        <w:tc>
          <w:tcPr>
            <w:tcW w:type="dxa" w:w="2635"/>
          </w:tcPr>
          <w:p>
            <w:r>
              <w:rPr>
                <w:sz w:val="16"/>
              </w:rPr>
              <w:t>Laser diffraction (at-line)</w:t>
            </w:r>
          </w:p>
        </w:tc>
      </w:tr>
      <w:tr>
        <w:tc>
          <w:tcPr>
            <w:tcW w:type="dxa" w:w="2635"/>
          </w:tcPr>
          <w:p>
            <w:r>
              <w:rPr>
                <w:sz w:val="16"/>
              </w:rPr>
              <w:t>D50 particle size</w:t>
            </w:r>
          </w:p>
        </w:tc>
        <w:tc>
          <w:tcPr>
            <w:tcW w:type="dxa" w:w="2635"/>
          </w:tcPr>
          <w:p>
            <w:r>
              <w:rPr>
                <w:sz w:val="16"/>
              </w:rPr>
              <w:t>0.7-2.5 um</w:t>
            </w:r>
          </w:p>
        </w:tc>
        <w:tc>
          <w:tcPr>
            <w:tcW w:type="dxa" w:w="2635"/>
          </w:tcPr>
          <w:p>
            <w:r>
              <w:rPr>
                <w:sz w:val="16"/>
              </w:rPr>
              <w:t>Spray drying: inlet/outlet T, feed rate, nozzle pressure; Milling: air pressure, classifier speed</w:t>
            </w:r>
          </w:p>
        </w:tc>
        <w:tc>
          <w:tcPr>
            <w:tcW w:type="dxa" w:w="2635"/>
          </w:tcPr>
          <w:p>
            <w:r>
              <w:rPr>
                <w:sz w:val="16"/>
              </w:rPr>
              <w:t>FBRM (in-line), laser diffraction (at-line)</w:t>
            </w:r>
          </w:p>
        </w:tc>
      </w:tr>
      <w:tr>
        <w:tc>
          <w:tcPr>
            <w:tcW w:type="dxa" w:w="2635"/>
          </w:tcPr>
          <w:p>
            <w:r>
              <w:rPr>
                <w:sz w:val="16"/>
              </w:rPr>
              <w:t>D90 particle size</w:t>
            </w:r>
          </w:p>
        </w:tc>
        <w:tc>
          <w:tcPr>
            <w:tcW w:type="dxa" w:w="2635"/>
          </w:tcPr>
          <w:p>
            <w:r>
              <w:rPr>
                <w:sz w:val="16"/>
              </w:rPr>
              <w:t>2.5-12.0 um</w:t>
            </w:r>
          </w:p>
        </w:tc>
        <w:tc>
          <w:tcPr>
            <w:tcW w:type="dxa" w:w="2635"/>
          </w:tcPr>
          <w:p>
            <w:r>
              <w:rPr>
                <w:sz w:val="16"/>
              </w:rPr>
              <w:t>Milling: classifier speed, sieve aperture</w:t>
            </w:r>
          </w:p>
        </w:tc>
        <w:tc>
          <w:tcPr>
            <w:tcW w:type="dxa" w:w="2635"/>
          </w:tcPr>
          <w:p>
            <w:r>
              <w:rPr>
                <w:sz w:val="16"/>
              </w:rPr>
              <w:t>Laser diffraction (at-line)</w:t>
            </w:r>
          </w:p>
        </w:tc>
      </w:tr>
      <w:tr>
        <w:tc>
          <w:tcPr>
            <w:tcW w:type="dxa" w:w="2635"/>
          </w:tcPr>
          <w:p>
            <w:r>
              <w:rPr>
                <w:sz w:val="16"/>
              </w:rPr>
              <w:t>Specific surface area (SSA)</w:t>
            </w:r>
          </w:p>
        </w:tc>
        <w:tc>
          <w:tcPr>
            <w:tcW w:type="dxa" w:w="2635"/>
          </w:tcPr>
          <w:p>
            <w:r>
              <w:rPr>
                <w:sz w:val="16"/>
              </w:rPr>
              <w:t>10-14 m2/g</w:t>
            </w:r>
          </w:p>
        </w:tc>
        <w:tc>
          <w:tcPr>
            <w:tcW w:type="dxa" w:w="2635"/>
          </w:tcPr>
          <w:p>
            <w:r>
              <w:rPr>
                <w:sz w:val="16"/>
              </w:rPr>
              <w:t>Calcination: T profile, dwell time; Spray drying: droplet size</w:t>
            </w:r>
          </w:p>
        </w:tc>
        <w:tc>
          <w:tcPr>
            <w:tcW w:type="dxa" w:w="2635"/>
          </w:tcPr>
          <w:p>
            <w:r>
              <w:rPr>
                <w:sz w:val="16"/>
              </w:rPr>
              <w:t>BET (at-line)</w:t>
            </w:r>
          </w:p>
        </w:tc>
      </w:tr>
      <w:tr>
        <w:tc>
          <w:tcPr>
            <w:tcW w:type="dxa" w:w="2635"/>
          </w:tcPr>
          <w:p>
            <w:r>
              <w:rPr>
                <w:sz w:val="16"/>
              </w:rPr>
              <w:t>Phase purity (olivine)</w:t>
            </w:r>
          </w:p>
        </w:tc>
        <w:tc>
          <w:tcPr>
            <w:tcW w:type="dxa" w:w="2635"/>
          </w:tcPr>
          <w:p>
            <w:r>
              <w:rPr>
                <w:sz w:val="16"/>
              </w:rPr>
              <w:t>&gt;98%</w:t>
            </w:r>
          </w:p>
        </w:tc>
        <w:tc>
          <w:tcPr>
            <w:tcW w:type="dxa" w:w="2635"/>
          </w:tcPr>
          <w:p>
            <w:r>
              <w:rPr>
                <w:sz w:val="16"/>
              </w:rPr>
              <w:t>Calcination: T (max 700 C), pO2 (&lt;10 ppm), dwell time</w:t>
            </w:r>
          </w:p>
        </w:tc>
        <w:tc>
          <w:tcPr>
            <w:tcW w:type="dxa" w:w="2635"/>
          </w:tcPr>
          <w:p>
            <w:r>
              <w:rPr>
                <w:sz w:val="16"/>
              </w:rPr>
              <w:t>Raman (at-line), XRD (at-line)</w:t>
            </w:r>
          </w:p>
        </w:tc>
      </w:tr>
      <w:tr>
        <w:tc>
          <w:tcPr>
            <w:tcW w:type="dxa" w:w="2635"/>
          </w:tcPr>
          <w:p>
            <w:r>
              <w:rPr>
                <w:sz w:val="16"/>
              </w:rPr>
              <w:t>Carbon content</w:t>
            </w:r>
          </w:p>
        </w:tc>
        <w:tc>
          <w:tcPr>
            <w:tcW w:type="dxa" w:w="2635"/>
          </w:tcPr>
          <w:p>
            <w:r>
              <w:rPr>
                <w:sz w:val="16"/>
              </w:rPr>
              <w:t>1.0-1.8 wt%</w:t>
            </w:r>
          </w:p>
        </w:tc>
        <w:tc>
          <w:tcPr>
            <w:tcW w:type="dxa" w:w="2635"/>
          </w:tcPr>
          <w:p>
            <w:r>
              <w:rPr>
                <w:sz w:val="16"/>
              </w:rPr>
              <w:t>Glucose loading (Step 1), calcination T profile</w:t>
            </w:r>
          </w:p>
        </w:tc>
        <w:tc>
          <w:tcPr>
            <w:tcW w:type="dxa" w:w="2635"/>
          </w:tcPr>
          <w:p>
            <w:r>
              <w:rPr>
                <w:sz w:val="16"/>
              </w:rPr>
              <w:t>Raman D/G ratio (at-line), elemental analysis</w:t>
            </w:r>
          </w:p>
        </w:tc>
      </w:tr>
      <w:tr>
        <w:tc>
          <w:tcPr>
            <w:tcW w:type="dxa" w:w="2635"/>
          </w:tcPr>
          <w:p>
            <w:r>
              <w:rPr>
                <w:sz w:val="16"/>
              </w:rPr>
              <w:t>Fe2+/Fe3+ ratio</w:t>
            </w:r>
          </w:p>
        </w:tc>
        <w:tc>
          <w:tcPr>
            <w:tcW w:type="dxa" w:w="2635"/>
          </w:tcPr>
          <w:p>
            <w:r>
              <w:rPr>
                <w:sz w:val="16"/>
              </w:rPr>
              <w:t>&gt;0.95</w:t>
            </w:r>
          </w:p>
        </w:tc>
        <w:tc>
          <w:tcPr>
            <w:tcW w:type="dxa" w:w="2635"/>
          </w:tcPr>
          <w:p>
            <w:r>
              <w:rPr>
                <w:sz w:val="16"/>
              </w:rPr>
              <w:t>Calcination: pO2 control, cooling rate</w:t>
            </w:r>
          </w:p>
        </w:tc>
        <w:tc>
          <w:tcPr>
            <w:tcW w:type="dxa" w:w="2635"/>
          </w:tcPr>
          <w:p>
            <w:r>
              <w:rPr>
                <w:sz w:val="16"/>
              </w:rPr>
              <w:t>Mossbauer or XPS (at-line)</w:t>
            </w:r>
          </w:p>
        </w:tc>
      </w:tr>
      <w:tr>
        <w:tc>
          <w:tcPr>
            <w:tcW w:type="dxa" w:w="2635"/>
          </w:tcPr>
          <w:p>
            <w:r>
              <w:rPr>
                <w:sz w:val="16"/>
              </w:rPr>
              <w:t>Discharge capacity (0.1C)</w:t>
            </w:r>
          </w:p>
        </w:tc>
        <w:tc>
          <w:tcPr>
            <w:tcW w:type="dxa" w:w="2635"/>
          </w:tcPr>
          <w:p>
            <w:r>
              <w:rPr>
                <w:sz w:val="16"/>
              </w:rPr>
              <w:t>&gt;=155 mAh/g</w:t>
            </w:r>
          </w:p>
        </w:tc>
        <w:tc>
          <w:tcPr>
            <w:tcW w:type="dxa" w:w="2635"/>
          </w:tcPr>
          <w:p>
            <w:r>
              <w:rPr>
                <w:sz w:val="16"/>
              </w:rPr>
              <w:t>All above (integrated quality)</w:t>
            </w:r>
          </w:p>
        </w:tc>
        <w:tc>
          <w:tcPr>
            <w:tcW w:type="dxa" w:w="2635"/>
          </w:tcPr>
          <w:p>
            <w:r>
              <w:rPr>
                <w:sz w:val="16"/>
              </w:rPr>
              <w:t>Electrochemical testing (off-line), DT prediction (real-time)</w:t>
            </w:r>
          </w:p>
        </w:tc>
      </w:tr>
      <w:tr>
        <w:tc>
          <w:tcPr>
            <w:tcW w:type="dxa" w:w="2635"/>
          </w:tcPr>
          <w:p>
            <w:r>
              <w:rPr>
                <w:sz w:val="16"/>
              </w:rPr>
              <w:t>Discharge capacity (1C)</w:t>
            </w:r>
          </w:p>
        </w:tc>
        <w:tc>
          <w:tcPr>
            <w:tcW w:type="dxa" w:w="2635"/>
          </w:tcPr>
          <w:p>
            <w:r>
              <w:rPr>
                <w:sz w:val="16"/>
              </w:rPr>
              <w:t>&gt;=140 mAh/g</w:t>
            </w:r>
          </w:p>
        </w:tc>
        <w:tc>
          <w:tcPr>
            <w:tcW w:type="dxa" w:w="2635"/>
          </w:tcPr>
          <w:p>
            <w:r>
              <w:rPr>
                <w:sz w:val="16"/>
              </w:rPr>
              <w:t>All above (integrated quality)</w:t>
            </w:r>
          </w:p>
        </w:tc>
        <w:tc>
          <w:tcPr>
            <w:tcW w:type="dxa" w:w="2635"/>
          </w:tcPr>
          <w:p>
            <w:r>
              <w:rPr>
                <w:sz w:val="16"/>
              </w:rPr>
              <w:t>Electrochemical testing (off-line)</w:t>
            </w:r>
          </w:p>
        </w:tc>
      </w:tr>
      <w:tr>
        <w:tc>
          <w:tcPr>
            <w:tcW w:type="dxa" w:w="2635"/>
          </w:tcPr>
          <w:p>
            <w:r>
              <w:rPr>
                <w:sz w:val="16"/>
              </w:rPr>
              <w:t>ICE</w:t>
            </w:r>
          </w:p>
        </w:tc>
        <w:tc>
          <w:tcPr>
            <w:tcW w:type="dxa" w:w="2635"/>
          </w:tcPr>
          <w:p>
            <w:r>
              <w:rPr>
                <w:sz w:val="16"/>
              </w:rPr>
              <w:t>~98%</w:t>
            </w:r>
          </w:p>
        </w:tc>
        <w:tc>
          <w:tcPr>
            <w:tcW w:type="dxa" w:w="2635"/>
          </w:tcPr>
          <w:p>
            <w:r>
              <w:rPr>
                <w:sz w:val="16"/>
              </w:rPr>
              <w:t>Calcination: T profile, atmosphere; Carbon coating quality</w:t>
            </w:r>
          </w:p>
        </w:tc>
        <w:tc>
          <w:tcPr>
            <w:tcW w:type="dxa" w:w="2635"/>
          </w:tcPr>
          <w:p>
            <w:r>
              <w:rPr>
                <w:sz w:val="16"/>
              </w:rPr>
              <w:t>Electrochemical testing (off-line)</w:t>
            </w:r>
          </w:p>
        </w:tc>
      </w:tr>
      <w:tr>
        <w:tc>
          <w:tcPr>
            <w:tcW w:type="dxa" w:w="2635"/>
          </w:tcPr>
          <w:p>
            <w:r>
              <w:rPr>
                <w:sz w:val="16"/>
              </w:rPr>
              <w:t>Moisture</w:t>
            </w:r>
          </w:p>
        </w:tc>
        <w:tc>
          <w:tcPr>
            <w:tcW w:type="dxa" w:w="2635"/>
          </w:tcPr>
          <w:p>
            <w:r>
              <w:rPr>
                <w:sz w:val="16"/>
              </w:rPr>
              <w:t>&lt;750 ppm</w:t>
            </w:r>
          </w:p>
        </w:tc>
        <w:tc>
          <w:tcPr>
            <w:tcW w:type="dxa" w:w="2635"/>
          </w:tcPr>
          <w:p>
            <w:r>
              <w:rPr>
                <w:sz w:val="16"/>
              </w:rPr>
              <w:t>Packaging: N2 environment, sealing</w:t>
            </w:r>
          </w:p>
        </w:tc>
        <w:tc>
          <w:tcPr>
            <w:tcW w:type="dxa" w:w="2635"/>
          </w:tcPr>
          <w:p>
            <w:r>
              <w:rPr>
                <w:sz w:val="16"/>
              </w:rPr>
              <w:t>Karl Fischer (at-line)</w:t>
            </w:r>
          </w:p>
        </w:tc>
      </w:tr>
      <w:tr>
        <w:tc>
          <w:tcPr>
            <w:tcW w:type="dxa" w:w="2635"/>
          </w:tcPr>
          <w:p>
            <w:r>
              <w:rPr>
                <w:sz w:val="16"/>
              </w:rPr>
              <w:t>Magnetic impurities</w:t>
            </w:r>
          </w:p>
        </w:tc>
        <w:tc>
          <w:tcPr>
            <w:tcW w:type="dxa" w:w="2635"/>
          </w:tcPr>
          <w:p>
            <w:r>
              <w:rPr>
                <w:sz w:val="16"/>
              </w:rPr>
              <w:t>&lt;=1000 ppb</w:t>
            </w:r>
          </w:p>
        </w:tc>
        <w:tc>
          <w:tcPr>
            <w:tcW w:type="dxa" w:w="2635"/>
          </w:tcPr>
          <w:p>
            <w:r>
              <w:rPr>
                <w:sz w:val="16"/>
              </w:rPr>
              <w:t>Demagnetisation field strength, milling media quality</w:t>
            </w:r>
          </w:p>
        </w:tc>
        <w:tc>
          <w:tcPr>
            <w:tcW w:type="dxa" w:w="2635"/>
          </w:tcPr>
          <w:p>
            <w:r>
              <w:rPr>
                <w:sz w:val="16"/>
              </w:rPr>
              <w:t>Magnetic susceptibility (at-line)</w:t>
            </w:r>
          </w:p>
        </w:tc>
      </w:tr>
      <w:tr>
        <w:tc>
          <w:tcPr>
            <w:tcW w:type="dxa" w:w="2635"/>
          </w:tcPr>
          <w:p>
            <w:r>
              <w:rPr>
                <w:sz w:val="16"/>
              </w:rPr>
              <w:t>Tap density</w:t>
            </w:r>
          </w:p>
        </w:tc>
        <w:tc>
          <w:tcPr>
            <w:tcW w:type="dxa" w:w="2635"/>
          </w:tcPr>
          <w:p>
            <w:r>
              <w:rPr>
                <w:sz w:val="16"/>
              </w:rPr>
              <w:t>1.0-1.4 g/cm3</w:t>
            </w:r>
          </w:p>
        </w:tc>
        <w:tc>
          <w:tcPr>
            <w:tcW w:type="dxa" w:w="2635"/>
          </w:tcPr>
          <w:p>
            <w:r>
              <w:rPr>
                <w:sz w:val="16"/>
              </w:rPr>
              <w:t>Spray drying: morphology control; Milling: classification</w:t>
            </w:r>
          </w:p>
        </w:tc>
        <w:tc>
          <w:tcPr>
            <w:tcW w:type="dxa" w:w="2635"/>
          </w:tcPr>
          <w:p>
            <w:r>
              <w:rPr>
                <w:sz w:val="16"/>
              </w:rPr>
              <w:t>Tap density (at-line)</w:t>
            </w:r>
          </w:p>
        </w:tc>
      </w:tr>
      <w:tr>
        <w:tc>
          <w:tcPr>
            <w:tcW w:type="dxa" w:w="2635"/>
          </w:tcPr>
          <w:p>
            <w:r>
              <w:rPr>
                <w:sz w:val="16"/>
              </w:rPr>
              <w:t>Pellet density</w:t>
            </w:r>
          </w:p>
        </w:tc>
        <w:tc>
          <w:tcPr>
            <w:tcW w:type="dxa" w:w="2635"/>
          </w:tcPr>
          <w:p>
            <w:r>
              <w:rPr>
                <w:sz w:val="16"/>
              </w:rPr>
              <w:t>&gt;=2.40 g/cm3</w:t>
            </w:r>
          </w:p>
        </w:tc>
        <w:tc>
          <w:tcPr>
            <w:tcW w:type="dxa" w:w="2635"/>
          </w:tcPr>
          <w:p>
            <w:r>
              <w:rPr>
                <w:sz w:val="16"/>
              </w:rPr>
              <w:t>Calcination: sintering control; Particle morphology</w:t>
            </w:r>
          </w:p>
        </w:tc>
        <w:tc>
          <w:tcPr>
            <w:tcW w:type="dxa" w:w="2635"/>
          </w:tcPr>
          <w:p>
            <w:r>
              <w:rPr>
                <w:sz w:val="16"/>
              </w:rPr>
              <w:t>Density measurement (at-line)</w:t>
            </w:r>
          </w:p>
        </w:tc>
      </w:tr>
      <w:tr>
        <w:tc>
          <w:tcPr>
            <w:tcW w:type="dxa" w:w="2635"/>
          </w:tcPr>
          <w:p>
            <w:r>
              <w:rPr>
                <w:sz w:val="16"/>
              </w:rPr>
              <w:t>Electrode press density</w:t>
            </w:r>
          </w:p>
        </w:tc>
        <w:tc>
          <w:tcPr>
            <w:tcW w:type="dxa" w:w="2635"/>
          </w:tcPr>
          <w:p>
            <w:r>
              <w:rPr>
                <w:sz w:val="16"/>
              </w:rPr>
              <w:t>&gt;=2.30 g/cm3</w:t>
            </w:r>
          </w:p>
        </w:tc>
        <w:tc>
          <w:tcPr>
            <w:tcW w:type="dxa" w:w="2635"/>
          </w:tcPr>
          <w:p>
            <w:r>
              <w:rPr>
                <w:sz w:val="16"/>
              </w:rPr>
              <w:t>Particle morphology, PSD control</w:t>
            </w:r>
          </w:p>
        </w:tc>
        <w:tc>
          <w:tcPr>
            <w:tcW w:type="dxa" w:w="2635"/>
          </w:tcPr>
          <w:p>
            <w:r>
              <w:rPr>
                <w:sz w:val="16"/>
              </w:rPr>
              <w:t>Press density measurement (at-line)</w:t>
            </w:r>
          </w:p>
        </w:tc>
      </w:tr>
      <w:tr>
        <w:tc>
          <w:tcPr>
            <w:tcW w:type="dxa" w:w="2635"/>
          </w:tcPr>
          <w:p>
            <w:r>
              <w:rPr>
                <w:sz w:val="16"/>
              </w:rPr>
              <w:t>Particle morphology</w:t>
            </w:r>
          </w:p>
        </w:tc>
        <w:tc>
          <w:tcPr>
            <w:tcW w:type="dxa" w:w="2635"/>
          </w:tcPr>
          <w:p>
            <w:r>
              <w:rPr>
                <w:sz w:val="16"/>
              </w:rPr>
              <w:t>Spherical, minimal aggregation</w:t>
            </w:r>
          </w:p>
        </w:tc>
        <w:tc>
          <w:tcPr>
            <w:tcW w:type="dxa" w:w="2635"/>
          </w:tcPr>
          <w:p>
            <w:r>
              <w:rPr>
                <w:sz w:val="16"/>
              </w:rPr>
              <w:t>Spray drying: T, feed concentration</w:t>
            </w:r>
          </w:p>
        </w:tc>
        <w:tc>
          <w:tcPr>
            <w:tcW w:type="dxa" w:w="2635"/>
          </w:tcPr>
          <w:p>
            <w:r>
              <w:rPr>
                <w:sz w:val="16"/>
              </w:rPr>
              <w:t>SEM/image analysis (off-line), DT prediction</w:t>
            </w:r>
          </w:p>
        </w:tc>
      </w:tr>
    </w:tbl>
    <w:p>
      <w:r>
        <w:rPr>
          <w:sz w:val="18"/>
        </w:rPr>
        <w:t>The QbD framework transforms LFP CAM manufacturing from recipe-based empirical control to model-predictive design-space control. Instead of fixing process parameters and testing the result, the DT continuously predicts product quality from current process state and adjusts parameters to maintain operation within the validated design space. This is the conceptual leap that pharmaceutical manufacturing achieved with PAT — now applied to battery materials for the first time.</w:t>
      </w:r>
    </w:p>
    <w:p>
      <w:r>
        <w:rPr>
          <w:b/>
          <w:sz w:val="18"/>
        </w:rPr>
        <w:t>Sensor challenges and mitigation</w:t>
      </w:r>
      <w:r>
        <w:rPr>
          <w:sz w:val="18"/>
        </w:rPr>
        <w:t xml:space="preserve">: Direct transfer of pharmaceutical PAT to LFP calcination faces practical constraints: Raman probes require sapphire windows that foul at 600-700 C; FBRM cannot survive calcination temperatures; O2 sensors drift at high temperature </w:t>
      </w:r>
      <w:r>
        <w:rPr>
          <w:color w:val="0066CC"/>
          <w:sz w:val="16"/>
        </w:rPr>
        <w:t>[SRC-DT-REPORT]</w:t>
      </w:r>
      <w:r>
        <w:rPr>
          <w:sz w:val="18"/>
        </w:rPr>
        <w:t xml:space="preserve">. The project addresses these through a </w:t>
      </w:r>
      <w:r>
        <w:rPr>
          <w:b/>
          <w:sz w:val="18"/>
        </w:rPr>
        <w:t>hybrid in-line/at-line strategy</w:t>
      </w:r>
      <w:r>
        <w:rPr>
          <w:sz w:val="18"/>
        </w:rPr>
        <w:t>: true in-line monitoring where sensors can operate (spray drying, milling, packaging) and rapid at-line sampling with automated transfer for calcination-related CQAs (phase purity, carbon quality). The DT's virtual sensing capability bridges the gaps — physics-based models predict calcination-stage CQAs from measurable in-line parameters (temperature, atmosphere, time), validated against periodic at-line measurements.</w:t>
      </w:r>
    </w:p>
    <w:p>
      <w:pPr>
        <w:pStyle w:val="Heading3"/>
      </w:pPr>
      <w:r>
        <w:t>Mandatory Innovation Dimensions</w:t>
      </w:r>
    </w:p>
    <w:p>
      <w:r>
        <w:rPr>
          <w:sz w:val="18"/>
        </w:rPr>
        <w:t>The Innovation Fund evaluation requires evidence of innovation across plant design, operating approach, construction, performance/quality, reliability/availability, maintenance, and economics. The following table maps the project's innovations to each dimension:</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Dimension</w:t>
            </w:r>
          </w:p>
        </w:tc>
        <w:tc>
          <w:tcPr>
            <w:tcW w:type="dxa" w:w="3513"/>
          </w:tcPr>
          <w:p>
            <w:r>
              <w:rPr>
                <w:b/>
                <w:sz w:val="16"/>
              </w:rPr>
              <w:t>Innovation beyond SOTA</w:t>
            </w:r>
          </w:p>
        </w:tc>
        <w:tc>
          <w:tcPr>
            <w:tcW w:type="dxa" w:w="3513"/>
          </w:tcPr>
          <w:p>
            <w:r>
              <w:rPr>
                <w:b/>
                <w:sz w:val="16"/>
              </w:rPr>
              <w:t>Evidence</w:t>
            </w:r>
          </w:p>
        </w:tc>
      </w:tr>
      <w:tr>
        <w:tc>
          <w:tcPr>
            <w:tcW w:type="dxa" w:w="3513"/>
          </w:tcPr>
          <w:p>
            <w:r>
              <w:rPr>
                <w:sz w:val="16"/>
              </w:rPr>
              <w:t>**Plant design**</w:t>
            </w:r>
          </w:p>
        </w:tc>
        <w:tc>
          <w:tcPr>
            <w:tcW w:type="dxa" w:w="3513"/>
          </w:tcPr>
          <w:p>
            <w:r>
              <w:rPr>
                <w:sz w:val="16"/>
              </w:rPr>
              <w:t>Progressively electrified thermal processing (HTHP + electric RHK, with pathway to full electrification); ISO 23247 DT architecture integrated from design phase; PAT sensor network embedded in process equipment; 4 modular lines x 12.5 kton/yr for 50 kton/yr total capacity</w:t>
            </w:r>
          </w:p>
        </w:tc>
        <w:tc>
          <w:tcPr>
            <w:tcW w:type="dxa" w:w="3513"/>
          </w:tcPr>
          <w:p>
            <w:r>
              <w:rPr>
                <w:sz w:val="16"/>
              </w:rPr>
              <w:t>No existing LFP CAM plant uses electrified process heat or integrated DT [CLM-005, GAP-003]</w:t>
            </w:r>
          </w:p>
        </w:tc>
      </w:tr>
      <w:tr>
        <w:tc>
          <w:tcPr>
            <w:tcW w:type="dxa" w:w="3513"/>
          </w:tcPr>
          <w:p>
            <w:r>
              <w:rPr>
                <w:sz w:val="16"/>
              </w:rPr>
              <w:t>**Operating approach**</w:t>
            </w:r>
          </w:p>
        </w:tc>
        <w:tc>
          <w:tcPr>
            <w:tcW w:type="dxa" w:w="3513"/>
          </w:tcPr>
          <w:p>
            <w:r>
              <w:rPr>
                <w:sz w:val="16"/>
              </w:rPr>
              <w:t>Closed-loop MPC replacing recipe-based control; real-time quality prediction from physics-based surrogates; automated process adjustment within design space</w:t>
            </w:r>
          </w:p>
        </w:tc>
        <w:tc>
          <w:tcPr>
            <w:tcW w:type="dxa" w:w="3513"/>
          </w:tcPr>
          <w:p>
            <w:r>
              <w:rPr>
                <w:sz w:val="16"/>
              </w:rPr>
              <w:t>Current SOTA: empirical, recipe-based, offline QC [CLM-013, SRC-028]</w:t>
            </w:r>
          </w:p>
        </w:tc>
      </w:tr>
      <w:tr>
        <w:tc>
          <w:tcPr>
            <w:tcW w:type="dxa" w:w="3513"/>
          </w:tcPr>
          <w:p>
            <w:r>
              <w:rPr>
                <w:sz w:val="16"/>
              </w:rPr>
              <w:t>**Construction**</w:t>
            </w:r>
          </w:p>
        </w:tc>
        <w:tc>
          <w:tcPr>
            <w:tcW w:type="dxa" w:w="3513"/>
          </w:tcPr>
          <w:p>
            <w:r>
              <w:rPr>
                <w:sz w:val="16"/>
              </w:rPr>
              <w:t>Brownfield conversion of Eni industrial site; accelerated timeline leveraging existing infrastructure and permitting precedent</w:t>
            </w:r>
          </w:p>
        </w:tc>
        <w:tc>
          <w:tcPr>
            <w:tcW w:type="dxa" w:w="3513"/>
          </w:tcPr>
          <w:p>
            <w:r>
              <w:rPr>
                <w:sz w:val="16"/>
              </w:rPr>
              <w:t>Site-specific advantage enabling FC within 2 years, EiO within 4 years</w:t>
            </w:r>
          </w:p>
        </w:tc>
      </w:tr>
      <w:tr>
        <w:tc>
          <w:tcPr>
            <w:tcW w:type="dxa" w:w="3513"/>
          </w:tcPr>
          <w:p>
            <w:r>
              <w:rPr>
                <w:sz w:val="16"/>
              </w:rPr>
              <w:t>**Performance/quality**</w:t>
            </w:r>
          </w:p>
        </w:tc>
        <w:tc>
          <w:tcPr>
            <w:tcW w:type="dxa" w:w="3513"/>
          </w:tcPr>
          <w:p>
            <w:r>
              <w:rPr>
                <w:sz w:val="16"/>
              </w:rPr>
              <w:t>Target CQAs: D50 0.7-2.5 um, SSA 10-14 m2/g, &gt;=155 mAh/g capacity (0.1C), &gt;=140 mAh/g (1C), &gt;98% olivine purity, carbon 1.0-1.8 wt%, ICE ~98%; achieved through DT-driven process control</w:t>
            </w:r>
          </w:p>
        </w:tc>
        <w:tc>
          <w:tcPr>
            <w:tcW w:type="dxa" w:w="3513"/>
          </w:tcPr>
          <w:p>
            <w:r>
              <w:rPr>
                <w:sz w:val="16"/>
              </w:rPr>
              <w:t>DT benchmarks: 10-50% scrap reduction [CLM-007, CLM-017]</w:t>
            </w:r>
          </w:p>
        </w:tc>
      </w:tr>
      <w:tr>
        <w:tc>
          <w:tcPr>
            <w:tcW w:type="dxa" w:w="3513"/>
          </w:tcPr>
          <w:p>
            <w:r>
              <w:rPr>
                <w:sz w:val="16"/>
              </w:rPr>
              <w:t>**Reliability/availability**</w:t>
            </w:r>
          </w:p>
        </w:tc>
        <w:tc>
          <w:tcPr>
            <w:tcW w:type="dxa" w:w="3513"/>
          </w:tcPr>
          <w:p>
            <w:r>
              <w:rPr>
                <w:sz w:val="16"/>
              </w:rPr>
              <w:t>Predictive maintenance via DT (20-50% unplanned downtime reduction); condition-based equipment monitoring; virtual sensing for inaccessible parameters</w:t>
            </w:r>
          </w:p>
        </w:tc>
        <w:tc>
          <w:tcPr>
            <w:tcW w:type="dxa" w:w="3513"/>
          </w:tcPr>
          <w:p>
            <w:r>
              <w:rPr>
                <w:sz w:val="16"/>
              </w:rPr>
              <w:t>Cross-industry DT downtime reduction demonstrated [CLM-007]</w:t>
            </w:r>
          </w:p>
        </w:tc>
      </w:tr>
      <w:tr>
        <w:tc>
          <w:tcPr>
            <w:tcW w:type="dxa" w:w="3513"/>
          </w:tcPr>
          <w:p>
            <w:r>
              <w:rPr>
                <w:sz w:val="16"/>
              </w:rPr>
              <w:t>**Maintenance**</w:t>
            </w:r>
          </w:p>
        </w:tc>
        <w:tc>
          <w:tcPr>
            <w:tcW w:type="dxa" w:w="3513"/>
          </w:tcPr>
          <w:p>
            <w:r>
              <w:rPr>
                <w:sz w:val="16"/>
              </w:rPr>
              <w:t>Condition-based monitoring replacing calendar-based schedules; DT-derived equipment health indicators; degradation prediction for heating elements, sensors</w:t>
            </w:r>
          </w:p>
        </w:tc>
        <w:tc>
          <w:tcPr>
            <w:tcW w:type="dxa" w:w="3513"/>
          </w:tcPr>
          <w:p>
            <w:r>
              <w:rPr>
                <w:sz w:val="16"/>
              </w:rPr>
              <w:t>TwinHeat predictive maintenance for furnace elements [CLM-016]</w:t>
            </w:r>
          </w:p>
        </w:tc>
      </w:tr>
      <w:tr>
        <w:tc>
          <w:tcPr>
            <w:tcW w:type="dxa" w:w="3513"/>
          </w:tcPr>
          <w:p>
            <w:r>
              <w:rPr>
                <w:sz w:val="16"/>
              </w:rPr>
              <w:t>**Economics**</w:t>
            </w:r>
          </w:p>
        </w:tc>
        <w:tc>
          <w:tcPr>
            <w:tcW w:type="dxa" w:w="3513"/>
          </w:tcPr>
          <w:p>
            <w:r>
              <w:rPr>
                <w:sz w:val="16"/>
              </w:rPr>
              <w:t>Reduced scrap and energy costs; quality consistency enabling premium pricing; lower total cost of ownership for electrified vs gas equipment (no fuel price volatility)</w:t>
            </w:r>
          </w:p>
        </w:tc>
        <w:tc>
          <w:tcPr>
            <w:tcW w:type="dxa" w:w="3513"/>
          </w:tcPr>
          <w:p>
            <w:r>
              <w:rPr>
                <w:sz w:val="16"/>
              </w:rPr>
              <w:t>Energy savings 12-15% [CLM-007]; thermal efficiency advantage 1.6-3.8x [CLM-023]</w:t>
            </w:r>
          </w:p>
        </w:tc>
      </w:tr>
    </w:tbl>
    <w:p>
      <w:pPr>
        <w:pStyle w:val="Heading3"/>
      </w:pPr>
      <w:r>
        <w:t>TRL Progression</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Component</w:t>
            </w:r>
          </w:p>
        </w:tc>
        <w:tc>
          <w:tcPr>
            <w:tcW w:type="dxa" w:w="2108"/>
          </w:tcPr>
          <w:p>
            <w:r>
              <w:rPr>
                <w:b/>
                <w:sz w:val="16"/>
              </w:rPr>
              <w:t>Start TRL</w:t>
            </w:r>
          </w:p>
        </w:tc>
        <w:tc>
          <w:tcPr>
            <w:tcW w:type="dxa" w:w="2108"/>
          </w:tcPr>
          <w:p>
            <w:r>
              <w:rPr>
                <w:b/>
                <w:sz w:val="16"/>
              </w:rPr>
              <w:t>End TRL</w:t>
            </w:r>
          </w:p>
        </w:tc>
        <w:tc>
          <w:tcPr>
            <w:tcW w:type="dxa" w:w="2108"/>
          </w:tcPr>
          <w:p>
            <w:r>
              <w:rPr>
                <w:b/>
                <w:sz w:val="16"/>
              </w:rPr>
              <w:t>Evidence for current TRL</w:t>
            </w:r>
          </w:p>
        </w:tc>
        <w:tc>
          <w:tcPr>
            <w:tcW w:type="dxa" w:w="2108"/>
          </w:tcPr>
          <w:p>
            <w:r>
              <w:rPr>
                <w:b/>
                <w:sz w:val="16"/>
              </w:rPr>
              <w:t>Advancement pathway</w:t>
            </w:r>
          </w:p>
        </w:tc>
      </w:tr>
      <w:tr>
        <w:tc>
          <w:tcPr>
            <w:tcW w:type="dxa" w:w="2108"/>
          </w:tcPr>
          <w:p>
            <w:r>
              <w:rPr>
                <w:sz w:val="16"/>
              </w:rPr>
              <w:t>LFP solid-state synthesis</w:t>
            </w:r>
          </w:p>
        </w:tc>
        <w:tc>
          <w:tcPr>
            <w:tcW w:type="dxa" w:w="2108"/>
          </w:tcPr>
          <w:p>
            <w:r>
              <w:rPr>
                <w:sz w:val="16"/>
              </w:rPr>
              <w:t>7</w:t>
            </w:r>
          </w:p>
        </w:tc>
        <w:tc>
          <w:tcPr>
            <w:tcW w:type="dxa" w:w="2108"/>
          </w:tcPr>
          <w:p>
            <w:r>
              <w:rPr>
                <w:sz w:val="16"/>
              </w:rPr>
              <w:t>9</w:t>
            </w:r>
          </w:p>
        </w:tc>
        <w:tc>
          <w:tcPr>
            <w:tcW w:type="dxa" w:w="2108"/>
          </w:tcPr>
          <w:p>
            <w:r>
              <w:rPr>
                <w:sz w:val="16"/>
              </w:rPr>
              <w:t>Established industrial route used by all major Chinese producers [SRC-011, SRC-022]. The project's technology licensor provides proven process know-how for the solid-state synthesis route, bridging from TRL 7 (demonstrated industrial route) to the specific Brindisi plant configuration.</w:t>
            </w:r>
          </w:p>
        </w:tc>
        <w:tc>
          <w:tcPr>
            <w:tcW w:type="dxa" w:w="2108"/>
          </w:tcPr>
          <w:p>
            <w:r>
              <w:rPr>
                <w:sz w:val="16"/>
              </w:rPr>
              <w:t>Process qualification at Brindisi; product certification with cell manufacturers</w:t>
            </w:r>
          </w:p>
        </w:tc>
      </w:tr>
      <w:tr>
        <w:tc>
          <w:tcPr>
            <w:tcW w:type="dxa" w:w="2108"/>
          </w:tcPr>
          <w:p>
            <w:r>
              <w:rPr>
                <w:sz w:val="16"/>
              </w:rPr>
              <w:t>Electrified calcination (electric RHK)</w:t>
            </w:r>
          </w:p>
        </w:tc>
        <w:tc>
          <w:tcPr>
            <w:tcW w:type="dxa" w:w="2108"/>
          </w:tcPr>
          <w:p>
            <w:r>
              <w:rPr>
                <w:sz w:val="16"/>
              </w:rPr>
              <w:t>5-6</w:t>
            </w:r>
          </w:p>
        </w:tc>
        <w:tc>
          <w:tcPr>
            <w:tcW w:type="dxa" w:w="2108"/>
          </w:tcPr>
          <w:p>
            <w:r>
              <w:rPr>
                <w:sz w:val="16"/>
              </w:rPr>
              <w:t>7-8</w:t>
            </w:r>
          </w:p>
        </w:tc>
        <w:tc>
          <w:tcPr>
            <w:tcW w:type="dxa" w:w="2108"/>
          </w:tcPr>
          <w:p>
            <w:r>
              <w:rPr>
                <w:sz w:val="16"/>
              </w:rPr>
              <w:t>Electric roller hearth kilns commercially available (Kanthal, NGK) and validated for NMC at higher temperatures [SRC-ED-009, SRC-ED-010, SRC-ED-023]; not demonstrated for LFP-specific chemistry/atmosphere</w:t>
            </w:r>
          </w:p>
        </w:tc>
        <w:tc>
          <w:tcPr>
            <w:tcW w:type="dxa" w:w="2108"/>
          </w:tcPr>
          <w:p>
            <w:r>
              <w:rPr>
                <w:sz w:val="16"/>
              </w:rPr>
              <w:t>System integration with LFP process; validation of product quality under electric heating; long-term reliability demonstration</w:t>
            </w:r>
          </w:p>
        </w:tc>
      </w:tr>
      <w:tr>
        <w:tc>
          <w:tcPr>
            <w:tcW w:type="dxa" w:w="2108"/>
          </w:tcPr>
          <w:p>
            <w:r>
              <w:rPr>
                <w:sz w:val="16"/>
              </w:rPr>
              <w:t>HTHP spray drying</w:t>
            </w:r>
          </w:p>
        </w:tc>
        <w:tc>
          <w:tcPr>
            <w:tcW w:type="dxa" w:w="2108"/>
          </w:tcPr>
          <w:p>
            <w:r>
              <w:rPr>
                <w:sz w:val="16"/>
              </w:rPr>
              <w:t>5</w:t>
            </w:r>
          </w:p>
        </w:tc>
        <w:tc>
          <w:tcPr>
            <w:tcW w:type="dxa" w:w="2108"/>
          </w:tcPr>
          <w:p>
            <w:r>
              <w:rPr>
                <w:sz w:val="16"/>
              </w:rPr>
              <w:t>7</w:t>
            </w:r>
          </w:p>
        </w:tc>
        <w:tc>
          <w:tcPr>
            <w:tcW w:type="dxa" w:w="2108"/>
          </w:tcPr>
          <w:p>
            <w:r>
              <w:rPr>
                <w:sz w:val="16"/>
              </w:rPr>
              <w:t>HTHP demonstrated at COP 3.04-3.6 in peer-reviewed studies [SRC-ED-004, SRC-ED-005]; not integrated with LFP slurry drying</w:t>
            </w:r>
          </w:p>
        </w:tc>
        <w:tc>
          <w:tcPr>
            <w:tcW w:type="dxa" w:w="2108"/>
          </w:tcPr>
          <w:p>
            <w:r>
              <w:rPr>
                <w:sz w:val="16"/>
              </w:rPr>
              <w:t>Integration with LFP precursor spray drying; scale-up validation; thermal efficiency verification</w:t>
            </w:r>
          </w:p>
        </w:tc>
      </w:tr>
      <w:tr>
        <w:tc>
          <w:tcPr>
            <w:tcW w:type="dxa" w:w="2108"/>
          </w:tcPr>
          <w:p>
            <w:r>
              <w:rPr>
                <w:sz w:val="16"/>
              </w:rPr>
              <w:t>DT for CAM synthesis</w:t>
            </w:r>
          </w:p>
        </w:tc>
        <w:tc>
          <w:tcPr>
            <w:tcW w:type="dxa" w:w="2108"/>
          </w:tcPr>
          <w:p>
            <w:r>
              <w:rPr>
                <w:sz w:val="16"/>
              </w:rPr>
              <w:t>3-4</w:t>
            </w:r>
          </w:p>
        </w:tc>
        <w:tc>
          <w:tcPr>
            <w:tcW w:type="dxa" w:w="2108"/>
          </w:tcPr>
          <w:p>
            <w:r>
              <w:rPr>
                <w:sz w:val="16"/>
              </w:rPr>
              <w:t>6-7</w:t>
            </w:r>
          </w:p>
        </w:tc>
        <w:tc>
          <w:tcPr>
            <w:tcW w:type="dxa" w:w="2108"/>
          </w:tcPr>
          <w:p>
            <w:r>
              <w:rPr>
                <w:sz w:val="16"/>
              </w:rPr>
              <w:t>Individual physics-based models validated (ARTISTIC for electrodes [SRC-004]; TwinHeat for furnaces [SRC-DT-REPORT]; Ma et al. for sintering [SRC-014]); no integrated LFP CAM DT exists [CLM-005]</w:t>
            </w:r>
          </w:p>
        </w:tc>
        <w:tc>
          <w:tcPr>
            <w:tcW w:type="dxa" w:w="2108"/>
          </w:tcPr>
          <w:p>
            <w:r>
              <w:rPr>
                <w:sz w:val="16"/>
              </w:rPr>
              <w:t>Model integration; sensor fusion validation; closed-loop MPC commissioning; industrial operation</w:t>
            </w:r>
          </w:p>
        </w:tc>
      </w:tr>
      <w:tr>
        <w:tc>
          <w:tcPr>
            <w:tcW w:type="dxa" w:w="2108"/>
          </w:tcPr>
          <w:p>
            <w:r>
              <w:rPr>
                <w:sz w:val="16"/>
              </w:rPr>
              <w:t>ISO 23247 for powder manufacturing</w:t>
            </w:r>
          </w:p>
        </w:tc>
        <w:tc>
          <w:tcPr>
            <w:tcW w:type="dxa" w:w="2108"/>
          </w:tcPr>
          <w:p>
            <w:r>
              <w:rPr>
                <w:sz w:val="16"/>
              </w:rPr>
              <w:t>3</w:t>
            </w:r>
          </w:p>
        </w:tc>
        <w:tc>
          <w:tcPr>
            <w:tcW w:type="dxa" w:w="2108"/>
          </w:tcPr>
          <w:p>
            <w:r>
              <w:rPr>
                <w:sz w:val="16"/>
              </w:rPr>
              <w:t>6</w:t>
            </w:r>
          </w:p>
        </w:tc>
        <w:tc>
          <w:tcPr>
            <w:tcW w:type="dxa" w:w="2108"/>
          </w:tcPr>
          <w:p>
            <w:r>
              <w:rPr>
                <w:sz w:val="16"/>
              </w:rPr>
              <w:t>Standard defined and validated for discrete manufacturing only [SRC-007, SRC-009, SRC-010, CLM-008]</w:t>
            </w:r>
          </w:p>
        </w:tc>
        <w:tc>
          <w:tcPr>
            <w:tcW w:type="dxa" w:w="2108"/>
          </w:tcPr>
          <w:p>
            <w:r>
              <w:rPr>
                <w:sz w:val="16"/>
              </w:rPr>
              <w:t>Extend to chemical/powder processes; validate data exchange; demonstrate real-time capability</w:t>
            </w:r>
          </w:p>
        </w:tc>
      </w:tr>
      <w:tr>
        <w:tc>
          <w:tcPr>
            <w:tcW w:type="dxa" w:w="2108"/>
          </w:tcPr>
          <w:p>
            <w:r>
              <w:rPr>
                <w:sz w:val="16"/>
              </w:rPr>
              <w:t>PAT/QbD for LFP</w:t>
            </w:r>
          </w:p>
        </w:tc>
        <w:tc>
          <w:tcPr>
            <w:tcW w:type="dxa" w:w="2108"/>
          </w:tcPr>
          <w:p>
            <w:r>
              <w:rPr>
                <w:sz w:val="16"/>
              </w:rPr>
              <w:t>4</w:t>
            </w:r>
          </w:p>
        </w:tc>
        <w:tc>
          <w:tcPr>
            <w:tcW w:type="dxa" w:w="2108"/>
          </w:tcPr>
          <w:p>
            <w:r>
              <w:rPr>
                <w:sz w:val="16"/>
              </w:rPr>
              <w:t>7</w:t>
            </w:r>
          </w:p>
        </w:tc>
        <w:tc>
          <w:tcPr>
            <w:tcW w:type="dxa" w:w="2108"/>
          </w:tcPr>
          <w:p>
            <w:r>
              <w:rPr>
                <w:sz w:val="16"/>
              </w:rPr>
              <w:t>Pharmaceutical PAT mature (ICH Q8-Q11); LFP CQA/CPP mapping documented [SRC-DT-REPORT]; sensor technologies exist individually</w:t>
            </w:r>
          </w:p>
        </w:tc>
        <w:tc>
          <w:tcPr>
            <w:tcW w:type="dxa" w:w="2108"/>
          </w:tcPr>
          <w:p>
            <w:r>
              <w:rPr>
                <w:sz w:val="16"/>
              </w:rPr>
              <w:t>Formal CQA-CPP validation; design space establishment; RTRT implementation</w:t>
            </w:r>
          </w:p>
        </w:tc>
      </w:tr>
    </w:tbl>
    <w:p>
      <w:pPr>
        <w:pStyle w:val="Heading3"/>
      </w:pPr>
      <w:r>
        <w:t>Barriers to Overcome</w:t>
      </w:r>
    </w:p>
    <w:p>
      <w:r>
        <w:rPr>
          <w:b/>
          <w:sz w:val="18"/>
        </w:rPr>
        <w:t>Technological barriers:</w:t>
      </w:r>
    </w:p>
    <w:p>
      <w:pPr>
        <w:pStyle w:val="ListNumber"/>
      </w:pPr>
      <w:r>
        <w:rPr>
          <w:b/>
          <w:sz w:val="18"/>
        </w:rPr>
        <w:t>Scaling multi-scale models to real-time</w:t>
      </w:r>
      <w:r>
        <w:rPr>
          <w:sz w:val="18"/>
        </w:rPr>
        <w:t>: The DFT-to-plant modelling hierarchy requires surrogate models at each scale transition to achieve real-time inference (&lt;1 second). Training accurate surrogates requires extensive high-fidelity simulation campaigns. The risk is that surrogate fidelity is insufficient for closed-loop control — mitigated by the hybrid approach (physics-based + data-driven corrections from sensor data) and progressive refinement during commissioning.</w:t>
      </w:r>
    </w:p>
    <w:p>
      <w:pPr>
        <w:pStyle w:val="ListNumber"/>
      </w:pPr>
      <w:r>
        <w:rPr>
          <w:b/>
          <w:sz w:val="18"/>
        </w:rPr>
        <w:t>Sensor reliability at &gt;600 C</w:t>
      </w:r>
      <w:r>
        <w:rPr>
          <w:sz w:val="18"/>
        </w:rPr>
        <w:t>: Raman spectroscopy probes face sapphire window fouling during calcination; FBRM cannot operate above its thermal limit; zirconia O2 sensors drift at sustained high temperatures. Mitigation: hybrid in-line/at-line strategy with virtual sensing to bridge measurement gaps; sensor maintenance scheduling informed by DT-predicted degradation rates.</w:t>
      </w:r>
    </w:p>
    <w:p>
      <w:pPr>
        <w:pStyle w:val="ListNumber"/>
      </w:pPr>
      <w:r>
        <w:rPr>
          <w:b/>
          <w:sz w:val="18"/>
        </w:rPr>
        <w:t>DT-process coupling latency</w:t>
      </w:r>
      <w:r>
        <w:rPr>
          <w:sz w:val="18"/>
        </w:rPr>
        <w:t>: For effective MPC, the sensor-to-actuator control loop must complete within the process time constant. For calcination (thermal time constant ~minutes), this is achievable. For spray drying (droplet drying time ~seconds), edge computing with pre-computed lookup tables from surrogate models is required. Target: &lt;100 ms sensor-to-prediction latency at edge nodes; &lt;5 second prediction-to-actuation for all MPC loops.</w:t>
      </w:r>
    </w:p>
    <w:p>
      <w:pPr>
        <w:pStyle w:val="ListNumber"/>
      </w:pPr>
      <w:r>
        <w:rPr>
          <w:b/>
          <w:sz w:val="18"/>
        </w:rPr>
        <w:t>LFP-specific atmosphere control under electric heating</w:t>
      </w:r>
      <w:r>
        <w:rPr>
          <w:sz w:val="18"/>
        </w:rPr>
        <w:t>: Maintaining pO2 &lt;10 ppm in an electric roller hearth kiln requires careful sealing and N2 flow design. Gas-fired kilns inherently consume some O2 through combustion; electric kilns must rely entirely on inert gas purging. This is a design engineering challenge rather than a fundamental barrier — electric kilns for NMC operate at even stricter atmosphere requirements.</w:t>
      </w:r>
    </w:p>
    <w:p>
      <w:r>
        <w:rPr>
          <w:b/>
          <w:sz w:val="18"/>
        </w:rPr>
        <w:t>Economic barriers:</w:t>
      </w:r>
    </w:p>
    <w:p>
      <w:pPr>
        <w:pStyle w:val="ListNumber"/>
      </w:pPr>
      <w:r>
        <w:rPr>
          <w:b/>
          <w:sz w:val="18"/>
        </w:rPr>
        <w:t>Higher CAPEX for electrified equipment</w:t>
      </w:r>
      <w:r>
        <w:rPr>
          <w:sz w:val="18"/>
        </w:rPr>
        <w:t>: Electric roller hearth kilns and HTHP systems carry higher upfront capital costs compared to gas-fired alternatives. The total cost of ownership (TCO) analysis favours electrification when gas price volatility, carbon pricing (EU ETS), and avoided stranded asset costs are included. The Innovation Fund grant directly addresses this CAPEX barrier.</w:t>
      </w:r>
    </w:p>
    <w:p>
      <w:pPr>
        <w:pStyle w:val="ListNumber"/>
      </w:pPr>
      <w:r>
        <w:rPr>
          <w:b/>
          <w:sz w:val="18"/>
        </w:rPr>
        <w:t>DT development cost</w:t>
      </w:r>
      <w:r>
        <w:rPr>
          <w:sz w:val="18"/>
        </w:rPr>
        <w:t>: Building and validating the multi-scale modelling framework, sensor network, data infrastructure, and MPC system represents a significant R&amp;D investment that is not recoverable from a single plant. The Innovation Fund co-financing and the replicability of the DT framework to future plants (and other CAM chemistries) justify this investment.</w:t>
      </w:r>
    </w:p>
    <w:p>
      <w:pPr>
        <w:pStyle w:val="Heading3"/>
      </w:pPr>
      <w:r>
        <w:t>Why This Scale Is Most Appropriate</w:t>
      </w:r>
    </w:p>
    <w:p>
      <w:r>
        <w:rPr>
          <w:sz w:val="18"/>
        </w:rPr>
        <w:t>The proposed scale — a commercial production plant, not a pilot or demonstration unit — is the most appropriate for validating the integrated innovation package because:</w:t>
      </w:r>
    </w:p>
    <w:p>
      <w:pPr>
        <w:pStyle w:val="ListNumber"/>
      </w:pPr>
      <w:r>
        <w:rPr>
          <w:b/>
          <w:sz w:val="18"/>
        </w:rPr>
        <w:t>DT value proposition requires production-scale variability</w:t>
      </w:r>
      <w:r>
        <w:rPr>
          <w:sz w:val="18"/>
        </w:rPr>
        <w:t>: Digital twins deliver their greatest value by managing process variability that emerges at production volumes and duration. A pilot plant (TRL 5-6) lacks the throughput, batch counts, and operational duration to generate the data required for DT model validation and MPC tuning. Production scale is essential to demonstrate the 10-50% scrap reduction and 12-15% energy savings claimed.</w:t>
      </w:r>
    </w:p>
    <w:p>
      <w:pPr>
        <w:pStyle w:val="ListNumber"/>
      </w:pPr>
      <w:r>
        <w:rPr>
          <w:b/>
          <w:sz w:val="18"/>
        </w:rPr>
        <w:t>Electrification economics are scale-dependent</w:t>
      </w:r>
      <w:r>
        <w:rPr>
          <w:sz w:val="18"/>
        </w:rPr>
        <w:t xml:space="preserve">: The thermal efficiency advantage of electric kilns (95% vs 25-60% </w:t>
      </w:r>
      <w:r>
        <w:rPr>
          <w:color w:val="0066CC"/>
          <w:sz w:val="16"/>
        </w:rPr>
        <w:t>[CLM-023]</w:t>
      </w:r>
      <w:r>
        <w:rPr>
          <w:sz w:val="18"/>
        </w:rPr>
        <w:t>) translates to absolute energy cost savings proportional to production volume. At pilot scale, the fixed costs of HTHP and electric RHK infrastructure overwhelm the variable energy savings. Commercial scale is required for economic viability.</w:t>
      </w:r>
    </w:p>
    <w:p>
      <w:pPr>
        <w:pStyle w:val="ListNumber"/>
      </w:pPr>
      <w:r>
        <w:rPr>
          <w:b/>
          <w:sz w:val="18"/>
        </w:rPr>
        <w:t>Strategic autonomy requires production volume</w:t>
      </w:r>
      <w:r>
        <w:rPr>
          <w:sz w:val="18"/>
        </w:rPr>
        <w:t xml:space="preserve">: The EU's dependency on Chinese LFP CAM </w:t>
      </w:r>
      <w:r>
        <w:rPr>
          <w:color w:val="0066CC"/>
          <w:sz w:val="16"/>
        </w:rPr>
        <w:t>[CLM-001]</w:t>
      </w:r>
      <w:r>
        <w:rPr>
          <w:sz w:val="18"/>
        </w:rPr>
        <w:t xml:space="preserve"> is not addressed by pilots. The Innovation Fund explicitly targets manufacturing facilities that establish domestic production capacity aligned with NZIA benchmarks. FREYR's funded project targets 30,000 t/yr </w:t>
      </w:r>
      <w:r>
        <w:rPr>
          <w:color w:val="0066CC"/>
          <w:sz w:val="16"/>
        </w:rPr>
        <w:t>[SRC-025]</w:t>
      </w:r>
      <w:r>
        <w:rPr>
          <w:sz w:val="18"/>
        </w:rPr>
        <w:t>, confirming that commercial scale is the expected ambition level.</w:t>
      </w:r>
    </w:p>
    <w:p>
      <w:pPr>
        <w:pStyle w:val="ListNumber"/>
      </w:pPr>
      <w:r>
        <w:rPr>
          <w:b/>
          <w:sz w:val="18"/>
        </w:rPr>
        <w:t>Precedent</w:t>
      </w:r>
      <w:r>
        <w:rPr>
          <w:sz w:val="18"/>
        </w:rPr>
        <w:t>: The Innovation Fund has not funded LFP CAM pilots — it has funded a production-scale facility (FREYR, EUR 122M). This project is positioned at the same ambition level, differentiated by electrification, DT integration, and geographic positioning.</w:t>
      </w:r>
    </w:p>
    <w:p>
      <w:r>
        <w:br w:type="page"/>
      </w:r>
    </w:p>
    <w:p>
      <w:pPr>
        <w:spacing w:before="120" w:after="120"/>
        <w:shd w:val="clear" w:color="auto" w:fill="FFF3CD"/>
      </w:pPr>
      <w:r>
        <w:rPr>
          <w:b/>
          <w:color w:val="856304"/>
          <w:sz w:val="16"/>
        </w:rPr>
        <w:t xml:space="preserve">[REVIEWER NOTES] </w:t>
      </w:r>
      <w:r>
        <w:rPr>
          <w:color w:val="856304"/>
          <w:sz w:val="16"/>
        </w:rPr>
        <w:t>CLAIMS REFERENCED: CLM-007, CLM-009, CLM-016, CLM-022, CLM-023, CLM-024, CLM-026, CLM-030</w:t>
        <w:br/>
      </w:r>
      <w:r>
        <w:rPr>
          <w:color w:val="856304"/>
          <w:sz w:val="16"/>
        </w:rPr>
        <w:t>WORD COUNT: 1242</w:t>
        <w:br/>
      </w:r>
    </w:p>
    <w:p>
      <w:pPr>
        <w:pStyle w:val="Heading1"/>
      </w:pPr>
      <w:r>
        <w:t>Section 2.3 — Minimum Requirements</w:t>
      </w:r>
    </w:p>
    <w:p>
      <w:pPr>
        <w:pStyle w:val="Heading2"/>
      </w:pPr>
      <w:r>
        <w:t>2.3.1 Compliance with DNSH Technical Screening Criteria for Climate Change Mitigation</w:t>
      </w:r>
    </w:p>
    <w:p>
      <w:r>
        <w:rPr>
          <w:sz w:val="18"/>
        </w:rPr>
        <w:t xml:space="preserve">The primary economic activity of the FAAM-ENI Circular Energy project is the </w:t>
      </w:r>
      <w:r>
        <w:rPr>
          <w:b/>
          <w:sz w:val="18"/>
        </w:rPr>
        <w:t>manufacture of batteries</w:t>
      </w:r>
      <w:r>
        <w:rPr>
          <w:sz w:val="18"/>
        </w:rPr>
        <w:t xml:space="preserve"> as defined under Section 3.4 of the EU Taxonomy Regulation (Regulation (EU) 2020/852) and its associated Climate Delegated Regulation (Commission Delegated Regulation (EU) 2021/2139).</w:t>
      </w:r>
    </w:p>
    <w:p>
      <w:r>
        <w:rPr>
          <w:b/>
          <w:sz w:val="18"/>
        </w:rPr>
        <w:t>GHG Methodology Classification: ES / Manufacturing of Components.</w:t>
      </w:r>
      <w:r>
        <w:rPr>
          <w:sz w:val="18"/>
        </w:rPr>
        <w:t xml:space="preserve"> Under the Innovation Fund GHG emission avoidance methodology, the project is classified as </w:t>
      </w:r>
      <w:r>
        <w:rPr>
          <w:b/>
          <w:sz w:val="18"/>
        </w:rPr>
        <w:t>Energy Storage (ES) / Manufacturing of Components</w:t>
      </w:r>
      <w:r>
        <w:rPr>
          <w:sz w:val="18"/>
        </w:rPr>
        <w:t xml:space="preserve"> per Section 1.3.2. LFP cathode active material is a specialised battery-grade component — consistent with the methodology's examples of manufactured components for energy storage systems. The GHG system boundary therefore encompasses the </w:t>
      </w:r>
      <w:r>
        <w:rPr>
          <w:b/>
          <w:sz w:val="18"/>
        </w:rPr>
        <w:t>use phase of the BESS systems</w:t>
      </w:r>
      <w:r>
        <w:rPr>
          <w:sz w:val="18"/>
        </w:rPr>
        <w:t xml:space="preserve"> in which the LFP CAM is deployed, not the manufacturing plant itself. GHG avoidance is calculated based on BESS displacing fossil fuel peaking plants (CCGT/OCGT) on the Italian electricity grid. The manufacturing plant's own emissions (Scope 1 and 2) fall outside the GHG calculation boundary; the progressive electrification of the plant is an innovation and replicability argument, not the GHG avoidance argument.</w:t>
      </w:r>
    </w:p>
    <w:p>
      <w:r>
        <w:rPr>
          <w:b/>
          <w:sz w:val="18"/>
        </w:rPr>
        <w:t>Regulatory position: No additional justification required.</w:t>
      </w:r>
      <w:r>
        <w:rPr>
          <w:sz w:val="18"/>
        </w:rPr>
        <w:t xml:space="preserve"> Section 3.4 ("Manufacture of batteries") is listed in Table 2 of the Delegated Regulation as an economic activity for which </w:t>
      </w:r>
      <w:r>
        <w:rPr>
          <w:b/>
          <w:sz w:val="18"/>
        </w:rPr>
        <w:t>no technical screening criteria (TSC) exist for the climate change mitigation objective</w:t>
      </w:r>
      <w:r>
        <w:rPr>
          <w:sz w:val="18"/>
        </w:rPr>
        <w:t xml:space="preserve">, and therefore </w:t>
      </w:r>
      <w:r>
        <w:rPr>
          <w:b/>
          <w:sz w:val="18"/>
        </w:rPr>
        <w:t>no additional justification of alignment to DNSH for climate change mitigation is required</w:t>
      </w:r>
      <w:r>
        <w:rPr>
          <w:sz w:val="18"/>
        </w:rPr>
        <w:t xml:space="preserve"> </w:t>
      </w:r>
      <w:r>
        <w:rPr>
          <w:color w:val="0066CC"/>
          <w:sz w:val="16"/>
        </w:rPr>
        <w:t>[CLM-022]</w:t>
      </w:r>
      <w:r>
        <w:rPr>
          <w:sz w:val="18"/>
        </w:rPr>
        <w:t>. This classification applies to the entirety of LFP cathode active material production, which constitutes a critical upstream manufacturing step in the battery value chain. The project's scope — manufacturing LiFePO4 cathode active material from iron phosphate, lithium carbonate, and glucose precursors — falls squarely within the "Manufacture of batteries" activity definition.</w:t>
      </w:r>
    </w:p>
    <w:p>
      <w:r>
        <w:rPr>
          <w:sz w:val="18"/>
        </w:rPr>
        <w:t>This regulatory classification is confirmed in the Innovation Fund Application Guidance, which specifies that activities listed in Table 2 with the status "No TSC, Therefore Not Required" do not require applicants to provide additional evidence of DNSH compliance for climate change mitigation.</w:t>
      </w:r>
    </w:p>
    <w:p>
      <w:r>
        <w:rPr>
          <w:b/>
          <w:sz w:val="18"/>
        </w:rPr>
        <w:t>Nevertheless, the project's intrinsic climate mitigation credentials are substantial.</w:t>
      </w:r>
      <w:r>
        <w:rPr>
          <w:sz w:val="18"/>
        </w:rPr>
        <w:t xml:space="preserve"> While no TSC-based justification is mandated, the project design delivers significant climate benefits through two complementary mechanisms:</w:t>
      </w:r>
    </w:p>
    <w:p>
      <w:r>
        <w:rPr>
          <w:b/>
          <w:sz w:val="18"/>
        </w:rPr>
        <w:t>(a) Progressive electrification of process heat.</w:t>
      </w:r>
      <w:r>
        <w:rPr>
          <w:sz w:val="18"/>
        </w:rPr>
        <w:t xml:space="preserve"> The Brindisi plant achieves a 66.6% electrification rate at entry into operation, with 3,580 kWh/t delivered electrically and 189 m3/t of natural gas retained for process steps where full electrification is not yet technically feasible at scale. Electric roller hearth kilns achieve 95% thermal efficiency compared to 25-60% for gas-fired equivalents, representing a 1.6-3.8x thermal efficiency advantage </w:t>
      </w:r>
      <w:r>
        <w:rPr>
          <w:color w:val="0066CC"/>
          <w:sz w:val="16"/>
        </w:rPr>
        <w:t>[CLM-023]</w:t>
      </w:r>
      <w:r>
        <w:rPr>
          <w:sz w:val="18"/>
        </w:rPr>
        <w:t xml:space="preserve">. The plant architecture is designed for progressive gas elimination (targeting &gt;95% electrification by Year 10). As Italy's grid decarbonises under the NECP trajectory (from approximately 310 gCO2/kWh in 2025 to a projected 146 gCO2/kWh by 2030 and approximately 30-60 gCO2/kWh by 2035 under G7 commitments), the product carbon footprint advantage compounds over the plant's 20+ year operational life </w:t>
      </w:r>
      <w:r>
        <w:rPr>
          <w:color w:val="0066CC"/>
          <w:sz w:val="16"/>
        </w:rPr>
        <w:t>[CLM-026, CLM-030]</w:t>
      </w:r>
      <w:r>
        <w:rPr>
          <w:sz w:val="18"/>
        </w:rPr>
        <w:t>.</w:t>
      </w:r>
    </w:p>
    <w:p>
      <w:r>
        <w:rPr>
          <w:sz w:val="18"/>
        </w:rPr>
        <w:t xml:space="preserve">Electricity consumption during LFP battery manufacture is the single largest contributor to climate change impact, accounting for 39.7% of total Global Warming Potential </w:t>
      </w:r>
      <w:r>
        <w:rPr>
          <w:color w:val="0066CC"/>
          <w:sz w:val="16"/>
        </w:rPr>
        <w:t>[CLM-024]</w:t>
      </w:r>
      <w:r>
        <w:rPr>
          <w:sz w:val="18"/>
        </w:rPr>
        <w:t>. By electrifying production and locating within the EU's rapidly decarbonising grid, the Brindisi plant directly addresses the highest-leverage emission reduction opportunity in the LFP supply chain.</w:t>
      </w:r>
    </w:p>
    <w:p>
      <w:r>
        <w:rPr>
          <w:b/>
          <w:sz w:val="18"/>
        </w:rPr>
        <w:t>(b) Digital twin-driven process optimisation.</w:t>
      </w:r>
      <w:r>
        <w:rPr>
          <w:sz w:val="18"/>
        </w:rPr>
        <w:t xml:space="preserve"> The integrated ISO 23247-compliant digital twin enables real-time process control, predictive quality monitoring, and energy optimisation across the production chain. Cross-industry evidence demonstrates that digital twins consistently deliver 10-50% scrap reduction and 5-15% energy savings in process industries </w:t>
      </w:r>
      <w:r>
        <w:rPr>
          <w:color w:val="0066CC"/>
          <w:sz w:val="16"/>
        </w:rPr>
        <w:t>[CLM-007]</w:t>
      </w:r>
      <w:r>
        <w:rPr>
          <w:sz w:val="18"/>
        </w:rPr>
        <w:t xml:space="preserve">. Scrap reduction directly translates to avoided embedded emissions: every rejected batch represents wasted energy, raw materials, and associated upstream Scope 3 emissions. DT-optimised calcination temperature profiles, informed by the TwinHeat approach (demonstrated 10-15% energy reduction in industrial heat treatment furnaces </w:t>
      </w:r>
      <w:r>
        <w:rPr>
          <w:color w:val="0066CC"/>
          <w:sz w:val="16"/>
        </w:rPr>
        <w:t>[CLM-016]</w:t>
      </w:r>
      <w:r>
        <w:rPr>
          <w:sz w:val="18"/>
        </w:rPr>
        <w:t>), further reduce per-tonne energy consumption and associated GHG emissions.</w:t>
      </w:r>
    </w:p>
    <w:p>
      <w:r>
        <w:rPr>
          <w:b/>
          <w:sz w:val="18"/>
        </w:rPr>
        <w:t>Compliance confirmation:</w:t>
      </w:r>
      <w:r>
        <w:rPr>
          <w:sz w:val="18"/>
        </w:rPr>
        <w:t xml:space="preserve"> The project complies with the DNSH principle for climate change mitigation. No TSC applies to the manufacture of batteries under Section 3.4, and the project design inherently advances climate mitigation through electrification and DT-optimised resource efficiency.</w:t>
      </w:r>
    </w:p>
    <w:p>
      <w:pPr>
        <w:pStyle w:val="Heading2"/>
      </w:pPr>
      <w:r>
        <w:t>2.3.2 ETS Benchmark Emissions</w:t>
      </w:r>
    </w:p>
    <w:p>
      <w:r>
        <w:rPr>
          <w:sz w:val="18"/>
        </w:rPr>
        <w:t>The project produces lithium iron phosphate (LiFePO4) cathode active material — a specialty inorganic chemical product. Under Commission Implementing Regulation (EU) 2021/447 (setting EU ETS benchmark values for the 2021-2025 period, applicable at call opening on 4 December 2025), LFP CAM does not have a directly corresponding product benchmark.</w:t>
      </w:r>
    </w:p>
    <w:p>
      <w:r>
        <w:rPr>
          <w:sz w:val="18"/>
        </w:rPr>
        <w:t>The EU ETS product benchmark system covers 52 products across sectors including cement, steel, aluminium, and basic chemicals. LFP cathode active material — a high-purity electrochemical material produced at relatively low volumes compared to ETS benchmark commodities — is not among the listed benchmark products. The closest potentially applicable categories are:</w:t>
      </w:r>
    </w:p>
    <w:p>
      <w:pPr>
        <w:pStyle w:val="ListBullet"/>
      </w:pPr>
      <w:r>
        <w:rPr>
          <w:b/>
          <w:sz w:val="18"/>
        </w:rPr>
        <w:t>Carbon black benchmark</w:t>
      </w:r>
      <w:r>
        <w:rPr>
          <w:sz w:val="18"/>
        </w:rPr>
        <w:t xml:space="preserve"> (0.954 tCO2/t product): Not applicable. LFP CAM is not a carbon product; carbon coating constitutes only 1.0-1.8 wt% of the final product </w:t>
      </w:r>
      <w:r>
        <w:rPr>
          <w:color w:val="0066CC"/>
          <w:sz w:val="16"/>
        </w:rPr>
        <w:t>[CLM-009]</w:t>
      </w:r>
      <w:r>
        <w:rPr>
          <w:sz w:val="18"/>
        </w:rPr>
        <w:t>.</w:t>
      </w:r>
    </w:p>
    <w:p>
      <w:pPr>
        <w:pStyle w:val="ListBullet"/>
      </w:pPr>
      <w:r>
        <w:rPr>
          <w:b/>
          <w:sz w:val="18"/>
        </w:rPr>
        <w:t>Chemicals heat benchmark</w:t>
      </w:r>
      <w:r>
        <w:rPr>
          <w:sz w:val="18"/>
        </w:rPr>
        <w:t xml:space="preserve"> (6.84 GJ/tCO2): While the calcination step consumes thermal energy, LFP CAM production is fundamentally a materials synthesis process with complex reaction kinetics rather than a simple heat-driven commodity chemical process.</w:t>
      </w:r>
    </w:p>
    <w:p>
      <w:r>
        <w:rPr>
          <w:b/>
          <w:sz w:val="18"/>
        </w:rPr>
        <w:t>Assessment:</w:t>
      </w:r>
      <w:r>
        <w:rPr>
          <w:sz w:val="18"/>
        </w:rPr>
        <w:t xml:space="preserve"> LFP cathode active material production does not correspond to any EU ETS benchmark product category. The project's process emissions per unit of product are therefore not subject to ETS benchmark comparison requirements under this call.</w:t>
      </w:r>
    </w:p>
    <w:p>
      <w:r>
        <w:rPr>
          <w:sz w:val="18"/>
        </w:rPr>
        <w:t xml:space="preserve">LFP cathode active material does not have a direct EU ETS benchmark product under Commission Implementing Regulation (EU) 2021/447. The project falls under the </w:t>
      </w:r>
      <w:r>
        <w:rPr>
          <w:b/>
          <w:sz w:val="18"/>
        </w:rPr>
        <w:t>ES / Manufacturing of Components</w:t>
      </w:r>
      <w:r>
        <w:rPr>
          <w:sz w:val="18"/>
        </w:rPr>
        <w:t xml:space="preserve"> category per Section 1.3.2 of the GHG emission avoidance methodology, and the manufacturing plant is outside the GHG system boundary. The GHG avoidance is calculated based on the use phase of the BESS systems in which the manufactured LFP CAM is deployed — specifically, BESS displacing fossil fuel peaking plants on the Italian electricity grid. The vertically integrated value chain (LFP CAM to cells to BESS to grid deployment by Eni) provides direct traceability from component manufacture to use-phase GHG avoidance. Therefore, the ETS benchmark comparison is applied to the downstream ESS application rather than to the CAM manufacturing process itself.</w:t>
      </w:r>
    </w:p>
    <w:p>
      <w:pPr>
        <w:pStyle w:val="Heading2"/>
      </w:pPr>
      <w:r>
        <w:t>2.3.3 Sustainability of Biomass</w:t>
      </w:r>
    </w:p>
    <w:p>
      <w:r>
        <w:rPr>
          <w:b/>
          <w:sz w:val="18"/>
        </w:rPr>
        <w:t>Not applicable.</w:t>
      </w:r>
      <w:r>
        <w:rPr>
          <w:sz w:val="18"/>
        </w:rPr>
        <w:t xml:space="preserve"> The FAAM-ENI Circular Energy project does not use biomass feedstocks in any stage of the LFP CAM production process. The three primary raw materials are:</w:t>
      </w:r>
    </w:p>
    <w:p>
      <w:pPr>
        <w:pStyle w:val="ListNumber"/>
      </w:pPr>
      <w:r>
        <w:rPr>
          <w:b/>
          <w:sz w:val="18"/>
        </w:rPr>
        <w:t>Iron phosphate (FePO4)</w:t>
      </w:r>
      <w:r>
        <w:rPr>
          <w:sz w:val="18"/>
        </w:rPr>
        <w:t xml:space="preserve"> — inorganic mineral precursor</w:t>
      </w:r>
    </w:p>
    <w:p>
      <w:pPr>
        <w:pStyle w:val="ListNumber"/>
      </w:pPr>
      <w:r>
        <w:rPr>
          <w:b/>
          <w:sz w:val="18"/>
        </w:rPr>
        <w:t>Lithium carbonate (Li2CO3)</w:t>
      </w:r>
      <w:r>
        <w:rPr>
          <w:sz w:val="18"/>
        </w:rPr>
        <w:t xml:space="preserve"> — inorganic mineral precursor</w:t>
      </w:r>
    </w:p>
    <w:p>
      <w:pPr>
        <w:pStyle w:val="ListNumber"/>
      </w:pPr>
      <w:r>
        <w:rPr>
          <w:b/>
          <w:sz w:val="18"/>
        </w:rPr>
        <w:t>Glucose (C6H12O6)</w:t>
      </w:r>
      <w:r>
        <w:rPr>
          <w:sz w:val="18"/>
        </w:rPr>
        <w:t xml:space="preserve"> — used as a carbon source for the conductive carbon coating on LFP particles</w:t>
      </w:r>
    </w:p>
    <w:p>
      <w:r>
        <w:rPr>
          <w:sz w:val="18"/>
        </w:rPr>
        <w:t xml:space="preserve">While glucose is derived from agricultural sources, its function in the process is as a chemical precursor for carbon coating (pyrolysed at 600-700 C to form amorphous carbon) rather than as a biomass energy feedstock. Glucose constitutes a minor fraction of total input mass (carbon content target: 1.0-1.8 wt% in final product </w:t>
      </w:r>
      <w:r>
        <w:rPr>
          <w:color w:val="0066CC"/>
          <w:sz w:val="16"/>
        </w:rPr>
        <w:t>[CLM-009]</w:t>
      </w:r>
      <w:r>
        <w:rPr>
          <w:sz w:val="18"/>
        </w:rPr>
        <w:t>) and is consumed in the chemical reaction, not combusted for energy generation. The sustainability requirements of Renewable Energy Directive 2018/2001 (Part A of Annex IX, or certified low ILUC-risk per Commission Delegated Regulation (EU) 2019/807) are therefore not applicable to this project.</w:t>
      </w:r>
    </w:p>
    <w:p>
      <w:r>
        <w:rPr>
          <w:sz w:val="18"/>
        </w:rPr>
        <w:t>No biomass is used for energy generation at the Brindisi facility. The majority of process heat is supplied by grid electricity through electric heating elements (resistance heating in roller hearth kilns and spray dryer systems), with limited natural gas use (189 m3/t LFP CAM) retained in the initial configuration for auxiliary heating. The progressive electrification strategy aims to eliminate residual gas use over time.</w:t>
      </w:r>
    </w:p>
    <w:p>
      <w:r>
        <w:rPr>
          <w:b/>
          <w:sz w:val="18"/>
        </w:rPr>
        <w:t>Compliance confirmation:</w:t>
      </w:r>
      <w:r>
        <w:rPr>
          <w:sz w:val="18"/>
        </w:rPr>
        <w:t xml:space="preserve"> The biomass sustainability criterion does not apply. No biomass feedstocks are used in LFP CAM production at the Brindisi facility.</w:t>
      </w:r>
    </w:p>
    <w:p>
      <w:r>
        <w:br w:type="page"/>
      </w:r>
    </w:p>
    <w:p>
      <w:pPr>
        <w:spacing w:before="120" w:after="120"/>
        <w:shd w:val="clear" w:color="auto" w:fill="FFF3CD"/>
      </w:pPr>
      <w:r>
        <w:rPr>
          <w:b/>
          <w:color w:val="856304"/>
          <w:sz w:val="16"/>
        </w:rPr>
        <w:t xml:space="preserve">[REVIEWER NOTES] </w:t>
      </w:r>
      <w:r>
        <w:rPr>
          <w:color w:val="856304"/>
          <w:sz w:val="16"/>
        </w:rPr>
        <w:t>CLAIMS REFERENCED: CLM-001, CLM-008, CLM-009, CLM-011, CLM-013, CLM-016, CLM-017, CLM-018, CLM-019, CLM-020, CLM-023, CLM-024</w:t>
        <w:br/>
      </w:r>
      <w:r>
        <w:rPr>
          <w:color w:val="856304"/>
          <w:sz w:val="16"/>
        </w:rPr>
        <w:t>OPEN ISSUES:</w:t>
        <w:br/>
      </w:r>
      <w:r>
        <w:rPr>
          <w:color w:val="856304"/>
          <w:sz w:val="16"/>
        </w:rPr>
        <w:t xml:space="preserve">  - TO BE COMPLETED: technology licensor name</w:t>
        <w:br/>
      </w:r>
      <w:r>
        <w:rPr>
          <w:color w:val="856304"/>
          <w:sz w:val="16"/>
        </w:rPr>
        <w:t xml:space="preserve">  - TO BE COMPLETED: Independent technical due diligence reports to be referenced here if available (e.g., from equipment vendor assessments, independent process review). The Feasibility Study annex serves as the primary technical documentation for this proposal. The production information document provides detailed process and equipment specifications supporting the technical feasibility assessment.</w:t>
        <w:br/>
      </w:r>
      <w:r>
        <w:rPr>
          <w:color w:val="856304"/>
          <w:sz w:val="16"/>
        </w:rPr>
        <w:t>SOURCES CITED: SRC-007, SRC-008, SRC-011, SRC-012, SRC-013, SRC-025, SRC-028, SRC-ED-001, SRC-ED-006, SRC-ED-007, SRC-ED-008, SRC-ED-009, SRC-ED-010, SRC-ED-011, SRC-ED-014, SRC-ED-018, SRC-ED-021, SRC-ED-023</w:t>
        <w:br/>
      </w:r>
      <w:r>
        <w:rPr>
          <w:color w:val="856304"/>
          <w:sz w:val="16"/>
        </w:rPr>
        <w:t>WORD COUNT: 3083</w:t>
        <w:br/>
      </w:r>
    </w:p>
    <w:p>
      <w:pPr>
        <w:pStyle w:val="Heading1"/>
      </w:pPr>
      <w:r>
        <w:t>3.1 Technical Maturity</w:t>
      </w:r>
    </w:p>
    <w:p>
      <w:pPr>
        <w:pStyle w:val="Heading2"/>
      </w:pPr>
      <w:r>
        <w:t>3.1a Technical Maturity -- Overview</w:t>
      </w:r>
    </w:p>
    <w:p>
      <w:r>
        <w:rPr>
          <w:sz w:val="18"/>
        </w:rPr>
        <w:t>The FAAM-ENI Circular Energy project integrates two proven technology domains -- solid-state LFP cathode active material (CAM) synthesis and ISO 23247-compliant digital twin manufacturing -- into a first-of-kind electrified production facility at Brindisi, Italy. The core technology readiness levels are summarised below, with detailed TRL justifications provided in Section 1 (Degree of Innovation) and in the mandatory Feasibility Study annex.</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Technology Component</w:t>
            </w:r>
          </w:p>
        </w:tc>
        <w:tc>
          <w:tcPr>
            <w:tcW w:type="dxa" w:w="2635"/>
          </w:tcPr>
          <w:p>
            <w:r>
              <w:rPr>
                <w:b/>
                <w:sz w:val="16"/>
              </w:rPr>
              <w:t>Current TRL</w:t>
            </w:r>
          </w:p>
        </w:tc>
        <w:tc>
          <w:tcPr>
            <w:tcW w:type="dxa" w:w="2635"/>
          </w:tcPr>
          <w:p>
            <w:r>
              <w:rPr>
                <w:b/>
                <w:sz w:val="16"/>
              </w:rPr>
              <w:t>Target TRL at EiO</w:t>
            </w:r>
          </w:p>
        </w:tc>
        <w:tc>
          <w:tcPr>
            <w:tcW w:type="dxa" w:w="2635"/>
          </w:tcPr>
          <w:p>
            <w:r>
              <w:rPr>
                <w:b/>
                <w:sz w:val="16"/>
              </w:rPr>
              <w:t>Basis</w:t>
            </w:r>
          </w:p>
        </w:tc>
      </w:tr>
      <w:tr>
        <w:tc>
          <w:tcPr>
            <w:tcW w:type="dxa" w:w="2635"/>
          </w:tcPr>
          <w:p>
            <w:r>
              <w:rPr>
                <w:sz w:val="16"/>
              </w:rPr>
              <w:t>Solid-state LFP synthesis (spray dry + calcine)</w:t>
            </w:r>
          </w:p>
        </w:tc>
        <w:tc>
          <w:tcPr>
            <w:tcW w:type="dxa" w:w="2635"/>
          </w:tcPr>
          <w:p>
            <w:r>
              <w:rPr>
                <w:sz w:val="16"/>
              </w:rPr>
              <w:t>TRL 7-8</w:t>
            </w:r>
          </w:p>
        </w:tc>
        <w:tc>
          <w:tcPr>
            <w:tcW w:type="dxa" w:w="2635"/>
          </w:tcPr>
          <w:p>
            <w:r>
              <w:rPr>
                <w:sz w:val="16"/>
              </w:rPr>
              <w:t>TRL 9</w:t>
            </w:r>
          </w:p>
        </w:tc>
        <w:tc>
          <w:tcPr>
            <w:tcW w:type="dxa" w:w="2635"/>
          </w:tcPr>
          <w:p>
            <w:r>
              <w:rPr>
                <w:sz w:val="16"/>
              </w:rPr>
              <w:t>Dominant industrial route globally; proven at &gt;10,000 t/yr scale in China [CLM-001, SRC-011]</w:t>
            </w:r>
          </w:p>
        </w:tc>
      </w:tr>
      <w:tr>
        <w:tc>
          <w:tcPr>
            <w:tcW w:type="dxa" w:w="2635"/>
          </w:tcPr>
          <w:p>
            <w:r>
              <w:rPr>
                <w:sz w:val="16"/>
              </w:rPr>
              <w:t>Electrified spray drying (electric resistance heaters)</w:t>
            </w:r>
          </w:p>
        </w:tc>
        <w:tc>
          <w:tcPr>
            <w:tcW w:type="dxa" w:w="2635"/>
          </w:tcPr>
          <w:p>
            <w:r>
              <w:rPr>
                <w:sz w:val="16"/>
              </w:rPr>
              <w:t>TRL 7</w:t>
            </w:r>
          </w:p>
        </w:tc>
        <w:tc>
          <w:tcPr>
            <w:tcW w:type="dxa" w:w="2635"/>
          </w:tcPr>
          <w:p>
            <w:r>
              <w:rPr>
                <w:sz w:val="16"/>
              </w:rPr>
              <w:t>TRL 9</w:t>
            </w:r>
          </w:p>
        </w:tc>
        <w:tc>
          <w:tcPr>
            <w:tcW w:type="dxa" w:w="2635"/>
          </w:tcPr>
          <w:p>
            <w:r>
              <w:rPr>
                <w:sz w:val="16"/>
              </w:rPr>
              <w:t>Commercially available equipment (e.g., GEA, Buchi industrial); proven in ceramics and food at equivalent temperatures [SRC-ED-001]</w:t>
            </w:r>
          </w:p>
        </w:tc>
      </w:tr>
      <w:tr>
        <w:tc>
          <w:tcPr>
            <w:tcW w:type="dxa" w:w="2635"/>
          </w:tcPr>
          <w:p>
            <w:r>
              <w:rPr>
                <w:sz w:val="16"/>
              </w:rPr>
              <w:t>Electrified calcination (electric roller hearth kiln / rotary kiln)</w:t>
            </w:r>
          </w:p>
        </w:tc>
        <w:tc>
          <w:tcPr>
            <w:tcW w:type="dxa" w:w="2635"/>
          </w:tcPr>
          <w:p>
            <w:r>
              <w:rPr>
                <w:sz w:val="16"/>
              </w:rPr>
              <w:t>TRL 7</w:t>
            </w:r>
          </w:p>
        </w:tc>
        <w:tc>
          <w:tcPr>
            <w:tcW w:type="dxa" w:w="2635"/>
          </w:tcPr>
          <w:p>
            <w:r>
              <w:rPr>
                <w:sz w:val="16"/>
              </w:rPr>
              <w:t>TRL 9</w:t>
            </w:r>
          </w:p>
        </w:tc>
        <w:tc>
          <w:tcPr>
            <w:tcW w:type="dxa" w:w="2635"/>
          </w:tcPr>
          <w:p>
            <w:r>
              <w:rPr>
                <w:sz w:val="16"/>
              </w:rPr>
              <w:t>Electric roller hearth kilns commercially available from NGK, Kanthal/Sandvik up to 1500 C; deployed for NMC CAM production [SRC-ED-009, SRC-ED-010, SRC-ED-023]</w:t>
            </w:r>
          </w:p>
        </w:tc>
      </w:tr>
      <w:tr>
        <w:tc>
          <w:tcPr>
            <w:tcW w:type="dxa" w:w="2635"/>
          </w:tcPr>
          <w:p>
            <w:r>
              <w:rPr>
                <w:sz w:val="16"/>
              </w:rPr>
              <w:t>ISO 23247 digital twin framework</w:t>
            </w:r>
          </w:p>
        </w:tc>
        <w:tc>
          <w:tcPr>
            <w:tcW w:type="dxa" w:w="2635"/>
          </w:tcPr>
          <w:p>
            <w:r>
              <w:rPr>
                <w:sz w:val="16"/>
              </w:rPr>
              <w:t>TRL 5-6</w:t>
            </w:r>
          </w:p>
        </w:tc>
        <w:tc>
          <w:tcPr>
            <w:tcW w:type="dxa" w:w="2635"/>
          </w:tcPr>
          <w:p>
            <w:r>
              <w:rPr>
                <w:sz w:val="16"/>
              </w:rPr>
              <w:t>TRL 7-8</w:t>
            </w:r>
          </w:p>
        </w:tc>
        <w:tc>
          <w:tcPr>
            <w:tcW w:type="dxa" w:w="2635"/>
          </w:tcPr>
          <w:p>
            <w:r>
              <w:rPr>
                <w:sz w:val="16"/>
              </w:rPr>
              <w:t>Validated in discrete manufacturing (NIST, automotive); not yet applied to thermal/chemical powder synthesis [CLM-008, SRC-007]</w:t>
            </w:r>
          </w:p>
        </w:tc>
      </w:tr>
      <w:tr>
        <w:tc>
          <w:tcPr>
            <w:tcW w:type="dxa" w:w="2635"/>
          </w:tcPr>
          <w:p>
            <w:r>
              <w:rPr>
                <w:sz w:val="16"/>
              </w:rPr>
              <w:t>Multi-scale process models (CFD, PBM, DEM)</w:t>
            </w:r>
          </w:p>
        </w:tc>
        <w:tc>
          <w:tcPr>
            <w:tcW w:type="dxa" w:w="2635"/>
          </w:tcPr>
          <w:p>
            <w:r>
              <w:rPr>
                <w:sz w:val="16"/>
              </w:rPr>
              <w:t>TRL 4-5</w:t>
            </w:r>
          </w:p>
        </w:tc>
        <w:tc>
          <w:tcPr>
            <w:tcW w:type="dxa" w:w="2635"/>
          </w:tcPr>
          <w:p>
            <w:r>
              <w:rPr>
                <w:sz w:val="16"/>
              </w:rPr>
              <w:t>TRL 6-7</w:t>
            </w:r>
          </w:p>
        </w:tc>
        <w:tc>
          <w:tcPr>
            <w:tcW w:type="dxa" w:w="2635"/>
          </w:tcPr>
          <w:p>
            <w:r>
              <w:rPr>
                <w:sz w:val="16"/>
              </w:rPr>
              <w:t>Individual models validated in analogous processes; integration into unified DT is the novel step [CLM-018, SRC-DT-REPORT]</w:t>
            </w:r>
          </w:p>
        </w:tc>
      </w:tr>
      <w:tr>
        <w:tc>
          <w:tcPr>
            <w:tcW w:type="dxa" w:w="2635"/>
          </w:tcPr>
          <w:p>
            <w:r>
              <w:rPr>
                <w:sz w:val="16"/>
              </w:rPr>
              <w:t>PAT/QbD sensor integration</w:t>
            </w:r>
          </w:p>
        </w:tc>
        <w:tc>
          <w:tcPr>
            <w:tcW w:type="dxa" w:w="2635"/>
          </w:tcPr>
          <w:p>
            <w:r>
              <w:rPr>
                <w:sz w:val="16"/>
              </w:rPr>
              <w:t>TRL 5-6</w:t>
            </w:r>
          </w:p>
        </w:tc>
        <w:tc>
          <w:tcPr>
            <w:tcW w:type="dxa" w:w="2635"/>
          </w:tcPr>
          <w:p>
            <w:r>
              <w:rPr>
                <w:sz w:val="16"/>
              </w:rPr>
              <w:t>TRL 7-8</w:t>
            </w:r>
          </w:p>
        </w:tc>
        <w:tc>
          <w:tcPr>
            <w:tcW w:type="dxa" w:w="2635"/>
          </w:tcPr>
          <w:p>
            <w:r>
              <w:rPr>
                <w:sz w:val="16"/>
              </w:rPr>
              <w:t>Sensors commercially proven; pharmaceutical PAT framework transferable but not yet demonstrated for CAM [CLM-013, SRC-028]</w:t>
            </w:r>
          </w:p>
        </w:tc>
      </w:tr>
    </w:tbl>
    <w:p>
      <w:r>
        <w:rPr>
          <w:sz w:val="18"/>
        </w:rPr>
        <w:t>The core manufacturing process (solid-state LFP synthesis via spray drying and calcination) is at industrial maturity, with the electrification of process heat being the primary technical advancement. The digital twin components represent the higher-risk, higher-innovation elements of the project, but are built upon validated sub-systems and established standards.</w:t>
      </w:r>
    </w:p>
    <w:p>
      <w:r>
        <w:rPr>
          <w:b/>
          <w:sz w:val="18"/>
        </w:rPr>
        <w:t>Co-located JV factory as technical de-risking mechanism.</w:t>
      </w:r>
      <w:r>
        <w:rPr>
          <w:sz w:val="18"/>
        </w:rPr>
        <w:t xml:space="preserve"> The LFP CAM plant is co-located with a planned FIB-Eni joint venture battery cell and BESS manufacturing facility at the same Brindisi site. This co-location creates an immediate feedback loop from cell manufacturing to CAM quality: cell performance data from the JV factory feeds directly into the DT's quality prediction models, enabling rapid identification of CAM quality parameters that impact downstream cell performance. This closed-loop quality feedback cycle — from CAM synthesis through cell testing and back to process optimisation — is a unique technical advantage unavailable to standalone CAM producers selling to external customers. The co-located JV factory also secures internal offtake, eliminating market risk for the CAM product and ensuring continuous production data for DT model calibration.</w:t>
      </w:r>
    </w:p>
    <w:p>
      <w:r>
        <w:rPr>
          <w:sz w:val="18"/>
        </w:rPr>
        <w:t>Detailed technical feasibility is described below and supported by the Feasibility Study annex.</w:t>
      </w:r>
    </w:p>
    <w:p>
      <w:r>
        <w:rPr>
          <w:b/>
          <w:sz w:val="18"/>
        </w:rPr>
        <w:t>Reference</w:t>
      </w:r>
      <w:r>
        <w:rPr>
          <w:sz w:val="18"/>
        </w:rPr>
        <w:t>: Full feasibility study attached as mandatory annex (max 60 pages), covering process flow diagrams, schematic layouts, mass and energy balances, and technical risk analysis.</w:t>
      </w:r>
    </w:p>
    <w:p>
      <w:pPr>
        <w:pStyle w:val="Heading2"/>
      </w:pPr>
      <w:r>
        <w:t>3.1b Technical Feasibility</w:t>
      </w:r>
    </w:p>
    <w:p>
      <w:pPr>
        <w:pStyle w:val="Heading3"/>
      </w:pPr>
      <w:r>
        <w:t>LFP CAM Production Process</w:t>
      </w:r>
    </w:p>
    <w:p>
      <w:r>
        <w:rPr>
          <w:sz w:val="18"/>
        </w:rPr>
        <w:t>The Brindisi plant employs a wet-route solid-state synthesis process comprising seven sequential unit operations, designed to produce battery-grade LiFePO4 cathode active material. The process is described below with reference to the block flow diagrams in the Feasibility Study annex.</w:t>
      </w:r>
    </w:p>
    <w:p>
      <w:r>
        <w:rPr>
          <w:b/>
          <w:sz w:val="18"/>
        </w:rPr>
        <w:t>Step 1: Raw Material Dosing and Dispersion</w:t>
      </w:r>
    </w:p>
    <w:p>
      <w:r>
        <w:rPr>
          <w:sz w:val="18"/>
        </w:rPr>
        <w:t xml:space="preserve">The three primary precursors -- iron phosphate (FePO4), lithium carbonate (Li2CO3), and glucose (C6H12O6, carbon source) -- are gravimetrically dosed into a stirred dispersion tank with deionised water. The stoichiometric ratio targets Li:Fe:P = 1.00:1.00:1.00 (molar), with lithium carbonate providing a slight excess (typically 2-5 mol% Li excess) to compensate for volatilisation losses during calcination </w:t>
      </w:r>
      <w:r>
        <w:rPr>
          <w:color w:val="0066CC"/>
          <w:sz w:val="16"/>
        </w:rPr>
        <w:t>[SRC-011]</w:t>
      </w:r>
      <w:r>
        <w:rPr>
          <w:sz w:val="18"/>
        </w:rPr>
        <w:t xml:space="preserve">. The glucose loading is 5-15 wt% relative to the total solid content, providing the carbon precursor for in-situ carbon coating during calcination </w:t>
      </w:r>
      <w:r>
        <w:rPr>
          <w:color w:val="0066CC"/>
          <w:sz w:val="16"/>
        </w:rPr>
        <w:t>[CLM-020, SRC-DT-REPORT]</w:t>
      </w:r>
      <w:r>
        <w:rPr>
          <w:sz w:val="18"/>
        </w:rPr>
        <w:t>. The resulting aqueous slurry (typically 30-45 wt% solids) is homogenised by high-shear mixing.</w:t>
      </w:r>
    </w:p>
    <w:p>
      <w:r>
        <w:rPr>
          <w:b/>
          <w:sz w:val="18"/>
        </w:rPr>
        <w:t>Step 2: Sand Milling and Magnetic Particle Removal</w:t>
      </w:r>
    </w:p>
    <w:p>
      <w:r>
        <w:rPr>
          <w:sz w:val="18"/>
        </w:rPr>
        <w:t xml:space="preserve">The homogeneous slurry is transferred to a horizontal sand mill (bead mill) for particle size reduction and intimate mixing of the precursors. The target particle size after milling is D50 &lt; 5 um, verified by at-line laser diffraction measurement. Following milling, the slurry passes through an electromagnetic demagnetiser to remove ferromagnetic contaminants introduced during milling (iron wear particles from the mill media). Magnetic contamination above 0.1 ppm Fe metallic is a critical defect that can cause internal short circuits in the final battery cell </w:t>
      </w:r>
      <w:r>
        <w:rPr>
          <w:color w:val="0066CC"/>
          <w:sz w:val="16"/>
        </w:rPr>
        <w:t>[SRC-DT-REPORT]</w:t>
      </w:r>
      <w:r>
        <w:rPr>
          <w:sz w:val="18"/>
        </w:rPr>
        <w:t>.</w:t>
      </w:r>
    </w:p>
    <w:p>
      <w:r>
        <w:rPr>
          <w:b/>
          <w:sz w:val="18"/>
        </w:rPr>
        <w:t>Step 3: Spray Drying (ELECTRIFIED)</w:t>
      </w:r>
    </w:p>
    <w:p>
      <w:r>
        <w:rPr>
          <w:sz w:val="18"/>
        </w:rPr>
        <w:t xml:space="preserve">The milled aqueous slurry is fed to an industrial co-current spray dryer equipped with a rotary atomiser or pressure nozzle system. The spray dryer inlet air is heated to 200-250 C using electric resistance heaters, replacing the conventional natural gas burners used in Asian benchmark facilities </w:t>
      </w:r>
      <w:r>
        <w:rPr>
          <w:color w:val="0066CC"/>
          <w:sz w:val="16"/>
        </w:rPr>
        <w:t>[CLM-011, SRC-ED-001]</w:t>
      </w:r>
      <w:r>
        <w:rPr>
          <w:sz w:val="18"/>
        </w:rPr>
        <w:t>. The outlet air temperature is controlled at 90-120 C. Spray drying transforms the aqueous slurry into a dry, free-flowing solid precursor powder with engineered particle morphology -- spherical secondary particles comprising intimately mixed primary precursors with uniform glucose distribution.</w:t>
      </w:r>
    </w:p>
    <w:p>
      <w:r>
        <w:rPr>
          <w:sz w:val="18"/>
        </w:rPr>
        <w:t xml:space="preserve">The spray dryer is a critical quality-determining step: inlet temperature, feed rate, atomiser speed, and air flow rate directly control the dried particle size (D50), morphology (sphericity), residual moisture (&lt;2 wt%), and spatial homogeneity of the carbon precursor within the granule </w:t>
      </w:r>
      <w:r>
        <w:rPr>
          <w:color w:val="0066CC"/>
          <w:sz w:val="16"/>
        </w:rPr>
        <w:t>[CLM-009, SRC-012, SRC-013]</w:t>
      </w:r>
      <w:r>
        <w:rPr>
          <w:sz w:val="18"/>
        </w:rPr>
        <w:t xml:space="preserve">. Electrification of the spray dryer provides superior temperature control precision compared to gas-fired heating (resistance heaters achieve +/-1 C vs. +/-5-10 C for gas burners), which is advantageous for batch-to-batch consistency </w:t>
      </w:r>
      <w:r>
        <w:rPr>
          <w:color w:val="0066CC"/>
          <w:sz w:val="16"/>
        </w:rPr>
        <w:t>[SRC-ED-018]</w:t>
      </w:r>
      <w:r>
        <w:rPr>
          <w:sz w:val="18"/>
        </w:rPr>
        <w:t>.</w:t>
      </w:r>
    </w:p>
    <w:p>
      <w:r>
        <w:rPr>
          <w:sz w:val="18"/>
        </w:rPr>
        <w:t xml:space="preserve">Electric resistance heating elements (Kanthal Tubothal or SiC elements, rated to 1100 C) are commercially proven in industrial spray dryers for ceramics and food processing at comparable throughputs </w:t>
      </w:r>
      <w:r>
        <w:rPr>
          <w:color w:val="0066CC"/>
          <w:sz w:val="16"/>
        </w:rPr>
        <w:t>[SRC-ED-009]</w:t>
      </w:r>
      <w:r>
        <w:rPr>
          <w:sz w:val="18"/>
        </w:rPr>
        <w:t xml:space="preserve">. The specific thermal energy demand for spray drying of aqueous slurries is approximately 0.70-1.10 kWh per kg of water evaporated, based on data from the Italian ceramics industry operating in the same geographic region </w:t>
      </w:r>
      <w:r>
        <w:rPr>
          <w:color w:val="0066CC"/>
          <w:sz w:val="16"/>
        </w:rPr>
        <w:t>[SRC-ED-021]</w:t>
      </w:r>
      <w:r>
        <w:rPr>
          <w:sz w:val="18"/>
        </w:rPr>
        <w:t>.</w:t>
      </w:r>
    </w:p>
    <w:p>
      <w:r>
        <w:rPr>
          <w:sz w:val="18"/>
        </w:rPr>
        <w:t>The plant comprises 4 modular production lines, each rated at 12,500 t/yr, for a total nameplate capacity of 50,000 t/yr (50 kton/yr). Each line includes its own spray dryer train sized to support the line's throughput requirements. The workshop footprint is approximately 161.1 m x 106 m (~17,100 m2).</w:t>
      </w:r>
    </w:p>
    <w:p>
      <w:r>
        <w:rPr>
          <w:b/>
          <w:sz w:val="18"/>
        </w:rPr>
        <w:t>Step 4: Calcination (ELECTRIFIED -- Key Innovation Step)</w:t>
      </w:r>
    </w:p>
    <w:p>
      <w:r>
        <w:rPr>
          <w:sz w:val="18"/>
        </w:rPr>
        <w:t xml:space="preserve">The dried precursor powder is loaded into saggars and introduced into the calcination furnace (roller hearth kiln or pusher kiln configuration) via an automated rail/conveyor system. The furnace operates under nitrogen atmosphere (pO2 &lt; 10 ppm) at 650-700 C for 6-12 hours </w:t>
      </w:r>
      <w:r>
        <w:rPr>
          <w:color w:val="0066CC"/>
          <w:sz w:val="16"/>
        </w:rPr>
        <w:t>[CLM-020, SRC-011]</w:t>
      </w:r>
      <w:r>
        <w:rPr>
          <w:sz w:val="18"/>
        </w:rPr>
        <w:t>. Nitrogen consumption is approximately 850 m3 per tonne of LFP CAM product.</w:t>
      </w:r>
    </w:p>
    <w:p>
      <w:r>
        <w:rPr>
          <w:sz w:val="18"/>
        </w:rPr>
        <w:t>Two electrified furnace configurations are under evaluation for the Brindisi plant:</w:t>
      </w:r>
    </w:p>
    <w:p>
      <w:pPr>
        <w:pStyle w:val="ListBullet"/>
      </w:pPr>
      <w:r>
        <w:rPr>
          <w:b/>
          <w:sz w:val="18"/>
        </w:rPr>
        <w:t>Electric roller hearth kiln (RHK)</w:t>
      </w:r>
      <w:r>
        <w:rPr>
          <w:sz w:val="18"/>
        </w:rPr>
        <w:t xml:space="preserve">: The industrial standard for battery cathode active material calcination. Electric heating zones with independent PID control provide uniform temperature distribution across the kiln cross-section. The NGK HD series and equivalent kilns operate to 1500 C with 40%+ energy reduction versus conventional tunnel kilns </w:t>
      </w:r>
      <w:r>
        <w:rPr>
          <w:color w:val="0066CC"/>
          <w:sz w:val="16"/>
        </w:rPr>
        <w:t>[SRC-ED-023]</w:t>
      </w:r>
      <w:r>
        <w:rPr>
          <w:sz w:val="18"/>
        </w:rPr>
        <w:t xml:space="preserve">. A CFD-validated model for electric RHK energy optimisation in NMC CAM calcination has been published (Jo et al., 2025), demonstrating &lt;5% heater control deviation </w:t>
      </w:r>
      <w:r>
        <w:rPr>
          <w:color w:val="0066CC"/>
          <w:sz w:val="16"/>
        </w:rPr>
        <w:t>[SRC-ED-010]</w:t>
      </w:r>
      <w:r>
        <w:rPr>
          <w:sz w:val="18"/>
        </w:rPr>
        <w:t>. This model is directly transferable to LFP calcination at the lower operating temperature of 650-700 C.</w:t>
      </w:r>
    </w:p>
    <w:p>
      <w:pPr>
        <w:pStyle w:val="ListBullet"/>
      </w:pPr>
      <w:r>
        <w:rPr>
          <w:b/>
          <w:sz w:val="18"/>
        </w:rPr>
        <w:t>Electric rotary kiln</w:t>
      </w:r>
      <w:r>
        <w:rPr>
          <w:sz w:val="18"/>
        </w:rPr>
        <w:t xml:space="preserve">: An alternative for continuous throughput. Electric internally-heated or externally-heated rotary calciners have been demonstrated for cement and lime production </w:t>
      </w:r>
      <w:r>
        <w:rPr>
          <w:color w:val="0066CC"/>
          <w:sz w:val="16"/>
        </w:rPr>
        <w:t>[SRC-ED-006, SRC-ED-007, SRC-ED-008]</w:t>
      </w:r>
      <w:r>
        <w:rPr>
          <w:sz w:val="18"/>
        </w:rPr>
        <w:t xml:space="preserve">. Kanthal (Sandvik Group) supplies electric heating elements (SiC, Tubothal, Fibrothal) rated to 1100 C for battery cathode kiln applications </w:t>
      </w:r>
      <w:r>
        <w:rPr>
          <w:color w:val="0066CC"/>
          <w:sz w:val="16"/>
        </w:rPr>
        <w:t>[SRC-ED-009]</w:t>
      </w:r>
      <w:r>
        <w:rPr>
          <w:sz w:val="18"/>
        </w:rPr>
        <w:t>.</w:t>
      </w:r>
    </w:p>
    <w:p>
      <w:r>
        <w:rPr>
          <w:sz w:val="18"/>
        </w:rPr>
        <w:t xml:space="preserve">Electric kilns achieve 95% thermal efficiency compared to 25% (gas without heat recovery) to 60% (gas with best-in-class heat recovery), representing a 1.6-3.8x thermal efficiency advantage </w:t>
      </w:r>
      <w:r>
        <w:rPr>
          <w:color w:val="0066CC"/>
          <w:sz w:val="16"/>
        </w:rPr>
        <w:t>[CLM-023, SRC-ED-009]</w:t>
      </w:r>
      <w:r>
        <w:rPr>
          <w:sz w:val="18"/>
        </w:rPr>
        <w:t>. For the same thermal work, an electric kiln uses 37-63% of the fuel energy input of a gas-fired kiln. This efficiency gain reduces both operating cost and GHG emissions per tonne of LFP CAM produced.</w:t>
      </w:r>
    </w:p>
    <w:p>
      <w:r>
        <w:rPr>
          <w:sz w:val="18"/>
        </w:rPr>
        <w:t xml:space="preserve">During calcination, the following sequential reactions occur with activation energies ranging from 65-180 kJ/mol </w:t>
      </w:r>
      <w:r>
        <w:rPr>
          <w:color w:val="0066CC"/>
          <w:sz w:val="16"/>
        </w:rPr>
        <w:t>[CLM-020, SRC-DT-REPORT]</w:t>
      </w:r>
      <w:r>
        <w:rPr>
          <w:sz w:val="18"/>
        </w:rPr>
        <w:t>:</w:t>
      </w:r>
    </w:p>
    <w:p>
      <w:pPr>
        <w:pStyle w:val="ListNumber"/>
      </w:pPr>
      <w:r>
        <w:rPr>
          <w:sz w:val="18"/>
        </w:rPr>
        <w:t>Dehydration and organic decomposition (200-400 C): glucose pyrolysis generates amorphous carbon</w:t>
      </w:r>
    </w:p>
    <w:p>
      <w:pPr>
        <w:pStyle w:val="ListNumber"/>
      </w:pPr>
      <w:r>
        <w:rPr>
          <w:sz w:val="18"/>
        </w:rPr>
        <w:t>Carbothermal reduction of Fe3+ to Fe2+ (400-550 C): carbon reduces iron phosphate</w:t>
      </w:r>
    </w:p>
    <w:p>
      <w:pPr>
        <w:pStyle w:val="ListNumber"/>
      </w:pPr>
      <w:r>
        <w:rPr>
          <w:sz w:val="18"/>
        </w:rPr>
        <w:t>Olivine crystallisation (550-700 C): nucleation and growth of the LiFePO4 phase (Jander/Avrami kinetics)</w:t>
      </w:r>
    </w:p>
    <w:p>
      <w:pPr>
        <w:pStyle w:val="ListNumber"/>
      </w:pPr>
      <w:r>
        <w:rPr>
          <w:sz w:val="18"/>
        </w:rPr>
        <w:t>Carbon coating consolidation (600-700 C): residual carbon forms a 2-5 nm conductive layer on LFP particles</w:t>
      </w:r>
    </w:p>
    <w:p>
      <w:r>
        <w:rPr>
          <w:sz w:val="18"/>
        </w:rPr>
        <w:t xml:space="preserve">Precise temperature profile control across these stages is the primary determinant of product quality. The nitrogen atmosphere must be maintained at pO2 &lt; 10 ppm to prevent Fe2+ oxidation to Fe3+, which degrades electrochemical performance </w:t>
      </w:r>
      <w:r>
        <w:rPr>
          <w:color w:val="0066CC"/>
          <w:sz w:val="16"/>
        </w:rPr>
        <w:t>[SRC-DT-REPORT]</w:t>
      </w:r>
      <w:r>
        <w:rPr>
          <w:sz w:val="18"/>
        </w:rPr>
        <w:t>.</w:t>
      </w:r>
    </w:p>
    <w:p>
      <w:r>
        <w:rPr>
          <w:b/>
          <w:sz w:val="18"/>
        </w:rPr>
        <w:t>Step 5: Jet Milling</w:t>
      </w:r>
    </w:p>
    <w:p>
      <w:r>
        <w:rPr>
          <w:sz w:val="18"/>
        </w:rPr>
        <w:t>The calcined product is de-agglomerated by jet milling (air-flow grinding). The jet mill uses compressed nitrogen or air to achieve high-velocity interparticle collisions, breaking agglomerates while preserving the olivine crystal structure and carbon coating integrity. The target D50 after jet milling is 0.7-2.5 um.</w:t>
      </w:r>
    </w:p>
    <w:p>
      <w:r>
        <w:rPr>
          <w:b/>
          <w:sz w:val="18"/>
        </w:rPr>
        <w:t>Step 6: Classification and Demagnetisation</w:t>
      </w:r>
    </w:p>
    <w:p>
      <w:r>
        <w:rPr>
          <w:sz w:val="18"/>
        </w:rPr>
        <w:t>The milled powder passes through an ultrasonic vibrating sieve (typical cut-off 10-20 um) to remove oversized particles, followed by an electromagnetic dry powder separator for removal of any ferromagnetic contaminants introduced during milling. The final D50, span (D90-D10)/D50, and magnetic contamination level are verified by at-line laser diffraction and magnetic susceptibility measurement, respectively.</w:t>
      </w:r>
    </w:p>
    <w:p>
      <w:r>
        <w:rPr>
          <w:b/>
          <w:sz w:val="18"/>
        </w:rPr>
        <w:t>Step 7: Automated Packaging</w:t>
      </w:r>
    </w:p>
    <w:p>
      <w:r>
        <w:rPr>
          <w:sz w:val="18"/>
        </w:rPr>
        <w:t>Qualified LiFePO4 product is automatically packaged under inert atmosphere (N2 blanketing) in moisture-barrier bags to maintain battery-grade moisture levels (&lt;750 ppm). Each batch is assigned a unique lot number with full traceability to all process parameters and quality data.</w:t>
      </w:r>
    </w:p>
    <w:p>
      <w:pPr>
        <w:pStyle w:val="Heading3"/>
      </w:pPr>
      <w:r>
        <w:t>Mass and Energy Balance</w:t>
      </w:r>
    </w:p>
    <w:p>
      <w:r>
        <w:rPr>
          <w:b/>
          <w:sz w:val="18"/>
        </w:rPr>
        <w:t>Mass balance (per tonne of LFP CAM product, from production document)</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Input</w:t>
            </w:r>
          </w:p>
        </w:tc>
        <w:tc>
          <w:tcPr>
            <w:tcW w:type="dxa" w:w="3513"/>
          </w:tcPr>
          <w:p>
            <w:r>
              <w:rPr>
                <w:b/>
                <w:sz w:val="16"/>
              </w:rPr>
              <w:t>Quantity per tonne LFP CAM</w:t>
            </w:r>
          </w:p>
        </w:tc>
        <w:tc>
          <w:tcPr>
            <w:tcW w:type="dxa" w:w="3513"/>
          </w:tcPr>
          <w:p>
            <w:r>
              <w:rPr>
                <w:b/>
                <w:sz w:val="16"/>
              </w:rPr>
              <w:t>Annual at 50 kton/yr</w:t>
            </w:r>
          </w:p>
        </w:tc>
      </w:tr>
      <w:tr>
        <w:tc>
          <w:tcPr>
            <w:tcW w:type="dxa" w:w="3513"/>
          </w:tcPr>
          <w:p>
            <w:r>
              <w:rPr>
                <w:sz w:val="16"/>
              </w:rPr>
              <w:t>Iron phosphate (FePO4)</w:t>
            </w:r>
          </w:p>
        </w:tc>
        <w:tc>
          <w:tcPr>
            <w:tcW w:type="dxa" w:w="3513"/>
          </w:tcPr>
          <w:p>
            <w:r>
              <w:rPr>
                <w:sz w:val="16"/>
              </w:rPr>
              <w:t>0.98 t</w:t>
            </w:r>
          </w:p>
        </w:tc>
        <w:tc>
          <w:tcPr>
            <w:tcW w:type="dxa" w:w="3513"/>
          </w:tcPr>
          <w:p>
            <w:r>
              <w:rPr>
                <w:sz w:val="16"/>
              </w:rPr>
              <w:t>49,000 t</w:t>
            </w:r>
          </w:p>
        </w:tc>
      </w:tr>
      <w:tr>
        <w:tc>
          <w:tcPr>
            <w:tcW w:type="dxa" w:w="3513"/>
          </w:tcPr>
          <w:p>
            <w:r>
              <w:rPr>
                <w:sz w:val="16"/>
              </w:rPr>
              <w:t>Lithium carbonate (Li2CO3)</w:t>
            </w:r>
          </w:p>
        </w:tc>
        <w:tc>
          <w:tcPr>
            <w:tcW w:type="dxa" w:w="3513"/>
          </w:tcPr>
          <w:p>
            <w:r>
              <w:rPr>
                <w:sz w:val="16"/>
              </w:rPr>
              <w:t>0.25 t</w:t>
            </w:r>
          </w:p>
        </w:tc>
        <w:tc>
          <w:tcPr>
            <w:tcW w:type="dxa" w:w="3513"/>
          </w:tcPr>
          <w:p>
            <w:r>
              <w:rPr>
                <w:sz w:val="16"/>
              </w:rPr>
              <w:t>12,500 t</w:t>
            </w:r>
          </w:p>
        </w:tc>
      </w:tr>
      <w:tr>
        <w:tc>
          <w:tcPr>
            <w:tcW w:type="dxa" w:w="3513"/>
          </w:tcPr>
          <w:p>
            <w:r>
              <w:rPr>
                <w:sz w:val="16"/>
              </w:rPr>
              <w:t>Glucose (C6H12O6)</w:t>
            </w:r>
          </w:p>
        </w:tc>
        <w:tc>
          <w:tcPr>
            <w:tcW w:type="dxa" w:w="3513"/>
          </w:tcPr>
          <w:p>
            <w:r>
              <w:rPr>
                <w:sz w:val="16"/>
              </w:rPr>
              <w:t>0.010 t</w:t>
            </w:r>
          </w:p>
        </w:tc>
        <w:tc>
          <w:tcPr>
            <w:tcW w:type="dxa" w:w="3513"/>
          </w:tcPr>
          <w:p>
            <w:r>
              <w:rPr>
                <w:sz w:val="16"/>
              </w:rPr>
              <w:t>500 t</w:t>
            </w:r>
          </w:p>
        </w:tc>
      </w:tr>
      <w:tr>
        <w:tc>
          <w:tcPr>
            <w:tcW w:type="dxa" w:w="3513"/>
          </w:tcPr>
          <w:p>
            <w:r>
              <w:rPr>
                <w:sz w:val="16"/>
              </w:rPr>
              <w:t>TiO2</w:t>
            </w:r>
          </w:p>
        </w:tc>
        <w:tc>
          <w:tcPr>
            <w:tcW w:type="dxa" w:w="3513"/>
          </w:tcPr>
          <w:p>
            <w:r>
              <w:rPr>
                <w:sz w:val="16"/>
              </w:rPr>
              <w:t>0.008 t</w:t>
            </w:r>
          </w:p>
        </w:tc>
        <w:tc>
          <w:tcPr>
            <w:tcW w:type="dxa" w:w="3513"/>
          </w:tcPr>
          <w:p>
            <w:r>
              <w:rPr>
                <w:sz w:val="16"/>
              </w:rPr>
              <w:t>400 t</w:t>
            </w:r>
          </w:p>
        </w:tc>
      </w:tr>
      <w:tr>
        <w:tc>
          <w:tcPr>
            <w:tcW w:type="dxa" w:w="3513"/>
          </w:tcPr>
          <w:p>
            <w:r>
              <w:rPr>
                <w:sz w:val="16"/>
              </w:rPr>
              <w:t>H3PO4</w:t>
            </w:r>
          </w:p>
        </w:tc>
        <w:tc>
          <w:tcPr>
            <w:tcW w:type="dxa" w:w="3513"/>
          </w:tcPr>
          <w:p>
            <w:r>
              <w:rPr>
                <w:sz w:val="16"/>
              </w:rPr>
              <w:t>0.006 t</w:t>
            </w:r>
          </w:p>
        </w:tc>
        <w:tc>
          <w:tcPr>
            <w:tcW w:type="dxa" w:w="3513"/>
          </w:tcPr>
          <w:p>
            <w:r>
              <w:rPr>
                <w:sz w:val="16"/>
              </w:rPr>
              <w:t>300 t</w:t>
            </w:r>
          </w:p>
        </w:tc>
      </w:tr>
    </w:tbl>
    <w:p>
      <w:r>
        <w:rPr>
          <w:sz w:val="18"/>
        </w:rPr>
        <w:t>The stoichiometric yield is &gt;95% for the lithium and iron-phosphorus streams; the primary mass loss is CO2 from carbonate decomposition and volatiles from glucose pyrolysis. Water is evaporated during spray drying and recovered; nitrogen carrier gas is recycled after scrubbing.</w:t>
      </w:r>
    </w:p>
    <w:p>
      <w:r>
        <w:rPr>
          <w:b/>
          <w:sz w:val="18"/>
        </w:rPr>
        <w:t>Energy and utility balance (per tonne of LFP CAM product, from production document)</w:t>
      </w:r>
      <w:r>
        <w:rPr>
          <w:sz w:val="18"/>
        </w:rPr>
        <w:t>:</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Utility</w:t>
            </w:r>
          </w:p>
        </w:tc>
        <w:tc>
          <w:tcPr>
            <w:tcW w:type="dxa" w:w="5270"/>
          </w:tcPr>
          <w:p>
            <w:r>
              <w:rPr>
                <w:b/>
                <w:sz w:val="16"/>
              </w:rPr>
              <w:t>Quantity per tonne LFP CAM</w:t>
            </w:r>
          </w:p>
        </w:tc>
      </w:tr>
      <w:tr>
        <w:tc>
          <w:tcPr>
            <w:tcW w:type="dxa" w:w="5270"/>
          </w:tcPr>
          <w:p>
            <w:r>
              <w:rPr>
                <w:sz w:val="16"/>
              </w:rPr>
              <w:t>Electricity</w:t>
            </w:r>
          </w:p>
        </w:tc>
        <w:tc>
          <w:tcPr>
            <w:tcW w:type="dxa" w:w="5270"/>
          </w:tcPr>
          <w:p>
            <w:r>
              <w:rPr>
                <w:sz w:val="16"/>
              </w:rPr>
              <w:t>3,580 kWh</w:t>
            </w:r>
          </w:p>
        </w:tc>
      </w:tr>
      <w:tr>
        <w:tc>
          <w:tcPr>
            <w:tcW w:type="dxa" w:w="5270"/>
          </w:tcPr>
          <w:p>
            <w:r>
              <w:rPr>
                <w:sz w:val="16"/>
              </w:rPr>
              <w:t>Production water</w:t>
            </w:r>
          </w:p>
        </w:tc>
        <w:tc>
          <w:tcPr>
            <w:tcW w:type="dxa" w:w="5270"/>
          </w:tcPr>
          <w:p>
            <w:r>
              <w:rPr>
                <w:sz w:val="16"/>
              </w:rPr>
              <w:t>4 t</w:t>
            </w:r>
          </w:p>
        </w:tc>
      </w:tr>
      <w:tr>
        <w:tc>
          <w:tcPr>
            <w:tcW w:type="dxa" w:w="5270"/>
          </w:tcPr>
          <w:p>
            <w:r>
              <w:rPr>
                <w:sz w:val="16"/>
              </w:rPr>
              <w:t>Pure water</w:t>
            </w:r>
          </w:p>
        </w:tc>
        <w:tc>
          <w:tcPr>
            <w:tcW w:type="dxa" w:w="5270"/>
          </w:tcPr>
          <w:p>
            <w:r>
              <w:rPr>
                <w:sz w:val="16"/>
              </w:rPr>
              <w:t>5 t</w:t>
            </w:r>
          </w:p>
        </w:tc>
      </w:tr>
      <w:tr>
        <w:tc>
          <w:tcPr>
            <w:tcW w:type="dxa" w:w="5270"/>
          </w:tcPr>
          <w:p>
            <w:r>
              <w:rPr>
                <w:sz w:val="16"/>
              </w:rPr>
              <w:t>Natural gas</w:t>
            </w:r>
          </w:p>
        </w:tc>
        <w:tc>
          <w:tcPr>
            <w:tcW w:type="dxa" w:w="5270"/>
          </w:tcPr>
          <w:p>
            <w:r>
              <w:rPr>
                <w:sz w:val="16"/>
              </w:rPr>
              <w:t>189 m3</w:t>
            </w:r>
          </w:p>
        </w:tc>
      </w:tr>
      <w:tr>
        <w:tc>
          <w:tcPr>
            <w:tcW w:type="dxa" w:w="5270"/>
          </w:tcPr>
          <w:p>
            <w:r>
              <w:rPr>
                <w:sz w:val="16"/>
              </w:rPr>
              <w:t>Nitrogen</w:t>
            </w:r>
          </w:p>
        </w:tc>
        <w:tc>
          <w:tcPr>
            <w:tcW w:type="dxa" w:w="5270"/>
          </w:tcPr>
          <w:p>
            <w:r>
              <w:rPr>
                <w:sz w:val="16"/>
              </w:rPr>
              <w:t>850 m3</w:t>
            </w:r>
          </w:p>
        </w:tc>
      </w:tr>
    </w:tbl>
    <w:p>
      <w:r>
        <w:rPr>
          <w:sz w:val="18"/>
        </w:rPr>
        <w:t xml:space="preserve">The two energy-intensive steps are spray drying and calcination, which together account for &gt;80% of total process energy consumption </w:t>
      </w:r>
      <w:r>
        <w:rPr>
          <w:color w:val="0066CC"/>
          <w:sz w:val="16"/>
        </w:rPr>
        <w:t>[CLM-024, SRC-ED-014]</w:t>
      </w:r>
      <w:r>
        <w:rPr>
          <w:sz w:val="18"/>
        </w:rPr>
        <w:t xml:space="preserve">. The measured electricity consumption of 3,580 kWh/t is consistent with the estimated range of 3-6 kWh/kg from NMC CAM analog data (Ahmed et al., 2017 </w:t>
      </w:r>
      <w:r>
        <w:rPr>
          <w:color w:val="0066CC"/>
          <w:sz w:val="16"/>
        </w:rPr>
        <w:t>[SRC-ED-011]</w:t>
      </w:r>
      <w:r>
        <w:rPr>
          <w:sz w:val="18"/>
        </w:rPr>
        <w:t>). The natural gas consumption of 189 m3/t reflects the initial plant configuration; the progressive electrification strategy aims to reduce and eventually eliminate this gas use through electric alternatives in spray drying and calcination auxiliary heating.</w:t>
      </w:r>
    </w:p>
    <w:p>
      <w:r>
        <w:rPr>
          <w:b/>
          <w:sz w:val="18"/>
        </w:rPr>
        <w:t>Production capacity</w:t>
      </w:r>
      <w:r>
        <w:rPr>
          <w:sz w:val="18"/>
        </w:rPr>
        <w:t xml:space="preserve">: The plant is designed for an annual nameplate capacity of </w:t>
      </w:r>
      <w:r>
        <w:rPr>
          <w:b/>
          <w:sz w:val="18"/>
        </w:rPr>
        <w:t>50,000 tonnes (50 kton/yr)</w:t>
      </w:r>
      <w:r>
        <w:rPr>
          <w:sz w:val="18"/>
        </w:rPr>
        <w:t xml:space="preserve"> of battery-grade LFP CAM, organised across 4 modular production lines of 12,500 t/yr each. This exceeds the comparable FREYR project (30,000 t/yr </w:t>
      </w:r>
      <w:r>
        <w:rPr>
          <w:color w:val="0066CC"/>
          <w:sz w:val="16"/>
        </w:rPr>
        <w:t>[SRC-025]</w:t>
      </w:r>
      <w:r>
        <w:rPr>
          <w:sz w:val="18"/>
        </w:rPr>
        <w:t>) and positions the Brindisi facility as the largest planned LFP CAM plant in Europe. The target market is primarily ESS cell manufacturers.</w:t>
      </w:r>
    </w:p>
    <w:p>
      <w:pPr>
        <w:pStyle w:val="Heading3"/>
      </w:pPr>
      <w:r>
        <w:t>Critical Quality Attributes (CQAs)</w:t>
      </w:r>
    </w:p>
    <w:p>
      <w:r>
        <w:rPr>
          <w:sz w:val="18"/>
        </w:rPr>
        <w:t xml:space="preserve">The following CQA targets define battery-grade LFP CAM, per the QbD framework developed in the DT deep-dive report </w:t>
      </w:r>
      <w:r>
        <w:rPr>
          <w:color w:val="0066CC"/>
          <w:sz w:val="16"/>
        </w:rPr>
        <w:t>[SRC-DT-REPORT, CLM-009]</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Specification</w:t>
            </w:r>
          </w:p>
        </w:tc>
        <w:tc>
          <w:tcPr>
            <w:tcW w:type="dxa" w:w="2635"/>
          </w:tcPr>
          <w:p>
            <w:r>
              <w:rPr>
                <w:b/>
                <w:sz w:val="16"/>
              </w:rPr>
              <w:t>Measurement Method</w:t>
            </w:r>
          </w:p>
        </w:tc>
      </w:tr>
      <w:tr>
        <w:tc>
          <w:tcPr>
            <w:tcW w:type="dxa" w:w="2635"/>
          </w:tcPr>
          <w:p>
            <w:r>
              <w:rPr>
                <w:sz w:val="16"/>
              </w:rPr>
              <w:t>D10 particle size</w:t>
            </w:r>
          </w:p>
        </w:tc>
        <w:tc>
          <w:tcPr>
            <w:tcW w:type="dxa" w:w="2635"/>
          </w:tcPr>
          <w:p>
            <w:r>
              <w:rPr>
                <w:sz w:val="16"/>
              </w:rPr>
              <w:t>0.3-1.0 um</w:t>
            </w:r>
          </w:p>
        </w:tc>
        <w:tc>
          <w:tcPr>
            <w:tcW w:type="dxa" w:w="2635"/>
          </w:tcPr>
          <w:p>
            <w:r>
              <w:rPr>
                <w:sz w:val="16"/>
              </w:rPr>
              <w:t>Range</w:t>
            </w:r>
          </w:p>
        </w:tc>
        <w:tc>
          <w:tcPr>
            <w:tcW w:type="dxa" w:w="2635"/>
          </w:tcPr>
          <w:p>
            <w:r>
              <w:rPr>
                <w:sz w:val="16"/>
              </w:rPr>
              <w:t>Laser diffraction</w:t>
            </w:r>
          </w:p>
        </w:tc>
      </w:tr>
      <w:tr>
        <w:tc>
          <w:tcPr>
            <w:tcW w:type="dxa" w:w="2635"/>
          </w:tcPr>
          <w:p>
            <w:r>
              <w:rPr>
                <w:sz w:val="16"/>
              </w:rPr>
              <w:t>D50 particle size</w:t>
            </w:r>
          </w:p>
        </w:tc>
        <w:tc>
          <w:tcPr>
            <w:tcW w:type="dxa" w:w="2635"/>
          </w:tcPr>
          <w:p>
            <w:r>
              <w:rPr>
                <w:sz w:val="16"/>
              </w:rPr>
              <w:t>0.7-2.5 um</w:t>
            </w:r>
          </w:p>
        </w:tc>
        <w:tc>
          <w:tcPr>
            <w:tcW w:type="dxa" w:w="2635"/>
          </w:tcPr>
          <w:p>
            <w:r>
              <w:rPr>
                <w:sz w:val="16"/>
              </w:rPr>
              <w:t>Range</w:t>
            </w:r>
          </w:p>
        </w:tc>
        <w:tc>
          <w:tcPr>
            <w:tcW w:type="dxa" w:w="2635"/>
          </w:tcPr>
          <w:p>
            <w:r>
              <w:rPr>
                <w:sz w:val="16"/>
              </w:rPr>
              <w:t>Laser diffraction</w:t>
            </w:r>
          </w:p>
        </w:tc>
      </w:tr>
      <w:tr>
        <w:tc>
          <w:tcPr>
            <w:tcW w:type="dxa" w:w="2635"/>
          </w:tcPr>
          <w:p>
            <w:r>
              <w:rPr>
                <w:sz w:val="16"/>
              </w:rPr>
              <w:t>D90 particle size</w:t>
            </w:r>
          </w:p>
        </w:tc>
        <w:tc>
          <w:tcPr>
            <w:tcW w:type="dxa" w:w="2635"/>
          </w:tcPr>
          <w:p>
            <w:r>
              <w:rPr>
                <w:sz w:val="16"/>
              </w:rPr>
              <w:t>2.5-12.0 um</w:t>
            </w:r>
          </w:p>
        </w:tc>
        <w:tc>
          <w:tcPr>
            <w:tcW w:type="dxa" w:w="2635"/>
          </w:tcPr>
          <w:p>
            <w:r>
              <w:rPr>
                <w:sz w:val="16"/>
              </w:rPr>
              <w:t>Range</w:t>
            </w:r>
          </w:p>
        </w:tc>
        <w:tc>
          <w:tcPr>
            <w:tcW w:type="dxa" w:w="2635"/>
          </w:tcPr>
          <w:p>
            <w:r>
              <w:rPr>
                <w:sz w:val="16"/>
              </w:rPr>
              <w:t>Laser diffraction</w:t>
            </w:r>
          </w:p>
        </w:tc>
      </w:tr>
      <w:tr>
        <w:tc>
          <w:tcPr>
            <w:tcW w:type="dxa" w:w="2635"/>
          </w:tcPr>
          <w:p>
            <w:r>
              <w:rPr>
                <w:sz w:val="16"/>
              </w:rPr>
              <w:t>Specific surface area (SSA)</w:t>
            </w:r>
          </w:p>
        </w:tc>
        <w:tc>
          <w:tcPr>
            <w:tcW w:type="dxa" w:w="2635"/>
          </w:tcPr>
          <w:p>
            <w:r>
              <w:rPr>
                <w:sz w:val="16"/>
              </w:rPr>
              <w:t>10-14 m2/g</w:t>
            </w:r>
          </w:p>
        </w:tc>
        <w:tc>
          <w:tcPr>
            <w:tcW w:type="dxa" w:w="2635"/>
          </w:tcPr>
          <w:p>
            <w:r>
              <w:rPr>
                <w:sz w:val="16"/>
              </w:rPr>
              <w:t>Range</w:t>
            </w:r>
          </w:p>
        </w:tc>
        <w:tc>
          <w:tcPr>
            <w:tcW w:type="dxa" w:w="2635"/>
          </w:tcPr>
          <w:p>
            <w:r>
              <w:rPr>
                <w:sz w:val="16"/>
              </w:rPr>
              <w:t>N2 adsorption (BET)</w:t>
            </w:r>
          </w:p>
        </w:tc>
      </w:tr>
      <w:tr>
        <w:tc>
          <w:tcPr>
            <w:tcW w:type="dxa" w:w="2635"/>
          </w:tcPr>
          <w:p>
            <w:r>
              <w:rPr>
                <w:sz w:val="16"/>
              </w:rPr>
              <w:t>Tap density</w:t>
            </w:r>
          </w:p>
        </w:tc>
        <w:tc>
          <w:tcPr>
            <w:tcW w:type="dxa" w:w="2635"/>
          </w:tcPr>
          <w:p>
            <w:r>
              <w:rPr>
                <w:sz w:val="16"/>
              </w:rPr>
              <w:t>1.0-1.4 g/cm3</w:t>
            </w:r>
          </w:p>
        </w:tc>
        <w:tc>
          <w:tcPr>
            <w:tcW w:type="dxa" w:w="2635"/>
          </w:tcPr>
          <w:p>
            <w:r>
              <w:rPr>
                <w:sz w:val="16"/>
              </w:rPr>
              <w:t>&gt;1.0 g/cm3</w:t>
            </w:r>
          </w:p>
        </w:tc>
        <w:tc>
          <w:tcPr>
            <w:tcW w:type="dxa" w:w="2635"/>
          </w:tcPr>
          <w:p>
            <w:r>
              <w:rPr>
                <w:sz w:val="16"/>
              </w:rPr>
              <w:t>ASTM B527</w:t>
            </w:r>
          </w:p>
        </w:tc>
      </w:tr>
      <w:tr>
        <w:tc>
          <w:tcPr>
            <w:tcW w:type="dxa" w:w="2635"/>
          </w:tcPr>
          <w:p>
            <w:r>
              <w:rPr>
                <w:sz w:val="16"/>
              </w:rPr>
              <w:t>Pellet density</w:t>
            </w:r>
          </w:p>
        </w:tc>
        <w:tc>
          <w:tcPr>
            <w:tcW w:type="dxa" w:w="2635"/>
          </w:tcPr>
          <w:p>
            <w:r>
              <w:rPr>
                <w:sz w:val="16"/>
              </w:rPr>
              <w:t>&gt;=2.40 g/cm3</w:t>
            </w:r>
          </w:p>
        </w:tc>
        <w:tc>
          <w:tcPr>
            <w:tcW w:type="dxa" w:w="2635"/>
          </w:tcPr>
          <w:p>
            <w:r>
              <w:rPr>
                <w:sz w:val="16"/>
              </w:rPr>
              <w:t>Min 2.40 g/cm3</w:t>
            </w:r>
          </w:p>
        </w:tc>
        <w:tc>
          <w:tcPr>
            <w:tcW w:type="dxa" w:w="2635"/>
          </w:tcPr>
          <w:p>
            <w:r>
              <w:rPr>
                <w:sz w:val="16"/>
              </w:rPr>
              <w:t>Compaction measurement</w:t>
            </w:r>
          </w:p>
        </w:tc>
      </w:tr>
      <w:tr>
        <w:tc>
          <w:tcPr>
            <w:tcW w:type="dxa" w:w="2635"/>
          </w:tcPr>
          <w:p>
            <w:r>
              <w:rPr>
                <w:sz w:val="16"/>
              </w:rPr>
              <w:t>Electrode press density</w:t>
            </w:r>
          </w:p>
        </w:tc>
        <w:tc>
          <w:tcPr>
            <w:tcW w:type="dxa" w:w="2635"/>
          </w:tcPr>
          <w:p>
            <w:r>
              <w:rPr>
                <w:sz w:val="16"/>
              </w:rPr>
              <w:t>&gt;=2.30 g/cm3</w:t>
            </w:r>
          </w:p>
        </w:tc>
        <w:tc>
          <w:tcPr>
            <w:tcW w:type="dxa" w:w="2635"/>
          </w:tcPr>
          <w:p>
            <w:r>
              <w:rPr>
                <w:sz w:val="16"/>
              </w:rPr>
              <w:t>Min 2.30 g/cm3</w:t>
            </w:r>
          </w:p>
        </w:tc>
        <w:tc>
          <w:tcPr>
            <w:tcW w:type="dxa" w:w="2635"/>
          </w:tcPr>
          <w:p>
            <w:r>
              <w:rPr>
                <w:sz w:val="16"/>
              </w:rPr>
              <w:t>Press density measurement</w:t>
            </w:r>
          </w:p>
        </w:tc>
      </w:tr>
      <w:tr>
        <w:tc>
          <w:tcPr>
            <w:tcW w:type="dxa" w:w="2635"/>
          </w:tcPr>
          <w:p>
            <w:r>
              <w:rPr>
                <w:sz w:val="16"/>
              </w:rPr>
              <w:t>Phase purity (olivine)</w:t>
            </w:r>
          </w:p>
        </w:tc>
        <w:tc>
          <w:tcPr>
            <w:tcW w:type="dxa" w:w="2635"/>
          </w:tcPr>
          <w:p>
            <w:r>
              <w:rPr>
                <w:sz w:val="16"/>
              </w:rPr>
              <w:t>&gt;98%</w:t>
            </w:r>
          </w:p>
        </w:tc>
        <w:tc>
          <w:tcPr>
            <w:tcW w:type="dxa" w:w="2635"/>
          </w:tcPr>
          <w:p>
            <w:r>
              <w:rPr>
                <w:sz w:val="16"/>
              </w:rPr>
              <w:t>Min 97%</w:t>
            </w:r>
          </w:p>
        </w:tc>
        <w:tc>
          <w:tcPr>
            <w:tcW w:type="dxa" w:w="2635"/>
          </w:tcPr>
          <w:p>
            <w:r>
              <w:rPr>
                <w:sz w:val="16"/>
              </w:rPr>
              <w:t>XRD Rietveld refinement</w:t>
            </w:r>
          </w:p>
        </w:tc>
      </w:tr>
      <w:tr>
        <w:tc>
          <w:tcPr>
            <w:tcW w:type="dxa" w:w="2635"/>
          </w:tcPr>
          <w:p>
            <w:r>
              <w:rPr>
                <w:sz w:val="16"/>
              </w:rPr>
              <w:t>Carbon content</w:t>
            </w:r>
          </w:p>
        </w:tc>
        <w:tc>
          <w:tcPr>
            <w:tcW w:type="dxa" w:w="2635"/>
          </w:tcPr>
          <w:p>
            <w:r>
              <w:rPr>
                <w:sz w:val="16"/>
              </w:rPr>
              <w:t>1.0-1.8 wt%</w:t>
            </w:r>
          </w:p>
        </w:tc>
        <w:tc>
          <w:tcPr>
            <w:tcW w:type="dxa" w:w="2635"/>
          </w:tcPr>
          <w:p>
            <w:r>
              <w:rPr>
                <w:sz w:val="16"/>
              </w:rPr>
              <w:t>Range</w:t>
            </w:r>
          </w:p>
        </w:tc>
        <w:tc>
          <w:tcPr>
            <w:tcW w:type="dxa" w:w="2635"/>
          </w:tcPr>
          <w:p>
            <w:r>
              <w:rPr>
                <w:sz w:val="16"/>
              </w:rPr>
              <w:t>TGA / combustion analysis</w:t>
            </w:r>
          </w:p>
        </w:tc>
      </w:tr>
      <w:tr>
        <w:tc>
          <w:tcPr>
            <w:tcW w:type="dxa" w:w="2635"/>
          </w:tcPr>
          <w:p>
            <w:r>
              <w:rPr>
                <w:sz w:val="16"/>
              </w:rPr>
              <w:t>Fe2+/Fe3+ ratio</w:t>
            </w:r>
          </w:p>
        </w:tc>
        <w:tc>
          <w:tcPr>
            <w:tcW w:type="dxa" w:w="2635"/>
          </w:tcPr>
          <w:p>
            <w:r>
              <w:rPr>
                <w:sz w:val="16"/>
              </w:rPr>
              <w:t>&gt;0.95</w:t>
            </w:r>
          </w:p>
        </w:tc>
        <w:tc>
          <w:tcPr>
            <w:tcW w:type="dxa" w:w="2635"/>
          </w:tcPr>
          <w:p>
            <w:r>
              <w:rPr>
                <w:sz w:val="16"/>
              </w:rPr>
              <w:t>Min 0.90</w:t>
            </w:r>
          </w:p>
        </w:tc>
        <w:tc>
          <w:tcPr>
            <w:tcW w:type="dxa" w:w="2635"/>
          </w:tcPr>
          <w:p>
            <w:r>
              <w:rPr>
                <w:sz w:val="16"/>
              </w:rPr>
              <w:t>Mossbauer / XPS</w:t>
            </w:r>
          </w:p>
        </w:tc>
      </w:tr>
      <w:tr>
        <w:tc>
          <w:tcPr>
            <w:tcW w:type="dxa" w:w="2635"/>
          </w:tcPr>
          <w:p>
            <w:r>
              <w:rPr>
                <w:sz w:val="16"/>
              </w:rPr>
              <w:t>Discharge capacity (0.1C)</w:t>
            </w:r>
          </w:p>
        </w:tc>
        <w:tc>
          <w:tcPr>
            <w:tcW w:type="dxa" w:w="2635"/>
          </w:tcPr>
          <w:p>
            <w:r>
              <w:rPr>
                <w:sz w:val="16"/>
              </w:rPr>
              <w:t>&gt;=155 mAh/g</w:t>
            </w:r>
          </w:p>
        </w:tc>
        <w:tc>
          <w:tcPr>
            <w:tcW w:type="dxa" w:w="2635"/>
          </w:tcPr>
          <w:p>
            <w:r>
              <w:rPr>
                <w:sz w:val="16"/>
              </w:rPr>
              <w:t>Min 150 mAh/g</w:t>
            </w:r>
          </w:p>
        </w:tc>
        <w:tc>
          <w:tcPr>
            <w:tcW w:type="dxa" w:w="2635"/>
          </w:tcPr>
          <w:p>
            <w:r>
              <w:rPr>
                <w:sz w:val="16"/>
              </w:rPr>
              <w:t>Half-cell electrochemical testing</w:t>
            </w:r>
          </w:p>
        </w:tc>
      </w:tr>
      <w:tr>
        <w:tc>
          <w:tcPr>
            <w:tcW w:type="dxa" w:w="2635"/>
          </w:tcPr>
          <w:p>
            <w:r>
              <w:rPr>
                <w:sz w:val="16"/>
              </w:rPr>
              <w:t>Discharge capacity (1C)</w:t>
            </w:r>
          </w:p>
        </w:tc>
        <w:tc>
          <w:tcPr>
            <w:tcW w:type="dxa" w:w="2635"/>
          </w:tcPr>
          <w:p>
            <w:r>
              <w:rPr>
                <w:sz w:val="16"/>
              </w:rPr>
              <w:t>&gt;=140 mAh/g</w:t>
            </w:r>
          </w:p>
        </w:tc>
        <w:tc>
          <w:tcPr>
            <w:tcW w:type="dxa" w:w="2635"/>
          </w:tcPr>
          <w:p>
            <w:r>
              <w:rPr>
                <w:sz w:val="16"/>
              </w:rPr>
              <w:t>Min 135 mAh/g</w:t>
            </w:r>
          </w:p>
        </w:tc>
        <w:tc>
          <w:tcPr>
            <w:tcW w:type="dxa" w:w="2635"/>
          </w:tcPr>
          <w:p>
            <w:r>
              <w:rPr>
                <w:sz w:val="16"/>
              </w:rPr>
              <w:t>Half-cell electrochemical testing</w:t>
            </w:r>
          </w:p>
        </w:tc>
      </w:tr>
      <w:tr>
        <w:tc>
          <w:tcPr>
            <w:tcW w:type="dxa" w:w="2635"/>
          </w:tcPr>
          <w:p>
            <w:r>
              <w:rPr>
                <w:sz w:val="16"/>
              </w:rPr>
              <w:t>Initial Coulombic Efficiency</w:t>
            </w:r>
          </w:p>
        </w:tc>
        <w:tc>
          <w:tcPr>
            <w:tcW w:type="dxa" w:w="2635"/>
          </w:tcPr>
          <w:p>
            <w:r>
              <w:rPr>
                <w:sz w:val="16"/>
              </w:rPr>
              <w:t>~98%</w:t>
            </w:r>
          </w:p>
        </w:tc>
        <w:tc>
          <w:tcPr>
            <w:tcW w:type="dxa" w:w="2635"/>
          </w:tcPr>
          <w:p>
            <w:r>
              <w:rPr>
                <w:sz w:val="16"/>
              </w:rPr>
              <w:t>Min 96%</w:t>
            </w:r>
          </w:p>
        </w:tc>
        <w:tc>
          <w:tcPr>
            <w:tcW w:type="dxa" w:w="2635"/>
          </w:tcPr>
          <w:p>
            <w:r>
              <w:rPr>
                <w:sz w:val="16"/>
              </w:rPr>
              <w:t>Half-cell electrochemical testing</w:t>
            </w:r>
          </w:p>
        </w:tc>
      </w:tr>
      <w:tr>
        <w:tc>
          <w:tcPr>
            <w:tcW w:type="dxa" w:w="2635"/>
          </w:tcPr>
          <w:p>
            <w:r>
              <w:rPr>
                <w:sz w:val="16"/>
              </w:rPr>
              <w:t>Moisture</w:t>
            </w:r>
          </w:p>
        </w:tc>
        <w:tc>
          <w:tcPr>
            <w:tcW w:type="dxa" w:w="2635"/>
          </w:tcPr>
          <w:p>
            <w:r>
              <w:rPr>
                <w:sz w:val="16"/>
              </w:rPr>
              <w:t>&lt;750 ppm</w:t>
            </w:r>
          </w:p>
        </w:tc>
        <w:tc>
          <w:tcPr>
            <w:tcW w:type="dxa" w:w="2635"/>
          </w:tcPr>
          <w:p>
            <w:r>
              <w:rPr>
                <w:sz w:val="16"/>
              </w:rPr>
              <w:t>Max 750 ppm</w:t>
            </w:r>
          </w:p>
        </w:tc>
        <w:tc>
          <w:tcPr>
            <w:tcW w:type="dxa" w:w="2635"/>
          </w:tcPr>
          <w:p>
            <w:r>
              <w:rPr>
                <w:sz w:val="16"/>
              </w:rPr>
              <w:t>Karl Fischer titration</w:t>
            </w:r>
          </w:p>
        </w:tc>
      </w:tr>
      <w:tr>
        <w:tc>
          <w:tcPr>
            <w:tcW w:type="dxa" w:w="2635"/>
          </w:tcPr>
          <w:p>
            <w:r>
              <w:rPr>
                <w:sz w:val="16"/>
              </w:rPr>
              <w:t>Magnetic impurities</w:t>
            </w:r>
          </w:p>
        </w:tc>
        <w:tc>
          <w:tcPr>
            <w:tcW w:type="dxa" w:w="2635"/>
          </w:tcPr>
          <w:p>
            <w:r>
              <w:rPr>
                <w:sz w:val="16"/>
              </w:rPr>
              <w:t>&lt;=1000 ppb</w:t>
            </w:r>
          </w:p>
        </w:tc>
        <w:tc>
          <w:tcPr>
            <w:tcW w:type="dxa" w:w="2635"/>
          </w:tcPr>
          <w:p>
            <w:r>
              <w:rPr>
                <w:sz w:val="16"/>
              </w:rPr>
              <w:t>Max 1000 ppb</w:t>
            </w:r>
          </w:p>
        </w:tc>
        <w:tc>
          <w:tcPr>
            <w:tcW w:type="dxa" w:w="2635"/>
          </w:tcPr>
          <w:p>
            <w:r>
              <w:rPr>
                <w:sz w:val="16"/>
              </w:rPr>
              <w:t>Magnetic susceptibility</w:t>
            </w:r>
          </w:p>
        </w:tc>
      </w:tr>
    </w:tbl>
    <w:p>
      <w:pPr>
        <w:pStyle w:val="Heading3"/>
      </w:pPr>
      <w:r>
        <w:t>Digital Twin Architecture</w:t>
      </w:r>
    </w:p>
    <w:p>
      <w:r>
        <w:rPr>
          <w:sz w:val="18"/>
        </w:rPr>
        <w:t xml:space="preserve">The digital twin is designed according to ISO 23247:2021, the international standard for manufacturing digital twins </w:t>
      </w:r>
      <w:r>
        <w:rPr>
          <w:color w:val="0066CC"/>
          <w:sz w:val="16"/>
        </w:rPr>
        <w:t>[CLM-008, SRC-007, SRC-008]</w:t>
      </w:r>
      <w:r>
        <w:rPr>
          <w:sz w:val="18"/>
        </w:rPr>
        <w:t>. The four-layer architecture maps directly to the Brindisi plant equipment and control systems:</w:t>
      </w:r>
    </w:p>
    <w:p>
      <w:r>
        <w:rPr>
          <w:b/>
          <w:sz w:val="18"/>
        </w:rPr>
        <w:t>Layer 1 -- Observable Manufacturing Element (OME)</w:t>
      </w:r>
      <w:r>
        <w:rPr>
          <w:sz w:val="18"/>
        </w:rPr>
        <w:t>: The physical plant assets, including the spray dryer, calcination furnace (RHK or rotary kiln), jet mill, classifier, and all QC instrumentation. Each major equipment unit is assigned a unique asset identifier and a digital representation within the twin.</w:t>
      </w:r>
    </w:p>
    <w:p>
      <w:r>
        <w:rPr>
          <w:b/>
          <w:sz w:val="18"/>
        </w:rPr>
        <w:t>Layer 2 -- Data Collection and Device Control (DCDC)</w:t>
      </w:r>
      <w:r>
        <w:rPr>
          <w:sz w:val="18"/>
        </w:rPr>
        <w:t>: The sensor network and industrial communication layer. Sensors include:</w:t>
      </w:r>
    </w:p>
    <w:p>
      <w:pPr>
        <w:pStyle w:val="ListBullet"/>
      </w:pPr>
      <w:r>
        <w:rPr>
          <w:sz w:val="18"/>
        </w:rPr>
        <w:t>Temperature: Type K/S thermocouples (contact measurement, +/-1.5 C accuracy) and ratio pyrometers (non-contact, +/-0.5%) for furnace zone monitoring; IR cameras for full-field 2D thermal mapping of crucible beds</w:t>
      </w:r>
    </w:p>
    <w:p>
      <w:pPr>
        <w:pStyle w:val="ListBullet"/>
      </w:pPr>
      <w:r>
        <w:rPr>
          <w:sz w:val="18"/>
        </w:rPr>
        <w:t>Particle size: FBRM (Focused Beam Reflectance Measurement) probes for in-line monitoring during milling (0.5-2000 um, 2-second update rate); laser diffraction for at-line D10/D50/D90 verification</w:t>
      </w:r>
    </w:p>
    <w:p>
      <w:pPr>
        <w:pStyle w:val="ListBullet"/>
      </w:pPr>
      <w:r>
        <w:rPr>
          <w:sz w:val="18"/>
        </w:rPr>
        <w:t xml:space="preserve">Chemical composition: In-line Raman spectroscopy probes simultaneously measuring olivine phase formation (PO4 stretch at 950 cm-1), carbon coating quality (D/G band ratio), and impurity phases </w:t>
      </w:r>
      <w:r>
        <w:rPr>
          <w:color w:val="0066CC"/>
          <w:sz w:val="16"/>
        </w:rPr>
        <w:t>[CLM-019, SRC-DT-REPORT]</w:t>
      </w:r>
    </w:p>
    <w:p>
      <w:pPr>
        <w:pStyle w:val="ListBullet"/>
      </w:pPr>
      <w:r>
        <w:rPr>
          <w:sz w:val="18"/>
        </w:rPr>
        <w:t>Atmosphere: Zirconia O2 sensors (&lt;10 ppm resolution), NDIR analysers for CO2/CO/CH4, QMS for evolved gas analysis during calcination</w:t>
      </w:r>
    </w:p>
    <w:p>
      <w:r>
        <w:rPr>
          <w:sz w:val="18"/>
        </w:rPr>
        <w:t xml:space="preserve">All sensor data is communicated via OPC-UA gateways to an edge-fog computing layer, with MQTT publish-subscribe messaging for real-time data streaming. Typical edge-to-fog latency is &lt;100 ms </w:t>
      </w:r>
      <w:r>
        <w:rPr>
          <w:color w:val="0066CC"/>
          <w:sz w:val="16"/>
        </w:rPr>
        <w:t>[SRC-DT-REPORT]</w:t>
      </w:r>
      <w:r>
        <w:rPr>
          <w:sz w:val="18"/>
        </w:rPr>
        <w:t>.</w:t>
      </w:r>
    </w:p>
    <w:p>
      <w:r>
        <w:rPr>
          <w:b/>
          <w:sz w:val="18"/>
        </w:rPr>
        <w:t>Layer 3 -- Digital Twin Core Entity</w:t>
      </w:r>
      <w:r>
        <w:rPr>
          <w:sz w:val="18"/>
        </w:rPr>
        <w:t>: The computational engine comprising:</w:t>
      </w:r>
    </w:p>
    <w:p>
      <w:pPr>
        <w:pStyle w:val="ListBullet"/>
      </w:pPr>
      <w:r>
        <w:rPr>
          <w:sz w:val="18"/>
        </w:rPr>
        <w:t xml:space="preserve">Physics-based models: CFD for furnace temperature distribution (COMSOL/OpenFOAM), population balance models (PBM) for particle size evolution during milling, DEM for milling media dynamics, and multi-step Jander/Avrami reaction kinetics for calcination </w:t>
      </w:r>
      <w:r>
        <w:rPr>
          <w:color w:val="0066CC"/>
          <w:sz w:val="16"/>
        </w:rPr>
        <w:t>[CLM-018, SRC-DT-REPORT]</w:t>
      </w:r>
    </w:p>
    <w:p>
      <w:pPr>
        <w:pStyle w:val="ListBullet"/>
      </w:pPr>
      <w:r>
        <w:rPr>
          <w:sz w:val="18"/>
        </w:rPr>
        <w:t xml:space="preserve">Physics-informed neural networks (PINNs): Reduced-order surrogate models trained on CFD/PBM simulation data, enabling real-time prediction with &lt;1 second latency </w:t>
      </w:r>
      <w:r>
        <w:rPr>
          <w:color w:val="0066CC"/>
          <w:sz w:val="16"/>
        </w:rPr>
        <w:t>[SRC-DT-REPORT]</w:t>
      </w:r>
    </w:p>
    <w:p>
      <w:pPr>
        <w:pStyle w:val="ListBullet"/>
      </w:pPr>
      <w:r>
        <w:rPr>
          <w:sz w:val="18"/>
        </w:rPr>
        <w:t xml:space="preserve">ML pipelines: Anomaly detection (autoencoder-based, following the Fraunhofer DiBaZ approach </w:t>
      </w:r>
      <w:r>
        <w:rPr>
          <w:color w:val="0066CC"/>
          <w:sz w:val="16"/>
        </w:rPr>
        <w:t>[CLM-017]</w:t>
      </w:r>
      <w:r>
        <w:rPr>
          <w:sz w:val="18"/>
        </w:rPr>
        <w:t>), multivariate SPC, and predictive quality models correlating CPPs to CQAs</w:t>
      </w:r>
    </w:p>
    <w:p>
      <w:pPr>
        <w:pStyle w:val="ListBullet"/>
      </w:pPr>
      <w:r>
        <w:rPr>
          <w:sz w:val="18"/>
        </w:rPr>
        <w:t>Time-series database: InfluxDB for high-frequency sensor data storage; HDF5/Delta Lake for batch archival and retrospective analysis</w:t>
      </w:r>
    </w:p>
    <w:p>
      <w:r>
        <w:rPr>
          <w:b/>
          <w:sz w:val="18"/>
        </w:rPr>
        <w:t>Layer 4 -- User Entity</w:t>
      </w:r>
      <w:r>
        <w:rPr>
          <w:sz w:val="18"/>
        </w:rPr>
        <w:t>: The human-machine interface comprising:</w:t>
      </w:r>
    </w:p>
    <w:p>
      <w:pPr>
        <w:pStyle w:val="ListBullet"/>
      </w:pPr>
      <w:r>
        <w:rPr>
          <w:sz w:val="18"/>
        </w:rPr>
        <w:t>Grafana real-time dashboards displaying process state, CQA predictions, and control actions</w:t>
      </w:r>
    </w:p>
    <w:p>
      <w:pPr>
        <w:pStyle w:val="ListBullet"/>
      </w:pPr>
      <w:r>
        <w:rPr>
          <w:sz w:val="18"/>
        </w:rPr>
        <w:t>Model Predictive Control (MPC) operator interface for furnace temperature profile optimisation, milling parameter adjustment, and spray dryer tuning</w:t>
      </w:r>
    </w:p>
    <w:p>
      <w:pPr>
        <w:pStyle w:val="ListBullet"/>
      </w:pPr>
      <w:r>
        <w:rPr>
          <w:sz w:val="18"/>
        </w:rPr>
        <w:t>Batch quality reports with automatic pass/fail disposition against CQA specifications</w:t>
      </w:r>
    </w:p>
    <w:p>
      <w:pPr>
        <w:pStyle w:val="ListBullet"/>
      </w:pPr>
      <w:r>
        <w:rPr>
          <w:sz w:val="18"/>
        </w:rPr>
        <w:t>Decision support: recommended parameter adjustments for next batch based on current batch outcomes</w:t>
      </w:r>
    </w:p>
    <w:p>
      <w:pPr>
        <w:pStyle w:val="Heading3"/>
      </w:pPr>
      <w:r>
        <w:t>Technology Licensor</w:t>
      </w:r>
    </w:p>
    <w:p>
      <w:r>
        <w:rPr>
          <w:sz w:val="18"/>
        </w:rPr>
        <w:t xml:space="preserve">FIB has secured a technology licensor for the LFP CAM solid-state synthesis process — </w:t>
      </w:r>
      <w:r>
        <w:rPr>
          <w:b/>
          <w:color w:val="CC0000"/>
          <w:sz w:val="18"/>
        </w:rPr>
        <w:t>[TO BE COMPLETED: technology licensor name]</w:t>
      </w:r>
      <w:r>
        <w:rPr>
          <w:sz w:val="18"/>
        </w:rPr>
        <w:t xml:space="preserve"> — which provides a critical risk mitigation pathway for scale-up. The technology licensor contributes: (a) proven process recipes and calcination profiles validated at industrial scale; (b) equipment specification guidance for the roller hearth kiln, spray dryer, and milling systems; and (c) commissioning support including process parameter transfer and initial batch qualification protocols. This licensor relationship substantially de-risks R1 (calcination scale-up) and TR5 (product quality consistency) by providing an established process baseline from which the DT-driven optimisation can begin.</w:t>
      </w:r>
    </w:p>
    <w:p>
      <w:pPr>
        <w:pStyle w:val="Heading3"/>
      </w:pPr>
      <w:r>
        <w:t>DT Development Milestones</w:t>
      </w:r>
    </w:p>
    <w:p>
      <w:r>
        <w:rPr>
          <w:sz w:val="18"/>
        </w:rPr>
        <w:t>The digital twin development follows a structured timeline integrated with the plant construction and commissioning schedule: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Month</w:t>
            </w:r>
          </w:p>
        </w:tc>
        <w:tc>
          <w:tcPr>
            <w:tcW w:type="dxa" w:w="2635"/>
          </w:tcPr>
          <w:p>
            <w:r>
              <w:rPr>
                <w:b/>
                <w:sz w:val="16"/>
              </w:rPr>
              <w:t>TRL Target</w:t>
            </w:r>
          </w:p>
        </w:tc>
        <w:tc>
          <w:tcPr>
            <w:tcW w:type="dxa" w:w="2635"/>
          </w:tcPr>
          <w:p>
            <w:r>
              <w:rPr>
                <w:b/>
                <w:sz w:val="16"/>
              </w:rPr>
              <w:t>Deliverable</w:t>
            </w:r>
          </w:p>
        </w:tc>
      </w:tr>
      <w:tr>
        <w:tc>
          <w:tcPr>
            <w:tcW w:type="dxa" w:w="2635"/>
          </w:tcPr>
          <w:p>
            <w:r>
              <w:rPr>
                <w:sz w:val="16"/>
              </w:rPr>
              <w:t>DT architecture specification</w:t>
            </w:r>
          </w:p>
        </w:tc>
        <w:tc>
          <w:tcPr>
            <w:tcW w:type="dxa" w:w="2635"/>
          </w:tcPr>
          <w:p>
            <w:r>
              <w:rPr>
                <w:sz w:val="16"/>
              </w:rPr>
              <w:t>M6</w:t>
            </w:r>
          </w:p>
        </w:tc>
        <w:tc>
          <w:tcPr>
            <w:tcW w:type="dxa" w:w="2635"/>
          </w:tcPr>
          <w:p>
            <w:r>
              <w:rPr>
                <w:sz w:val="16"/>
              </w:rPr>
              <w:t>—</w:t>
            </w:r>
          </w:p>
        </w:tc>
        <w:tc>
          <w:tcPr>
            <w:tcW w:type="dxa" w:w="2635"/>
          </w:tcPr>
          <w:p>
            <w:r>
              <w:rPr>
                <w:sz w:val="16"/>
              </w:rPr>
              <w:t>ISO 23247 architecture document</w:t>
            </w:r>
          </w:p>
        </w:tc>
      </w:tr>
      <w:tr>
        <w:tc>
          <w:tcPr>
            <w:tcW w:type="dxa" w:w="2635"/>
          </w:tcPr>
          <w:p>
            <w:r>
              <w:rPr>
                <w:sz w:val="16"/>
              </w:rPr>
              <w:t>Sensor specification + procurement</w:t>
            </w:r>
          </w:p>
        </w:tc>
        <w:tc>
          <w:tcPr>
            <w:tcW w:type="dxa" w:w="2635"/>
          </w:tcPr>
          <w:p>
            <w:r>
              <w:rPr>
                <w:sz w:val="16"/>
              </w:rPr>
              <w:t>M9</w:t>
            </w:r>
          </w:p>
        </w:tc>
        <w:tc>
          <w:tcPr>
            <w:tcW w:type="dxa" w:w="2635"/>
          </w:tcPr>
          <w:p>
            <w:r>
              <w:rPr>
                <w:sz w:val="16"/>
              </w:rPr>
              <w:t>—</w:t>
            </w:r>
          </w:p>
        </w:tc>
        <w:tc>
          <w:tcPr>
            <w:tcW w:type="dxa" w:w="2635"/>
          </w:tcPr>
          <w:p>
            <w:r>
              <w:rPr>
                <w:sz w:val="16"/>
              </w:rPr>
              <w:t>PAT sensor procurement contracts</w:t>
            </w:r>
          </w:p>
        </w:tc>
      </w:tr>
      <w:tr>
        <w:tc>
          <w:tcPr>
            <w:tcW w:type="dxa" w:w="2635"/>
          </w:tcPr>
          <w:p>
            <w:r>
              <w:rPr>
                <w:sz w:val="16"/>
              </w:rPr>
              <w:t>Calcination CFD model validated</w:t>
            </w:r>
          </w:p>
        </w:tc>
        <w:tc>
          <w:tcPr>
            <w:tcW w:type="dxa" w:w="2635"/>
          </w:tcPr>
          <w:p>
            <w:r>
              <w:rPr>
                <w:sz w:val="16"/>
              </w:rPr>
              <w:t>M12</w:t>
            </w:r>
          </w:p>
        </w:tc>
        <w:tc>
          <w:tcPr>
            <w:tcW w:type="dxa" w:w="2635"/>
          </w:tcPr>
          <w:p>
            <w:r>
              <w:rPr>
                <w:sz w:val="16"/>
              </w:rPr>
              <w:t>TRL 4</w:t>
            </w:r>
          </w:p>
        </w:tc>
        <w:tc>
          <w:tcPr>
            <w:tcW w:type="dxa" w:w="2635"/>
          </w:tcPr>
          <w:p>
            <w:r>
              <w:rPr>
                <w:sz w:val="16"/>
              </w:rPr>
              <w:t>Model validated on vendor test data</w:t>
            </w:r>
          </w:p>
        </w:tc>
      </w:tr>
      <w:tr>
        <w:tc>
          <w:tcPr>
            <w:tcW w:type="dxa" w:w="2635"/>
          </w:tcPr>
          <w:p>
            <w:r>
              <w:rPr>
                <w:sz w:val="16"/>
              </w:rPr>
              <w:t>PBM for spray drying validated</w:t>
            </w:r>
          </w:p>
        </w:tc>
        <w:tc>
          <w:tcPr>
            <w:tcW w:type="dxa" w:w="2635"/>
          </w:tcPr>
          <w:p>
            <w:r>
              <w:rPr>
                <w:sz w:val="16"/>
              </w:rPr>
              <w:t>M15</w:t>
            </w:r>
          </w:p>
        </w:tc>
        <w:tc>
          <w:tcPr>
            <w:tcW w:type="dxa" w:w="2635"/>
          </w:tcPr>
          <w:p>
            <w:r>
              <w:rPr>
                <w:sz w:val="16"/>
              </w:rPr>
              <w:t>TRL 4</w:t>
            </w:r>
          </w:p>
        </w:tc>
        <w:tc>
          <w:tcPr>
            <w:tcW w:type="dxa" w:w="2635"/>
          </w:tcPr>
          <w:p>
            <w:r>
              <w:rPr>
                <w:sz w:val="16"/>
              </w:rPr>
              <w:t>Particle size prediction within +/-10%</w:t>
            </w:r>
          </w:p>
        </w:tc>
      </w:tr>
      <w:tr>
        <w:tc>
          <w:tcPr>
            <w:tcW w:type="dxa" w:w="2635"/>
          </w:tcPr>
          <w:p>
            <w:r>
              <w:rPr>
                <w:sz w:val="16"/>
              </w:rPr>
              <w:t>Surrogate model library built</w:t>
            </w:r>
          </w:p>
        </w:tc>
        <w:tc>
          <w:tcPr>
            <w:tcW w:type="dxa" w:w="2635"/>
          </w:tcPr>
          <w:p>
            <w:r>
              <w:rPr>
                <w:sz w:val="16"/>
              </w:rPr>
              <w:t>M18</w:t>
            </w:r>
          </w:p>
        </w:tc>
        <w:tc>
          <w:tcPr>
            <w:tcW w:type="dxa" w:w="2635"/>
          </w:tcPr>
          <w:p>
            <w:r>
              <w:rPr>
                <w:sz w:val="16"/>
              </w:rPr>
              <w:t>TRL 5</w:t>
            </w:r>
          </w:p>
        </w:tc>
        <w:tc>
          <w:tcPr>
            <w:tcW w:type="dxa" w:w="2635"/>
          </w:tcPr>
          <w:p>
            <w:r>
              <w:rPr>
                <w:sz w:val="16"/>
              </w:rPr>
              <w:t>ROM/PINN models for real-time use</w:t>
            </w:r>
          </w:p>
        </w:tc>
      </w:tr>
      <w:tr>
        <w:tc>
          <w:tcPr>
            <w:tcW w:type="dxa" w:w="2635"/>
          </w:tcPr>
          <w:p>
            <w:r>
              <w:rPr>
                <w:sz w:val="16"/>
              </w:rPr>
              <w:t>Edge computing infrastructure</w:t>
            </w:r>
          </w:p>
        </w:tc>
        <w:tc>
          <w:tcPr>
            <w:tcW w:type="dxa" w:w="2635"/>
          </w:tcPr>
          <w:p>
            <w:r>
              <w:rPr>
                <w:sz w:val="16"/>
              </w:rPr>
              <w:t>M18</w:t>
            </w:r>
          </w:p>
        </w:tc>
        <w:tc>
          <w:tcPr>
            <w:tcW w:type="dxa" w:w="2635"/>
          </w:tcPr>
          <w:p>
            <w:r>
              <w:rPr>
                <w:sz w:val="16"/>
              </w:rPr>
              <w:t>—</w:t>
            </w:r>
          </w:p>
        </w:tc>
        <w:tc>
          <w:tcPr>
            <w:tcW w:type="dxa" w:w="2635"/>
          </w:tcPr>
          <w:p>
            <w:r>
              <w:rPr>
                <w:sz w:val="16"/>
              </w:rPr>
              <w:t>Edge gateways deployed</w:t>
            </w:r>
          </w:p>
        </w:tc>
      </w:tr>
      <w:tr>
        <w:tc>
          <w:tcPr>
            <w:tcW w:type="dxa" w:w="2635"/>
          </w:tcPr>
          <w:p>
            <w:r>
              <w:rPr>
                <w:sz w:val="16"/>
              </w:rPr>
              <w:t>Layer 2 (DCDC) operational</w:t>
            </w:r>
          </w:p>
        </w:tc>
        <w:tc>
          <w:tcPr>
            <w:tcW w:type="dxa" w:w="2635"/>
          </w:tcPr>
          <w:p>
            <w:r>
              <w:rPr>
                <w:sz w:val="16"/>
              </w:rPr>
              <w:t>M24</w:t>
            </w:r>
          </w:p>
        </w:tc>
        <w:tc>
          <w:tcPr>
            <w:tcW w:type="dxa" w:w="2635"/>
          </w:tcPr>
          <w:p>
            <w:r>
              <w:rPr>
                <w:sz w:val="16"/>
              </w:rPr>
              <w:t>—</w:t>
            </w:r>
          </w:p>
        </w:tc>
        <w:tc>
          <w:tcPr>
            <w:tcW w:type="dxa" w:w="2635"/>
          </w:tcPr>
          <w:p>
            <w:r>
              <w:rPr>
                <w:sz w:val="16"/>
              </w:rPr>
              <w:t>All sensors streaming to DT platform</w:t>
            </w:r>
          </w:p>
        </w:tc>
      </w:tr>
      <w:tr>
        <w:tc>
          <w:tcPr>
            <w:tcW w:type="dxa" w:w="2635"/>
          </w:tcPr>
          <w:p>
            <w:r>
              <w:rPr>
                <w:sz w:val="16"/>
              </w:rPr>
              <w:t>MPC for calcination demonstrated</w:t>
            </w:r>
          </w:p>
        </w:tc>
        <w:tc>
          <w:tcPr>
            <w:tcW w:type="dxa" w:w="2635"/>
          </w:tcPr>
          <w:p>
            <w:r>
              <w:rPr>
                <w:sz w:val="16"/>
              </w:rPr>
              <w:t>M30</w:t>
            </w:r>
          </w:p>
        </w:tc>
        <w:tc>
          <w:tcPr>
            <w:tcW w:type="dxa" w:w="2635"/>
          </w:tcPr>
          <w:p>
            <w:r>
              <w:rPr>
                <w:sz w:val="16"/>
              </w:rPr>
              <w:t>TRL 5</w:t>
            </w:r>
          </w:p>
        </w:tc>
        <w:tc>
          <w:tcPr>
            <w:tcW w:type="dxa" w:w="2635"/>
          </w:tcPr>
          <w:p>
            <w:r>
              <w:rPr>
                <w:sz w:val="16"/>
              </w:rPr>
              <w:t>Closed-loop temperature control</w:t>
            </w:r>
          </w:p>
        </w:tc>
      </w:tr>
      <w:tr>
        <w:tc>
          <w:tcPr>
            <w:tcW w:type="dxa" w:w="2635"/>
          </w:tcPr>
          <w:p>
            <w:r>
              <w:rPr>
                <w:sz w:val="16"/>
              </w:rPr>
              <w:t>Layer 3 (Core DT) operational</w:t>
            </w:r>
          </w:p>
        </w:tc>
        <w:tc>
          <w:tcPr>
            <w:tcW w:type="dxa" w:w="2635"/>
          </w:tcPr>
          <w:p>
            <w:r>
              <w:rPr>
                <w:sz w:val="16"/>
              </w:rPr>
              <w:t>M36</w:t>
            </w:r>
          </w:p>
        </w:tc>
        <w:tc>
          <w:tcPr>
            <w:tcW w:type="dxa" w:w="2635"/>
          </w:tcPr>
          <w:p>
            <w:r>
              <w:rPr>
                <w:sz w:val="16"/>
              </w:rPr>
              <w:t>TRL 6</w:t>
            </w:r>
          </w:p>
        </w:tc>
        <w:tc>
          <w:tcPr>
            <w:tcW w:type="dxa" w:w="2635"/>
          </w:tcPr>
          <w:p>
            <w:r>
              <w:rPr>
                <w:sz w:val="16"/>
              </w:rPr>
              <w:t>Full model chain operational</w:t>
            </w:r>
          </w:p>
        </w:tc>
      </w:tr>
      <w:tr>
        <w:tc>
          <w:tcPr>
            <w:tcW w:type="dxa" w:w="2635"/>
          </w:tcPr>
          <w:p>
            <w:r>
              <w:rPr>
                <w:sz w:val="16"/>
              </w:rPr>
              <w:t>QbD/PAT framework validated</w:t>
            </w:r>
          </w:p>
        </w:tc>
        <w:tc>
          <w:tcPr>
            <w:tcW w:type="dxa" w:w="2635"/>
          </w:tcPr>
          <w:p>
            <w:r>
              <w:rPr>
                <w:sz w:val="16"/>
              </w:rPr>
              <w:t>M40</w:t>
            </w:r>
          </w:p>
        </w:tc>
        <w:tc>
          <w:tcPr>
            <w:tcW w:type="dxa" w:w="2635"/>
          </w:tcPr>
          <w:p>
            <w:r>
              <w:rPr>
                <w:sz w:val="16"/>
              </w:rPr>
              <w:t>TRL 6</w:t>
            </w:r>
          </w:p>
        </w:tc>
        <w:tc>
          <w:tcPr>
            <w:tcW w:type="dxa" w:w="2635"/>
          </w:tcPr>
          <w:p>
            <w:r>
              <w:rPr>
                <w:sz w:val="16"/>
              </w:rPr>
              <w:t>CQA prediction within spec</w:t>
            </w:r>
          </w:p>
        </w:tc>
      </w:tr>
      <w:tr>
        <w:tc>
          <w:tcPr>
            <w:tcW w:type="dxa" w:w="2635"/>
          </w:tcPr>
          <w:p>
            <w:r>
              <w:rPr>
                <w:sz w:val="16"/>
              </w:rPr>
              <w:t>Full ISO 23247 Layer 4 integration</w:t>
            </w:r>
          </w:p>
        </w:tc>
        <w:tc>
          <w:tcPr>
            <w:tcW w:type="dxa" w:w="2635"/>
          </w:tcPr>
          <w:p>
            <w:r>
              <w:rPr>
                <w:sz w:val="16"/>
              </w:rPr>
              <w:t>M42</w:t>
            </w:r>
          </w:p>
        </w:tc>
        <w:tc>
          <w:tcPr>
            <w:tcW w:type="dxa" w:w="2635"/>
          </w:tcPr>
          <w:p>
            <w:r>
              <w:rPr>
                <w:sz w:val="16"/>
              </w:rPr>
              <w:t>TRL 6</w:t>
            </w:r>
          </w:p>
        </w:tc>
        <w:tc>
          <w:tcPr>
            <w:tcW w:type="dxa" w:w="2635"/>
          </w:tcPr>
          <w:p>
            <w:r>
              <w:rPr>
                <w:sz w:val="16"/>
              </w:rPr>
              <w:t>Dashboard + MPC + quality reports</w:t>
            </w:r>
          </w:p>
        </w:tc>
      </w:tr>
      <w:tr>
        <w:tc>
          <w:tcPr>
            <w:tcW w:type="dxa" w:w="2635"/>
          </w:tcPr>
          <w:p>
            <w:r>
              <w:rPr>
                <w:sz w:val="16"/>
              </w:rPr>
              <w:t>DT validated on production batches</w:t>
            </w:r>
          </w:p>
        </w:tc>
        <w:tc>
          <w:tcPr>
            <w:tcW w:type="dxa" w:w="2635"/>
          </w:tcPr>
          <w:p>
            <w:r>
              <w:rPr>
                <w:sz w:val="16"/>
              </w:rPr>
              <w:t>M48</w:t>
            </w:r>
          </w:p>
        </w:tc>
        <w:tc>
          <w:tcPr>
            <w:tcW w:type="dxa" w:w="2635"/>
          </w:tcPr>
          <w:p>
            <w:r>
              <w:rPr>
                <w:sz w:val="16"/>
              </w:rPr>
              <w:t>TRL 6-7</w:t>
            </w:r>
          </w:p>
        </w:tc>
        <w:tc>
          <w:tcPr>
            <w:tcW w:type="dxa" w:w="2635"/>
          </w:tcPr>
          <w:p>
            <w:r>
              <w:rPr>
                <w:sz w:val="16"/>
              </w:rPr>
              <w:t>First production data feedback loop</w:t>
            </w:r>
          </w:p>
        </w:tc>
      </w:tr>
      <w:tr>
        <w:tc>
          <w:tcPr>
            <w:tcW w:type="dxa" w:w="2635"/>
          </w:tcPr>
          <w:p>
            <w:r>
              <w:rPr>
                <w:sz w:val="16"/>
              </w:rPr>
              <w:t>DT optimisation (Year 1-2 operation)</w:t>
            </w:r>
          </w:p>
        </w:tc>
        <w:tc>
          <w:tcPr>
            <w:tcW w:type="dxa" w:w="2635"/>
          </w:tcPr>
          <w:p>
            <w:r>
              <w:rPr>
                <w:sz w:val="16"/>
              </w:rPr>
              <w:t>M60</w:t>
            </w:r>
          </w:p>
        </w:tc>
        <w:tc>
          <w:tcPr>
            <w:tcW w:type="dxa" w:w="2635"/>
          </w:tcPr>
          <w:p>
            <w:r>
              <w:rPr>
                <w:sz w:val="16"/>
              </w:rPr>
              <w:t>TRL 7</w:t>
            </w:r>
          </w:p>
        </w:tc>
        <w:tc>
          <w:tcPr>
            <w:tcW w:type="dxa" w:w="2635"/>
          </w:tcPr>
          <w:p>
            <w:r>
              <w:rPr>
                <w:sz w:val="16"/>
              </w:rPr>
              <w:t>Model calibration with real data</w:t>
            </w:r>
          </w:p>
        </w:tc>
      </w:tr>
    </w:tbl>
    <w:p>
      <w:pPr>
        <w:pStyle w:val="Heading3"/>
      </w:pPr>
      <w:r>
        <w:t>Technical Risks and Mitigation (Summary)</w:t>
      </w:r>
    </w:p>
    <w:p>
      <w:r>
        <w:rPr>
          <w:sz w:val="18"/>
        </w:rPr>
        <w:t>The principal technical risks are described in detail in Section 3.4 (Risk Management). In brief:</w:t>
      </w:r>
    </w:p>
    <w:p>
      <w:pPr>
        <w:pStyle w:val="ListBullet"/>
      </w:pPr>
      <w:r>
        <w:rPr>
          <w:b/>
          <w:sz w:val="18"/>
        </w:rPr>
        <w:t>Scaling multi-scale models to real-time</w:t>
      </w:r>
      <w:r>
        <w:rPr>
          <w:sz w:val="18"/>
        </w:rPr>
        <w:t xml:space="preserve">: The full CFD + PBM + reaction kinetics chain requires hours of computation for a single calcination cycle. Mitigation: surrogate models (PINNs, neural network emulators) trained on offline simulations provide real-time predictions within &lt;1 second, validated against offline models at commissioning </w:t>
      </w:r>
      <w:r>
        <w:rPr>
          <w:color w:val="0066CC"/>
          <w:sz w:val="16"/>
        </w:rPr>
        <w:t>[CLM-016, SRC-DT-REPORT]</w:t>
      </w:r>
      <w:r>
        <w:rPr>
          <w:sz w:val="18"/>
        </w:rPr>
        <w:t>.</w:t>
      </w:r>
    </w:p>
    <w:p>
      <w:pPr>
        <w:pStyle w:val="ListBullet"/>
      </w:pPr>
      <w:r>
        <w:rPr>
          <w:b/>
          <w:sz w:val="18"/>
        </w:rPr>
        <w:t>Sensor reliability at &gt;600 C</w:t>
      </w:r>
      <w:r>
        <w:rPr>
          <w:sz w:val="18"/>
        </w:rPr>
        <w:t xml:space="preserve">: Raman probes require sapphire windows that may foul at calcination temperatures; FBRM cannot survive &gt;600 C. Mitigation: redundant sensing architecture combining contact sensors (thermocouples) with non-contact sensors (pyrometers, IR cameras); at-line measurement protocols for CQAs that cannot be monitored truly in-line during calcination; virtual sensors (ML-inferred CQA predictions) as backup when physical sensors are offline </w:t>
      </w:r>
      <w:r>
        <w:rPr>
          <w:color w:val="0066CC"/>
          <w:sz w:val="16"/>
        </w:rPr>
        <w:t>[CLM-019]</w:t>
      </w:r>
      <w:r>
        <w:rPr>
          <w:sz w:val="18"/>
        </w:rPr>
        <w:t>.</w:t>
      </w:r>
    </w:p>
    <w:p>
      <w:pPr>
        <w:pStyle w:val="ListBullet"/>
      </w:pPr>
      <w:r>
        <w:rPr>
          <w:b/>
          <w:sz w:val="18"/>
        </w:rPr>
        <w:t>DT-process coupling latency</w:t>
      </w:r>
      <w:r>
        <w:rPr>
          <w:sz w:val="18"/>
        </w:rPr>
        <w:t xml:space="preserve">: Closed-loop MPC requires sensor-to-actuator response within the process time constant. Mitigation: edge computing for time-critical control loops (furnace zone temperature); fog layer for batch-level optimisation; cloud for retrospective analysis and model retraining. The edge-fog-cloud architecture ensures appropriate latency for each control tier </w:t>
      </w:r>
      <w:r>
        <w:rPr>
          <w:color w:val="0066CC"/>
          <w:sz w:val="16"/>
        </w:rPr>
        <w:t>[SRC-DT-REPORT]</w:t>
      </w:r>
      <w:r>
        <w:rPr>
          <w:sz w:val="18"/>
        </w:rPr>
        <w:t>.</w:t>
      </w:r>
    </w:p>
    <w:p>
      <w:pPr>
        <w:pStyle w:val="Heading2"/>
      </w:pPr>
      <w:r>
        <w:t>3.1c Due Diligence Reports</w:t>
      </w:r>
    </w:p>
    <w:p>
      <w:r>
        <w:rPr>
          <w:b/>
          <w:color w:val="CC0000"/>
          <w:sz w:val="18"/>
        </w:rPr>
        <w:t>[TO BE COMPLETED: Independent technical due diligence reports to be referenced here if available (e.g., from equipment vendor assessments, independent process review). The Feasibility Study annex serves as the primary technical documentation for this proposal. The production information document provides detailed process and equipment specifications supporting the technical feasibility assessment.]</w:t>
      </w:r>
    </w:p>
    <w:p>
      <w:r>
        <w:br w:type="page"/>
      </w:r>
    </w:p>
    <w:p>
      <w:pPr>
        <w:spacing w:before="120" w:after="120"/>
        <w:shd w:val="clear" w:color="auto" w:fill="FFF3CD"/>
      </w:pPr>
      <w:r>
        <w:rPr>
          <w:b/>
          <w:color w:val="856304"/>
          <w:sz w:val="16"/>
        </w:rPr>
        <w:t xml:space="preserve">[REVIEWER NOTES] </w:t>
      </w:r>
      <w:r>
        <w:rPr>
          <w:color w:val="856304"/>
          <w:sz w:val="16"/>
        </w:rPr>
        <w:t>CLAIMS REFERENCED: CLM-001, CLM-003, CLM-008, CLM-011, CLM-014, CLM-015, CLM-022, CLM-030</w:t>
        <w:br/>
      </w:r>
      <w:r>
        <w:rPr>
          <w:color w:val="856304"/>
          <w:sz w:val="16"/>
        </w:rPr>
        <w:t>OPEN ISSUES:</w:t>
        <w:br/>
      </w:r>
      <w:r>
        <w:rPr>
          <w:color w:val="856304"/>
          <w:sz w:val="16"/>
        </w:rPr>
        <w:t xml:space="preserve">  - TO BE COMPLETED: Operational due diligence reports (legal, IP, market studies) to be referenced here if available. The market analysis conducted as part of the proposal preparation (see SOTA summary and evidence store) provides the basis for the market positioning argument.</w:t>
        <w:br/>
      </w:r>
      <w:r>
        <w:rPr>
          <w:color w:val="856304"/>
          <w:sz w:val="16"/>
        </w:rPr>
        <w:t xml:space="preserve">  - TO BE COMPLETED: technology licensor name</w:t>
        <w:br/>
      </w:r>
      <w:r>
        <w:rPr>
          <w:color w:val="856304"/>
          <w:sz w:val="16"/>
        </w:rPr>
        <w:t xml:space="preserve">  - TO BE COMPLETED: FTE numbers for construction and operational phases to be confirmed by HR planning</w:t>
        <w:br/>
      </w:r>
      <w:r>
        <w:rPr>
          <w:color w:val="856304"/>
          <w:sz w:val="16"/>
        </w:rPr>
        <w:t xml:space="preserve">  - TO BE COMPLETED: technology licensor name</w:t>
        <w:br/>
      </w:r>
      <w:r>
        <w:rPr>
          <w:color w:val="856304"/>
          <w:sz w:val="16"/>
        </w:rPr>
        <w:t xml:space="preserve">  - 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br/>
      </w:r>
      <w:r>
        <w:rPr>
          <w:color w:val="856304"/>
          <w:sz w:val="16"/>
        </w:rPr>
        <w:t>SOURCES CITED: SRC-007, SRC-023, SRC-ED-009</w:t>
        <w:br/>
      </w:r>
      <w:r>
        <w:rPr>
          <w:color w:val="856304"/>
          <w:sz w:val="16"/>
        </w:rPr>
        <w:t>WORD COUNT: 2704</w:t>
        <w:br/>
      </w:r>
    </w:p>
    <w:p>
      <w:pPr>
        <w:pStyle w:val="Heading1"/>
      </w:pPr>
      <w:r>
        <w:t>3.3 Operational Maturity</w:t>
      </w:r>
    </w:p>
    <w:p>
      <w:pPr>
        <w:pStyle w:val="Heading2"/>
      </w:pPr>
      <w:r>
        <w:t>3.3a Overview</w:t>
      </w:r>
    </w:p>
    <w:p>
      <w:r>
        <w:rPr>
          <w:sz w:val="18"/>
        </w:rPr>
        <w:t xml:space="preserve">The FAAM-ENI Circular Energy project is currently at the pre-Final Investment Decision (pre-FID) stage of development. Key project development activities completed to date include: (i) selection and characterisation of the Brindisi brownfield site owned by Eni; (ii) definition of the 7-step LFP CAM production process and preliminary engineering design; (iii) development of the digital twin architecture specification based on ISO 23247 </w:t>
      </w:r>
      <w:r>
        <w:rPr>
          <w:color w:val="0066CC"/>
          <w:sz w:val="16"/>
        </w:rPr>
        <w:t>[CLM-008, SRC-007]</w:t>
      </w:r>
      <w:r>
        <w:rPr>
          <w:sz w:val="18"/>
        </w:rPr>
        <w:t xml:space="preserve">; (iv) completion of preliminary market analysis confirming EU demand for domestic LFP CAM supply </w:t>
      </w:r>
      <w:r>
        <w:rPr>
          <w:color w:val="0066CC"/>
          <w:sz w:val="16"/>
        </w:rPr>
        <w:t>[CLM-001, CLM-003, SRC-023]</w:t>
      </w:r>
      <w:r>
        <w:rPr>
          <w:sz w:val="18"/>
        </w:rPr>
        <w:t>; and (v) preparation of the present Innovation Fund proposal.</w:t>
      </w:r>
    </w:p>
    <w:p>
      <w:r>
        <w:rPr>
          <w:sz w:val="18"/>
        </w:rPr>
        <w:t xml:space="preserve">The implementation plan is designed to achieve </w:t>
      </w:r>
      <w:r>
        <w:rPr>
          <w:b/>
          <w:sz w:val="18"/>
        </w:rPr>
        <w:t>financial close within 24 months</w:t>
      </w:r>
      <w:r>
        <w:rPr>
          <w:sz w:val="18"/>
        </w:rPr>
        <w:t xml:space="preserve"> and </w:t>
      </w:r>
      <w:r>
        <w:rPr>
          <w:b/>
          <w:sz w:val="18"/>
        </w:rPr>
        <w:t>entry into operation within 48 months</w:t>
      </w:r>
      <w:r>
        <w:rPr>
          <w:sz w:val="18"/>
        </w:rPr>
        <w:t xml:space="preserve"> of grant agreement signature, targeting the positive scoring consideration for CLEAN-TECH-MANUFACTURING projects that demonstrate accelerated timelines. These targets are achievable given the mature state of the core manufacturing technology (solid-state LFP synthesis at TRL 7-8), the availability of the Brindisi brownfield site with existing industrial infrastructure, and the combined project execution capabilities of FIB (FAAM) and Eni </w:t>
      </w:r>
      <w:r>
        <w:rPr>
          <w:color w:val="0066CC"/>
          <w:sz w:val="16"/>
        </w:rPr>
        <w:t>[CLM-022]</w:t>
      </w:r>
      <w:r>
        <w:rPr>
          <w:sz w:val="18"/>
        </w:rPr>
        <w:t>.</w:t>
      </w:r>
    </w:p>
    <w:p>
      <w:r>
        <w:rPr>
          <w:b/>
          <w:sz w:val="18"/>
        </w:rPr>
        <w:t>Reference</w:t>
      </w:r>
      <w:r>
        <w:rPr>
          <w:sz w:val="18"/>
        </w:rPr>
        <w:t>: Detailed implementation planning is supported by the mandatory Feasibility Study annex and the Business Plan annex.</w:t>
      </w:r>
    </w:p>
    <w:p>
      <w:pPr>
        <w:pStyle w:val="Heading2"/>
      </w:pPr>
      <w:r>
        <w:t>3.3b Project Implementation Plan</w:t>
      </w:r>
    </w:p>
    <w:p>
      <w:r>
        <w:rPr>
          <w:sz w:val="18"/>
        </w:rPr>
        <w:t>The implementation timeline covers from grant agreement signature (M0, estimated Q1 2027) through the end of the 5-year operational monitoring period (M108). The plan is structured into two pre-operational phases (WP1: grant to financial close; WP2: financial close to entry into operation) and five operational years (WP3-WP7), consistent with the work package structure described in Section 7.</w:t>
      </w:r>
    </w:p>
    <w:p>
      <w:pPr>
        <w:pStyle w:val="Heading3"/>
      </w:pPr>
      <w:r>
        <w:t>Key Milestones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Milestone</w:t>
            </w:r>
          </w:p>
        </w:tc>
        <w:tc>
          <w:tcPr>
            <w:tcW w:type="dxa" w:w="2108"/>
          </w:tcPr>
          <w:p>
            <w:r>
              <w:rPr>
                <w:b/>
                <w:sz w:val="16"/>
              </w:rPr>
              <w:t>Target Date</w:t>
            </w:r>
          </w:p>
        </w:tc>
        <w:tc>
          <w:tcPr>
            <w:tcW w:type="dxa" w:w="2108"/>
          </w:tcPr>
          <w:p>
            <w:r>
              <w:rPr>
                <w:b/>
                <w:sz w:val="16"/>
              </w:rPr>
              <w:t>Month</w:t>
            </w:r>
          </w:p>
        </w:tc>
        <w:tc>
          <w:tcPr>
            <w:tcW w:type="dxa" w:w="2108"/>
          </w:tcPr>
          <w:p>
            <w:r>
              <w:rPr>
                <w:b/>
                <w:sz w:val="16"/>
              </w:rPr>
              <w:t>Status</w:t>
            </w:r>
          </w:p>
        </w:tc>
        <w:tc>
          <w:tcPr>
            <w:tcW w:type="dxa" w:w="2108"/>
          </w:tcPr>
          <w:p>
            <w:r>
              <w:rPr>
                <w:b/>
                <w:sz w:val="16"/>
              </w:rPr>
              <w:t>Means of Verification</w:t>
            </w:r>
          </w:p>
        </w:tc>
      </w:tr>
      <w:tr>
        <w:tc>
          <w:tcPr>
            <w:tcW w:type="dxa" w:w="2108"/>
          </w:tcPr>
          <w:p>
            <w:r>
              <w:rPr>
                <w:sz w:val="16"/>
              </w:rPr>
              <w:t>Grant agreement signature</w:t>
            </w:r>
          </w:p>
        </w:tc>
        <w:tc>
          <w:tcPr>
            <w:tcW w:type="dxa" w:w="2108"/>
          </w:tcPr>
          <w:p>
            <w:r>
              <w:rPr>
                <w:sz w:val="16"/>
              </w:rPr>
              <w:t>Q1 2027</w:t>
            </w:r>
          </w:p>
        </w:tc>
        <w:tc>
          <w:tcPr>
            <w:tcW w:type="dxa" w:w="2108"/>
          </w:tcPr>
          <w:p>
            <w:r>
              <w:rPr>
                <w:sz w:val="16"/>
              </w:rPr>
              <w:t>M0</w:t>
            </w:r>
          </w:p>
        </w:tc>
        <w:tc>
          <w:tcPr>
            <w:tcW w:type="dxa" w:w="2108"/>
          </w:tcPr>
          <w:p>
            <w:r>
              <w:rPr>
                <w:sz w:val="16"/>
              </w:rPr>
              <w:t>Planned</w:t>
            </w:r>
          </w:p>
        </w:tc>
        <w:tc>
          <w:tcPr>
            <w:tcW w:type="dxa" w:w="2108"/>
          </w:tcPr>
          <w:p>
            <w:r>
              <w:rPr>
                <w:sz w:val="16"/>
              </w:rPr>
              <w:t>Signed GA</w:t>
            </w:r>
          </w:p>
        </w:tc>
      </w:tr>
      <w:tr>
        <w:tc>
          <w:tcPr>
            <w:tcW w:type="dxa" w:w="2108"/>
          </w:tcPr>
          <w:p>
            <w:r>
              <w:rPr>
                <w:sz w:val="16"/>
              </w:rPr>
              <w:t>Detailed project management plan</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D1.1</w:t>
            </w:r>
          </w:p>
        </w:tc>
      </w:tr>
      <w:tr>
        <w:tc>
          <w:tcPr>
            <w:tcW w:type="dxa" w:w="2108"/>
          </w:tcPr>
          <w:p>
            <w:r>
              <w:rPr>
                <w:sz w:val="16"/>
              </w:rPr>
              <w:t>Final financial model</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D1.2</w:t>
            </w:r>
          </w:p>
        </w:tc>
      </w:tr>
      <w:tr>
        <w:tc>
          <w:tcPr>
            <w:tcW w:type="dxa" w:w="2108"/>
          </w:tcPr>
          <w:p>
            <w:r>
              <w:rPr>
                <w:sz w:val="16"/>
              </w:rPr>
              <w:t>Knowledge sharing plan</w:t>
            </w:r>
          </w:p>
        </w:tc>
        <w:tc>
          <w:tcPr>
            <w:tcW w:type="dxa" w:w="2108"/>
          </w:tcPr>
          <w:p>
            <w:r>
              <w:rPr>
                <w:sz w:val="16"/>
              </w:rPr>
              <w:t>M0+1</w:t>
            </w:r>
          </w:p>
        </w:tc>
        <w:tc>
          <w:tcPr>
            <w:tcW w:type="dxa" w:w="2108"/>
          </w:tcPr>
          <w:p>
            <w:r>
              <w:rPr>
                <w:sz w:val="16"/>
              </w:rPr>
              <w:t>M1</w:t>
            </w:r>
          </w:p>
        </w:tc>
        <w:tc>
          <w:tcPr>
            <w:tcW w:type="dxa" w:w="2108"/>
          </w:tcPr>
          <w:p>
            <w:r>
              <w:rPr>
                <w:sz w:val="16"/>
              </w:rPr>
              <w:t>Planned</w:t>
            </w:r>
          </w:p>
        </w:tc>
        <w:tc>
          <w:tcPr>
            <w:tcW w:type="dxa" w:w="2108"/>
          </w:tcPr>
          <w:p>
            <w:r>
              <w:rPr>
                <w:sz w:val="16"/>
              </w:rPr>
              <w:t>Deliverable D1.3</w:t>
            </w:r>
          </w:p>
        </w:tc>
      </w:tr>
      <w:tr>
        <w:tc>
          <w:tcPr>
            <w:tcW w:type="dxa" w:w="2108"/>
          </w:tcPr>
          <w:p>
            <w:r>
              <w:rPr>
                <w:sz w:val="16"/>
              </w:rPr>
              <w:t>Detailed engineering (FEED) completion</w:t>
            </w:r>
          </w:p>
        </w:tc>
        <w:tc>
          <w:tcPr>
            <w:tcW w:type="dxa" w:w="2108"/>
          </w:tcPr>
          <w:p>
            <w:r>
              <w:rPr>
                <w:sz w:val="16"/>
              </w:rPr>
              <w:t>Q4 2027</w:t>
            </w:r>
          </w:p>
        </w:tc>
        <w:tc>
          <w:tcPr>
            <w:tcW w:type="dxa" w:w="2108"/>
          </w:tcPr>
          <w:p>
            <w:r>
              <w:rPr>
                <w:sz w:val="16"/>
              </w:rPr>
              <w:t>M9-M12</w:t>
            </w:r>
          </w:p>
        </w:tc>
        <w:tc>
          <w:tcPr>
            <w:tcW w:type="dxa" w:w="2108"/>
          </w:tcPr>
          <w:p>
            <w:r>
              <w:rPr>
                <w:sz w:val="16"/>
              </w:rPr>
              <w:t>In preparation</w:t>
            </w:r>
          </w:p>
        </w:tc>
        <w:tc>
          <w:tcPr>
            <w:tcW w:type="dxa" w:w="2108"/>
          </w:tcPr>
          <w:p>
            <w:r>
              <w:rPr>
                <w:sz w:val="16"/>
              </w:rPr>
              <w:t>FEED report</w:t>
            </w:r>
          </w:p>
        </w:tc>
      </w:tr>
      <w:tr>
        <w:tc>
          <w:tcPr>
            <w:tcW w:type="dxa" w:w="2108"/>
          </w:tcPr>
          <w:p>
            <w:r>
              <w:rPr>
                <w:sz w:val="16"/>
              </w:rPr>
              <w:t>Environmental permit (VIA) obtained</w:t>
            </w:r>
          </w:p>
        </w:tc>
        <w:tc>
          <w:tcPr>
            <w:tcW w:type="dxa" w:w="2108"/>
          </w:tcPr>
          <w:p>
            <w:r>
              <w:rPr>
                <w:sz w:val="16"/>
              </w:rPr>
              <w:t>Q1 2028</w:t>
            </w:r>
          </w:p>
        </w:tc>
        <w:tc>
          <w:tcPr>
            <w:tcW w:type="dxa" w:w="2108"/>
          </w:tcPr>
          <w:p>
            <w:r>
              <w:rPr>
                <w:sz w:val="16"/>
              </w:rPr>
              <w:t>M12-M15</w:t>
            </w:r>
          </w:p>
        </w:tc>
        <w:tc>
          <w:tcPr>
            <w:tcW w:type="dxa" w:w="2108"/>
          </w:tcPr>
          <w:p>
            <w:r>
              <w:rPr>
                <w:sz w:val="16"/>
              </w:rPr>
              <w:t>Application filed, in process</w:t>
            </w:r>
          </w:p>
        </w:tc>
        <w:tc>
          <w:tcPr>
            <w:tcW w:type="dxa" w:w="2108"/>
          </w:tcPr>
          <w:p>
            <w:r>
              <w:rPr>
                <w:sz w:val="16"/>
              </w:rPr>
              <w:t>VIA decree</w:t>
            </w:r>
          </w:p>
        </w:tc>
      </w:tr>
      <w:tr>
        <w:tc>
          <w:tcPr>
            <w:tcW w:type="dxa" w:w="2108"/>
          </w:tcPr>
          <w:p>
            <w:r>
              <w:rPr>
                <w:sz w:val="16"/>
              </w:rPr>
              <w:t>Integrated environmental authorisation (AIA)</w:t>
            </w:r>
          </w:p>
        </w:tc>
        <w:tc>
          <w:tcPr>
            <w:tcW w:type="dxa" w:w="2108"/>
          </w:tcPr>
          <w:p>
            <w:r>
              <w:rPr>
                <w:sz w:val="16"/>
              </w:rPr>
              <w:t>Q2 2028</w:t>
            </w:r>
          </w:p>
        </w:tc>
        <w:tc>
          <w:tcPr>
            <w:tcW w:type="dxa" w:w="2108"/>
          </w:tcPr>
          <w:p>
            <w:r>
              <w:rPr>
                <w:sz w:val="16"/>
              </w:rPr>
              <w:t>M15-M18</w:t>
            </w:r>
          </w:p>
        </w:tc>
        <w:tc>
          <w:tcPr>
            <w:tcW w:type="dxa" w:w="2108"/>
          </w:tcPr>
          <w:p>
            <w:r>
              <w:rPr>
                <w:sz w:val="16"/>
              </w:rPr>
              <w:t>Application filed, in process</w:t>
            </w:r>
          </w:p>
        </w:tc>
        <w:tc>
          <w:tcPr>
            <w:tcW w:type="dxa" w:w="2108"/>
          </w:tcPr>
          <w:p>
            <w:r>
              <w:rPr>
                <w:sz w:val="16"/>
              </w:rPr>
              <w:t>AIA authorisation</w:t>
            </w:r>
          </w:p>
        </w:tc>
      </w:tr>
      <w:tr>
        <w:tc>
          <w:tcPr>
            <w:tcW w:type="dxa" w:w="2108"/>
          </w:tcPr>
          <w:p>
            <w:r>
              <w:rPr>
                <w:sz w:val="16"/>
              </w:rPr>
              <w:t>Building permits obtained</w:t>
            </w:r>
          </w:p>
        </w:tc>
        <w:tc>
          <w:tcPr>
            <w:tcW w:type="dxa" w:w="2108"/>
          </w:tcPr>
          <w:p>
            <w:r>
              <w:rPr>
                <w:sz w:val="16"/>
              </w:rPr>
              <w:t>Q2 2028</w:t>
            </w:r>
          </w:p>
        </w:tc>
        <w:tc>
          <w:tcPr>
            <w:tcW w:type="dxa" w:w="2108"/>
          </w:tcPr>
          <w:p>
            <w:r>
              <w:rPr>
                <w:sz w:val="16"/>
              </w:rPr>
              <w:t>M15-M18</w:t>
            </w:r>
          </w:p>
        </w:tc>
        <w:tc>
          <w:tcPr>
            <w:tcW w:type="dxa" w:w="2108"/>
          </w:tcPr>
          <w:p>
            <w:r>
              <w:rPr>
                <w:sz w:val="16"/>
              </w:rPr>
              <w:t>Applications in process</w:t>
            </w:r>
          </w:p>
        </w:tc>
        <w:tc>
          <w:tcPr>
            <w:tcW w:type="dxa" w:w="2108"/>
          </w:tcPr>
          <w:p>
            <w:r>
              <w:rPr>
                <w:sz w:val="16"/>
              </w:rPr>
              <w:t>Municipal permits</w:t>
            </w:r>
          </w:p>
        </w:tc>
      </w:tr>
      <w:tr>
        <w:tc>
          <w:tcPr>
            <w:tcW w:type="dxa" w:w="2108"/>
          </w:tcPr>
          <w:p>
            <w:r>
              <w:rPr>
                <w:sz w:val="16"/>
              </w:rPr>
              <w:t>Equipment supplier contracts signed</w:t>
            </w:r>
          </w:p>
        </w:tc>
        <w:tc>
          <w:tcPr>
            <w:tcW w:type="dxa" w:w="2108"/>
          </w:tcPr>
          <w:p>
            <w:r>
              <w:rPr>
                <w:sz w:val="16"/>
              </w:rPr>
              <w:t>Q3 2028</w:t>
            </w:r>
          </w:p>
        </w:tc>
        <w:tc>
          <w:tcPr>
            <w:tcW w:type="dxa" w:w="2108"/>
          </w:tcPr>
          <w:p>
            <w:r>
              <w:rPr>
                <w:sz w:val="16"/>
              </w:rPr>
              <w:t>M18-M21</w:t>
            </w:r>
          </w:p>
        </w:tc>
        <w:tc>
          <w:tcPr>
            <w:tcW w:type="dxa" w:w="2108"/>
          </w:tcPr>
          <w:p>
            <w:r>
              <w:rPr>
                <w:sz w:val="16"/>
              </w:rPr>
              <w:t>Qualification in progress</w:t>
            </w:r>
          </w:p>
        </w:tc>
        <w:tc>
          <w:tcPr>
            <w:tcW w:type="dxa" w:w="2108"/>
          </w:tcPr>
          <w:p>
            <w:r>
              <w:rPr>
                <w:sz w:val="16"/>
              </w:rPr>
              <w:t>Signed contracts</w:t>
            </w:r>
          </w:p>
        </w:tc>
      </w:tr>
      <w:tr>
        <w:tc>
          <w:tcPr>
            <w:tcW w:type="dxa" w:w="2108"/>
          </w:tcPr>
          <w:p>
            <w:r>
              <w:rPr>
                <w:sz w:val="16"/>
              </w:rPr>
              <w:t>**Financial close / FID**</w:t>
            </w:r>
          </w:p>
        </w:tc>
        <w:tc>
          <w:tcPr>
            <w:tcW w:type="dxa" w:w="2108"/>
          </w:tcPr>
          <w:p>
            <w:r>
              <w:rPr>
                <w:sz w:val="16"/>
              </w:rPr>
              <w:t>**Q4 2028**</w:t>
            </w:r>
          </w:p>
        </w:tc>
        <w:tc>
          <w:tcPr>
            <w:tcW w:type="dxa" w:w="2108"/>
          </w:tcPr>
          <w:p>
            <w:r>
              <w:rPr>
                <w:sz w:val="16"/>
              </w:rPr>
              <w:t>**M21-M24**</w:t>
            </w:r>
          </w:p>
        </w:tc>
        <w:tc>
          <w:tcPr>
            <w:tcW w:type="dxa" w:w="2108"/>
          </w:tcPr>
          <w:p>
            <w:r>
              <w:rPr>
                <w:sz w:val="16"/>
              </w:rPr>
              <w:t>**Target: within 2 years**</w:t>
            </w:r>
          </w:p>
        </w:tc>
        <w:tc>
          <w:tcPr>
            <w:tcW w:type="dxa" w:w="2108"/>
          </w:tcPr>
          <w:p>
            <w:r>
              <w:rPr>
                <w:sz w:val="16"/>
              </w:rPr>
              <w:t>**FC documentation package**</w:t>
            </w:r>
          </w:p>
        </w:tc>
      </w:tr>
      <w:tr>
        <w:tc>
          <w:tcPr>
            <w:tcW w:type="dxa" w:w="2108"/>
          </w:tcPr>
          <w:p>
            <w:r>
              <w:rPr>
                <w:sz w:val="16"/>
              </w:rPr>
              <w:t>Start of construction</w:t>
            </w:r>
          </w:p>
        </w:tc>
        <w:tc>
          <w:tcPr>
            <w:tcW w:type="dxa" w:w="2108"/>
          </w:tcPr>
          <w:p>
            <w:r>
              <w:rPr>
                <w:sz w:val="16"/>
              </w:rPr>
              <w:t>Q1 2029</w:t>
            </w:r>
          </w:p>
        </w:tc>
        <w:tc>
          <w:tcPr>
            <w:tcW w:type="dxa" w:w="2108"/>
          </w:tcPr>
          <w:p>
            <w:r>
              <w:rPr>
                <w:sz w:val="16"/>
              </w:rPr>
              <w:t>M24</w:t>
            </w:r>
          </w:p>
        </w:tc>
        <w:tc>
          <w:tcPr>
            <w:tcW w:type="dxa" w:w="2108"/>
          </w:tcPr>
          <w:p>
            <w:r>
              <w:rPr>
                <w:sz w:val="16"/>
              </w:rPr>
              <w:t>Planned</w:t>
            </w:r>
          </w:p>
        </w:tc>
        <w:tc>
          <w:tcPr>
            <w:tcW w:type="dxa" w:w="2108"/>
          </w:tcPr>
          <w:p>
            <w:r>
              <w:rPr>
                <w:sz w:val="16"/>
              </w:rPr>
              <w:t>Construction notice</w:t>
            </w:r>
          </w:p>
        </w:tc>
      </w:tr>
      <w:tr>
        <w:tc>
          <w:tcPr>
            <w:tcW w:type="dxa" w:w="2108"/>
          </w:tcPr>
          <w:p>
            <w:r>
              <w:rPr>
                <w:sz w:val="16"/>
              </w:rPr>
              <w:t>Major equipment delivery and installation</w:t>
            </w:r>
          </w:p>
        </w:tc>
        <w:tc>
          <w:tcPr>
            <w:tcW w:type="dxa" w:w="2108"/>
          </w:tcPr>
          <w:p>
            <w:r>
              <w:rPr>
                <w:sz w:val="16"/>
              </w:rPr>
              <w:t>Q1-Q4 2029</w:t>
            </w:r>
          </w:p>
        </w:tc>
        <w:tc>
          <w:tcPr>
            <w:tcW w:type="dxa" w:w="2108"/>
          </w:tcPr>
          <w:p>
            <w:r>
              <w:rPr>
                <w:sz w:val="16"/>
              </w:rPr>
              <w:t>M24-M36</w:t>
            </w:r>
          </w:p>
        </w:tc>
        <w:tc>
          <w:tcPr>
            <w:tcW w:type="dxa" w:w="2108"/>
          </w:tcPr>
          <w:p>
            <w:r>
              <w:rPr>
                <w:sz w:val="16"/>
              </w:rPr>
              <w:t>Planned</w:t>
            </w:r>
          </w:p>
        </w:tc>
        <w:tc>
          <w:tcPr>
            <w:tcW w:type="dxa" w:w="2108"/>
          </w:tcPr>
          <w:p>
            <w:r>
              <w:rPr>
                <w:sz w:val="16"/>
              </w:rPr>
              <w:t>Delivery certificates</w:t>
            </w:r>
          </w:p>
        </w:tc>
      </w:tr>
      <w:tr>
        <w:tc>
          <w:tcPr>
            <w:tcW w:type="dxa" w:w="2108"/>
          </w:tcPr>
          <w:p>
            <w:r>
              <w:rPr>
                <w:sz w:val="16"/>
              </w:rPr>
              <w:t>DT system development (parallel track)</w:t>
            </w:r>
          </w:p>
        </w:tc>
        <w:tc>
          <w:tcPr>
            <w:tcW w:type="dxa" w:w="2108"/>
          </w:tcPr>
          <w:p>
            <w:r>
              <w:rPr>
                <w:sz w:val="16"/>
              </w:rPr>
              <w:t>M12-M42</w:t>
            </w:r>
          </w:p>
        </w:tc>
        <w:tc>
          <w:tcPr>
            <w:tcW w:type="dxa" w:w="2108"/>
          </w:tcPr>
          <w:p>
            <w:r>
              <w:rPr>
                <w:sz w:val="16"/>
              </w:rPr>
              <w:t>M12-M42</w:t>
            </w:r>
          </w:p>
        </w:tc>
        <w:tc>
          <w:tcPr>
            <w:tcW w:type="dxa" w:w="2108"/>
          </w:tcPr>
          <w:p>
            <w:r>
              <w:rPr>
                <w:sz w:val="16"/>
              </w:rPr>
              <w:t>Development initiated</w:t>
            </w:r>
          </w:p>
        </w:tc>
        <w:tc>
          <w:tcPr>
            <w:tcW w:type="dxa" w:w="2108"/>
          </w:tcPr>
          <w:p>
            <w:r>
              <w:rPr>
                <w:sz w:val="16"/>
              </w:rPr>
              <w:t>Software releases</w:t>
            </w:r>
          </w:p>
        </w:tc>
      </w:tr>
      <w:tr>
        <w:tc>
          <w:tcPr>
            <w:tcW w:type="dxa" w:w="2108"/>
          </w:tcPr>
          <w:p>
            <w:r>
              <w:rPr>
                <w:sz w:val="16"/>
              </w:rPr>
              <w:t>DT integration and commissioning</w:t>
            </w:r>
          </w:p>
        </w:tc>
        <w:tc>
          <w:tcPr>
            <w:tcW w:type="dxa" w:w="2108"/>
          </w:tcPr>
          <w:p>
            <w:r>
              <w:rPr>
                <w:sz w:val="16"/>
              </w:rPr>
              <w:t>Q1-Q2 2031</w:t>
            </w:r>
          </w:p>
        </w:tc>
        <w:tc>
          <w:tcPr>
            <w:tcW w:type="dxa" w:w="2108"/>
          </w:tcPr>
          <w:p>
            <w:r>
              <w:rPr>
                <w:sz w:val="16"/>
              </w:rPr>
              <w:t>M42-M45</w:t>
            </w:r>
          </w:p>
        </w:tc>
        <w:tc>
          <w:tcPr>
            <w:tcW w:type="dxa" w:w="2108"/>
          </w:tcPr>
          <w:p>
            <w:r>
              <w:rPr>
                <w:sz w:val="16"/>
              </w:rPr>
              <w:t>Planned</w:t>
            </w:r>
          </w:p>
        </w:tc>
        <w:tc>
          <w:tcPr>
            <w:tcW w:type="dxa" w:w="2108"/>
          </w:tcPr>
          <w:p>
            <w:r>
              <w:rPr>
                <w:sz w:val="16"/>
              </w:rPr>
              <w:t>Integration test reports</w:t>
            </w:r>
          </w:p>
        </w:tc>
      </w:tr>
      <w:tr>
        <w:tc>
          <w:tcPr>
            <w:tcW w:type="dxa" w:w="2108"/>
          </w:tcPr>
          <w:p>
            <w:r>
              <w:rPr>
                <w:sz w:val="16"/>
              </w:rPr>
              <w:t>Plant commissioning and testing</w:t>
            </w:r>
          </w:p>
        </w:tc>
        <w:tc>
          <w:tcPr>
            <w:tcW w:type="dxa" w:w="2108"/>
          </w:tcPr>
          <w:p>
            <w:r>
              <w:rPr>
                <w:sz w:val="16"/>
              </w:rPr>
              <w:t>Q2-Q4 2031</w:t>
            </w:r>
          </w:p>
        </w:tc>
        <w:tc>
          <w:tcPr>
            <w:tcW w:type="dxa" w:w="2108"/>
          </w:tcPr>
          <w:p>
            <w:r>
              <w:rPr>
                <w:sz w:val="16"/>
              </w:rPr>
              <w:t>M45-M48</w:t>
            </w:r>
          </w:p>
        </w:tc>
        <w:tc>
          <w:tcPr>
            <w:tcW w:type="dxa" w:w="2108"/>
          </w:tcPr>
          <w:p>
            <w:r>
              <w:rPr>
                <w:sz w:val="16"/>
              </w:rPr>
              <w:t>Planned</w:t>
            </w:r>
          </w:p>
        </w:tc>
        <w:tc>
          <w:tcPr>
            <w:tcW w:type="dxa" w:w="2108"/>
          </w:tcPr>
          <w:p>
            <w:r>
              <w:rPr>
                <w:sz w:val="16"/>
              </w:rPr>
              <w:t>Commissioning certificates</w:t>
            </w:r>
          </w:p>
        </w:tc>
      </w:tr>
      <w:tr>
        <w:tc>
          <w:tcPr>
            <w:tcW w:type="dxa" w:w="2108"/>
          </w:tcPr>
          <w:p>
            <w:r>
              <w:rPr>
                <w:sz w:val="16"/>
              </w:rPr>
              <w:t>**Entry into operation**</w:t>
            </w:r>
          </w:p>
        </w:tc>
        <w:tc>
          <w:tcPr>
            <w:tcW w:type="dxa" w:w="2108"/>
          </w:tcPr>
          <w:p>
            <w:r>
              <w:rPr>
                <w:sz w:val="16"/>
              </w:rPr>
              <w:t>**Q1 2031**</w:t>
            </w:r>
          </w:p>
        </w:tc>
        <w:tc>
          <w:tcPr>
            <w:tcW w:type="dxa" w:w="2108"/>
          </w:tcPr>
          <w:p>
            <w:r>
              <w:rPr>
                <w:sz w:val="16"/>
              </w:rPr>
              <w:t>**M48**</w:t>
            </w:r>
          </w:p>
        </w:tc>
        <w:tc>
          <w:tcPr>
            <w:tcW w:type="dxa" w:w="2108"/>
          </w:tcPr>
          <w:p>
            <w:r>
              <w:rPr>
                <w:sz w:val="16"/>
              </w:rPr>
              <w:t>**Target: within 4 years**</w:t>
            </w:r>
          </w:p>
        </w:tc>
        <w:tc>
          <w:tcPr>
            <w:tcW w:type="dxa" w:w="2108"/>
          </w:tcPr>
          <w:p>
            <w:r>
              <w:rPr>
                <w:sz w:val="16"/>
              </w:rPr>
              <w:t>**Operational readiness certificate**</w:t>
            </w:r>
          </w:p>
        </w:tc>
      </w:tr>
      <w:tr>
        <w:tc>
          <w:tcPr>
            <w:tcW w:type="dxa" w:w="2108"/>
          </w:tcPr>
          <w:p>
            <w:r>
              <w:rPr>
                <w:sz w:val="16"/>
              </w:rPr>
              <w:t>Year 1 GHG monitoring</w:t>
            </w:r>
          </w:p>
        </w:tc>
        <w:tc>
          <w:tcPr>
            <w:tcW w:type="dxa" w:w="2108"/>
          </w:tcPr>
          <w:p>
            <w:r>
              <w:rPr>
                <w:sz w:val="16"/>
              </w:rPr>
              <w:t>M48-M60</w:t>
            </w:r>
          </w:p>
        </w:tc>
        <w:tc>
          <w:tcPr>
            <w:tcW w:type="dxa" w:w="2108"/>
          </w:tcPr>
          <w:p>
            <w:r>
              <w:rPr>
                <w:sz w:val="16"/>
              </w:rPr>
              <w:t>M48-M60</w:t>
            </w:r>
          </w:p>
        </w:tc>
        <w:tc>
          <w:tcPr>
            <w:tcW w:type="dxa" w:w="2108"/>
          </w:tcPr>
          <w:p>
            <w:r>
              <w:rPr>
                <w:sz w:val="16"/>
              </w:rPr>
              <w:t>Planned</w:t>
            </w:r>
          </w:p>
        </w:tc>
        <w:tc>
          <w:tcPr>
            <w:tcW w:type="dxa" w:w="2108"/>
          </w:tcPr>
          <w:p>
            <w:r>
              <w:rPr>
                <w:sz w:val="16"/>
              </w:rPr>
              <w:t>Annual GHG report</w:t>
            </w:r>
          </w:p>
        </w:tc>
      </w:tr>
      <w:tr>
        <w:tc>
          <w:tcPr>
            <w:tcW w:type="dxa" w:w="2108"/>
          </w:tcPr>
          <w:p>
            <w:r>
              <w:rPr>
                <w:sz w:val="16"/>
              </w:rPr>
              <w:t>Year 2-5 GHG monitoring</w:t>
            </w:r>
          </w:p>
        </w:tc>
        <w:tc>
          <w:tcPr>
            <w:tcW w:type="dxa" w:w="2108"/>
          </w:tcPr>
          <w:p>
            <w:r>
              <w:rPr>
                <w:sz w:val="16"/>
              </w:rPr>
              <w:t>M60-M108</w:t>
            </w:r>
          </w:p>
        </w:tc>
        <w:tc>
          <w:tcPr>
            <w:tcW w:type="dxa" w:w="2108"/>
          </w:tcPr>
          <w:p>
            <w:r>
              <w:rPr>
                <w:sz w:val="16"/>
              </w:rPr>
              <w:t>M60-M108</w:t>
            </w:r>
          </w:p>
        </w:tc>
        <w:tc>
          <w:tcPr>
            <w:tcW w:type="dxa" w:w="2108"/>
          </w:tcPr>
          <w:p>
            <w:r>
              <w:rPr>
                <w:sz w:val="16"/>
              </w:rPr>
              <w:t>Planned</w:t>
            </w:r>
          </w:p>
        </w:tc>
        <w:tc>
          <w:tcPr>
            <w:tcW w:type="dxa" w:w="2108"/>
          </w:tcPr>
          <w:p>
            <w:r>
              <w:rPr>
                <w:sz w:val="16"/>
              </w:rPr>
              <w:t>Annual GHG reports</w:t>
            </w:r>
          </w:p>
        </w:tc>
      </w:tr>
      <w:tr>
        <w:tc>
          <w:tcPr>
            <w:tcW w:type="dxa" w:w="2108"/>
          </w:tcPr>
          <w:p>
            <w:r>
              <w:rPr>
                <w:sz w:val="16"/>
              </w:rPr>
              <w:t>Final reporting and EEA content declaration</w:t>
            </w:r>
          </w:p>
        </w:tc>
        <w:tc>
          <w:tcPr>
            <w:tcW w:type="dxa" w:w="2108"/>
          </w:tcPr>
          <w:p>
            <w:r>
              <w:rPr>
                <w:sz w:val="16"/>
              </w:rPr>
              <w:t>M108</w:t>
            </w:r>
          </w:p>
        </w:tc>
        <w:tc>
          <w:tcPr>
            <w:tcW w:type="dxa" w:w="2108"/>
          </w:tcPr>
          <w:p>
            <w:r>
              <w:rPr>
                <w:sz w:val="16"/>
              </w:rPr>
              <w:t>M108</w:t>
            </w:r>
          </w:p>
        </w:tc>
        <w:tc>
          <w:tcPr>
            <w:tcW w:type="dxa" w:w="2108"/>
          </w:tcPr>
          <w:p>
            <w:r>
              <w:rPr>
                <w:sz w:val="16"/>
              </w:rPr>
              <w:t>Planned</w:t>
            </w:r>
          </w:p>
        </w:tc>
        <w:tc>
          <w:tcPr>
            <w:tcW w:type="dxa" w:w="2108"/>
          </w:tcPr>
          <w:p>
            <w:r>
              <w:rPr>
                <w:sz w:val="16"/>
              </w:rPr>
              <w:t>Final deliverables package</w:t>
            </w:r>
          </w:p>
        </w:tc>
      </w:tr>
    </w:tbl>
    <w:p>
      <w:pPr>
        <w:pStyle w:val="Heading3"/>
      </w:pPr>
      <w:r>
        <w:t>Phase 1: Grant Agreement to Financial Close (M0-M24)</w:t>
      </w:r>
    </w:p>
    <w:p>
      <w:r>
        <w:rPr>
          <w:sz w:val="18"/>
        </w:rPr>
        <w:t>This phase focuses on advancing project maturity from pre-FID to financial close through four parallel workstreams:</w:t>
      </w:r>
    </w:p>
    <w:p>
      <w:r>
        <w:rPr>
          <w:b/>
          <w:sz w:val="18"/>
        </w:rPr>
        <w:t>Workstream 1 -- Detailed Engineering</w:t>
      </w:r>
      <w:r>
        <w:rPr>
          <w:sz w:val="18"/>
        </w:rPr>
        <w:t>: Progression from preliminary design to Front-End Engineering Design (FEED), including: finalisation of process flow diagrams and P&amp;IDs; equipment specification and sizing (spray dryer, calcination furnace, jet mill, classifier, packaging line); site layout and building design for the Brindisi brownfield location; utility requirements (electricity supply, nitrogen generation, water treatment, HVAC); and integration of DT sensor and communication infrastructure into the engineering design.</w:t>
      </w:r>
    </w:p>
    <w:p>
      <w:r>
        <w:rPr>
          <w:b/>
          <w:sz w:val="18"/>
        </w:rPr>
        <w:t>Workstream 2 -- Permitting</w:t>
      </w:r>
      <w:r>
        <w:rPr>
          <w:sz w:val="18"/>
        </w:rPr>
        <w:t>: Completion of Italian environmental and construction permitting processes (detailed in Section 3.3d). Early engagement with the Comune di Brindisi and the Regione Puglia environmental authorities has been initiated. Eni's established relationship with local permitting authorities, based on decades of industrial operations at the Brindisi site, is a significant de-risking factor.</w:t>
      </w:r>
    </w:p>
    <w:p>
      <w:r>
        <w:rPr>
          <w:b/>
          <w:sz w:val="18"/>
        </w:rPr>
        <w:t>Workstream 3 -- Procurement and Supplier Qualification</w:t>
      </w:r>
      <w:r>
        <w:rPr>
          <w:sz w:val="18"/>
        </w:rPr>
        <w:t>: Identification, qualification, and contracting of critical equipment suppliers (furnace, spray dryer, milling systems, QC instruments, DCS/SCADA systems). Long-lead items (calcination furnace, spray dryer) will be ordered by M18 to support the M24 construction start.</w:t>
      </w:r>
    </w:p>
    <w:p>
      <w:r>
        <w:rPr>
          <w:b/>
          <w:sz w:val="18"/>
        </w:rPr>
        <w:t>Workstream 4 -- Financing</w:t>
      </w:r>
      <w:r>
        <w:rPr>
          <w:sz w:val="18"/>
        </w:rPr>
        <w:t>: Finalisation of the project financing structure, equity commitments from FIB and Eni, debt facility negotiation, and execution of all financial close documentation. This workstream is described in detail in Section 3.2 (Financial Maturity).</w:t>
      </w:r>
    </w:p>
    <w:p>
      <w:pPr>
        <w:pStyle w:val="Heading3"/>
      </w:pPr>
      <w:r>
        <w:t>Phase 2: Financial Close to Entry into Operation (M24-M48)</w:t>
      </w:r>
    </w:p>
    <w:p>
      <w:r>
        <w:rPr>
          <w:b/>
          <w:sz w:val="18"/>
        </w:rPr>
        <w:t>Construction</w:t>
      </w:r>
      <w:r>
        <w:rPr>
          <w:sz w:val="18"/>
        </w:rPr>
        <w:t xml:space="preserve"> (M24-M36): Civil works and building construction on the prepared Brindisi brownfield site; installation of utilities, process equipment, and instrumentation; piping, electrical, and control system installation.</w:t>
      </w:r>
    </w:p>
    <w:p>
      <w:r>
        <w:rPr>
          <w:b/>
          <w:sz w:val="18"/>
        </w:rPr>
        <w:t>DT Development and Integration</w:t>
      </w:r>
      <w:r>
        <w:rPr>
          <w:sz w:val="18"/>
        </w:rPr>
        <w:t xml:space="preserve"> (M12-M42, parallel track): Development of physics-based models (CFD, PBM, reaction kinetics); training of surrogate models (PINNs); deployment of sensor network and OPC-UA communication infrastructure; integration of models with real-time data pipeline; initial calibration using commissioning batch data.</w:t>
      </w:r>
    </w:p>
    <w:p>
      <w:r>
        <w:rPr>
          <w:b/>
          <w:sz w:val="18"/>
        </w:rPr>
        <w:t>Commissioning and Testing</w:t>
      </w:r>
      <w:r>
        <w:rPr>
          <w:sz w:val="18"/>
        </w:rPr>
        <w:t xml:space="preserve"> (M42-M48): Mechanical completion and pre-commissioning checks; utility testing (electricity, N2, water); dry commissioning of individual equipment units; wet commissioning with process materials; production of qualification batches; DT calibration and validation against commissioning data; final CQA verification against battery-grade specifications; operational readiness assessment.</w:t>
      </w:r>
    </w:p>
    <w:p>
      <w:pPr>
        <w:pStyle w:val="Heading3"/>
      </w:pPr>
      <w:r>
        <w:t>Phase 3: Operational Monitoring (M48-M108)</w:t>
      </w:r>
    </w:p>
    <w:p>
      <w:r>
        <w:rPr>
          <w:b/>
          <w:sz w:val="18"/>
        </w:rPr>
        <w:t>Year 1 (WP3, M48-M60)</w:t>
      </w:r>
      <w:r>
        <w:rPr>
          <w:sz w:val="18"/>
        </w:rPr>
        <w:t>: Production ramp-up from commissioning rate to nameplate capacity; DT calibration with production-scale data; process optimisation guided by DT insights; annual GHG emission avoidance report.</w:t>
      </w:r>
    </w:p>
    <w:p>
      <w:r>
        <w:rPr>
          <w:b/>
          <w:sz w:val="18"/>
        </w:rPr>
        <w:t>Years 2-5 (WP4-WP7, M60-M108)</w:t>
      </w:r>
      <w:r>
        <w:rPr>
          <w:sz w:val="18"/>
        </w:rPr>
        <w:t>: Steady-state operation at nameplate capacity; continuous DT model improvement with accumulated production data; annual GHG monitoring and reporting; knowledge sharing activities.</w:t>
      </w:r>
    </w:p>
    <w:p>
      <w:pPr>
        <w:pStyle w:val="Heading3"/>
      </w:pPr>
      <w:r>
        <w:t>Strategy for Financial Close and Entry into Operation</w:t>
      </w:r>
    </w:p>
    <w:p>
      <w:r>
        <w:rPr>
          <w:sz w:val="18"/>
        </w:rPr>
        <w:t>The project's strategy to achieve the accelerated timelines (FC within 2 years, EiO within 4 years) is based on three pillars:</w:t>
      </w:r>
    </w:p>
    <w:p>
      <w:pPr>
        <w:pStyle w:val="ListNumber"/>
      </w:pPr>
      <w:r>
        <w:rPr>
          <w:b/>
          <w:sz w:val="18"/>
        </w:rPr>
        <w:t>Mature core technology</w:t>
      </w:r>
      <w:r>
        <w:rPr>
          <w:sz w:val="18"/>
        </w:rPr>
        <w:t xml:space="preserve">: Solid-state LFP synthesis is at TRL 7-8 with commercially available equipment. No fundamental technology development is required before construction -- the primary risk is process integration and optimisation, not technology feasibility </w:t>
      </w:r>
      <w:r>
        <w:rPr>
          <w:color w:val="0066CC"/>
          <w:sz w:val="16"/>
        </w:rPr>
        <w:t>[CLM-011, SRC-ED-009]</w:t>
      </w:r>
      <w:r>
        <w:rPr>
          <w:sz w:val="18"/>
        </w:rPr>
        <w:t>.</w:t>
      </w:r>
    </w:p>
    <w:p>
      <w:pPr>
        <w:pStyle w:val="ListNumber"/>
      </w:pPr>
      <w:r>
        <w:rPr>
          <w:b/>
          <w:sz w:val="18"/>
        </w:rPr>
        <w:t>Brownfield site advantage</w:t>
      </w:r>
      <w:r>
        <w:rPr>
          <w:sz w:val="18"/>
        </w:rPr>
        <w:t>: The Brindisi site is an existing Eni industrial facility with available land, utility connections (grid electricity, water), transport infrastructure (port and rail access), and established relationships with local authorities. This eliminates greenfield site development time (typically 6-12 months for site acquisition, access roads, utility connections).</w:t>
      </w:r>
    </w:p>
    <w:p>
      <w:pPr>
        <w:pStyle w:val="ListNumber"/>
      </w:pPr>
      <w:r>
        <w:rPr>
          <w:b/>
          <w:sz w:val="18"/>
        </w:rPr>
        <w:t>Strong sponsor commitment and guaranteed offtake</w:t>
      </w:r>
      <w:r>
        <w:rPr>
          <w:sz w:val="18"/>
        </w:rPr>
        <w:t>: FIB (FAAM) and Eni bring complementary capabilities (manufacturing expertise and site/energy management, respectively) and the financial resources to advance project development in parallel with the Innovation Fund application process. Critically, Eni is the direct internal customer for the LFP CAM output through the co-located FIB-Eni joint venture battery cell and BESS manufacturing facility at Brindisi. Eni will deploy the manufactured BESS on the Italian electricity grid, creating a guaranteed offtake pathway that eliminates market risk and secures revenue from entry into operation. This vertically integrated value chain — LFP CAM (this project) to battery cells (JV factory) to BESS (JV factory) to Italian grid deployment (Eni) — massively de-risks the business case and aligns all consortium partners' commercial incentives.</w:t>
      </w:r>
    </w:p>
    <w:p>
      <w:pPr>
        <w:pStyle w:val="Heading2"/>
      </w:pPr>
      <w:r>
        <w:t>3.3c Due Diligence Reports</w:t>
      </w:r>
    </w:p>
    <w:p>
      <w:r>
        <w:rPr>
          <w:b/>
          <w:color w:val="CC0000"/>
          <w:sz w:val="18"/>
        </w:rPr>
        <w:t>[TO BE COMPLETED: Operational due diligence reports (legal, IP, market studies) to be referenced here if available. The market analysis conducted as part of the proposal preparation (see SOTA summary and evidence store) provides the basis for the market positioning argument.]</w:t>
      </w:r>
    </w:p>
    <w:p>
      <w:pPr>
        <w:pStyle w:val="Heading2"/>
      </w:pPr>
      <w:r>
        <w:t>3.3d Permits, Rights, Licences, and Regulatory Procedures</w:t>
      </w:r>
    </w:p>
    <w:p>
      <w:pPr>
        <w:pStyle w:val="Heading3"/>
      </w:pPr>
      <w:r>
        <w:t>Permitting Framework</w:t>
      </w:r>
    </w:p>
    <w:p>
      <w:r>
        <w:rPr>
          <w:sz w:val="18"/>
        </w:rPr>
        <w:t>The Brindisi LFP CAM manufacturing plant is subject to the following Italian and EU permitting requirements:</w:t>
      </w:r>
    </w:p>
    <w:p>
      <w:r>
        <w:rPr>
          <w:b/>
          <w:sz w:val="18"/>
        </w:rPr>
        <w:t>Environmental Impact Assessment (VIA -- Valutazione di Impatto Ambientale)</w:t>
      </w:r>
      <w:r>
        <w:rPr>
          <w:sz w:val="18"/>
        </w:rPr>
        <w:t>: Required under Italian Legislative Decree 152/2006 (Codice dell'Ambiente) for new industrial installations exceeding defined thresholds. The VIA procedure is administered by the Regione Puglia for regional-competence projects or by the Ministero dell'Ambiente e della Sicurezza Energetica (MASE) for national-competence projects. The typical VIA timeline is 12-18 months from application submission to decree issuance. Pre-consultation with the competent authority has been initiated.</w:t>
      </w:r>
    </w:p>
    <w:p>
      <w:r>
        <w:rPr>
          <w:b/>
          <w:sz w:val="18"/>
        </w:rPr>
        <w:t>Integrated Environmental Authorisation (AIA -- Autorizzazione Integrata Ambientale)</w:t>
      </w:r>
      <w:r>
        <w:rPr>
          <w:sz w:val="18"/>
        </w:rPr>
        <w:t>: Required under the Italian transposition of the EU Industrial Emissions Directive (2010/75/EU) for industrial activities covered by Annex I. The AIA integrates atmospheric emissions, water discharge, waste management, and noise requirements into a single permit. The AIA process is typically conducted in parallel with or following the VIA, with a timeline of 6-12 months.</w:t>
      </w:r>
    </w:p>
    <w:p>
      <w:r>
        <w:rPr>
          <w:b/>
          <w:sz w:val="18"/>
        </w:rPr>
        <w:t>Building Permits (Permesso di Costruire)</w:t>
      </w:r>
      <w:r>
        <w:rPr>
          <w:sz w:val="18"/>
        </w:rPr>
        <w:t>: Required from the Comune di Brindisi for the construction of industrial buildings and structures. Building permits are contingent on compliance with urban planning instruments (Piano Regolatore Generale) and the area's industrial zoning designation. The Brindisi site is located within an established industrial zone, which is compatible with manufacturing use.</w:t>
      </w:r>
    </w:p>
    <w:p>
      <w:pPr>
        <w:pStyle w:val="Heading3"/>
      </w:pPr>
      <w:r>
        <w:t>Brownfield Site Status</w:t>
      </w:r>
    </w:p>
    <w:p>
      <w:r>
        <w:rPr>
          <w:sz w:val="18"/>
        </w:rPr>
        <w:t>The Brindisi site is an existing Eni industrial facility. Eni has conducted site characterisation and, where required, remediation activities in accordance with Italian contaminated sites regulations (Title V, Part IV of Legislative Decree 152/2006). The site status is:</w:t>
      </w:r>
    </w:p>
    <w:p>
      <w:r>
        <w:rPr>
          <w:sz w:val="18"/>
        </w:rPr>
        <w:t>The Brindisi site is currently undergoing a brownfield remediation (cleanup) process. The remediation is in progress, confirming the site's brownfield status and Eni's commitment to preparing it for new industrial use. The regulatory clearance status for new construction is being advanced in parallel with the remediation activities, and the permitting applications (VIA, AIA, building permits) are in process.</w:t>
      </w:r>
    </w:p>
    <w:p>
      <w:pPr>
        <w:pStyle w:val="Heading3"/>
      </w:pPr>
      <w:r>
        <w:t>Intellectual Property</w:t>
      </w:r>
    </w:p>
    <w:p>
      <w:r>
        <w:rPr>
          <w:sz w:val="18"/>
        </w:rPr>
        <w:t xml:space="preserve">The project leverages commercially available manufacturing equipment, open standards (ISO 23247), and a technology licensor for the LFP CAM solid-state synthesis process. FIB has secured a technology licensor — </w:t>
      </w:r>
      <w:r>
        <w:rPr>
          <w:b/>
          <w:color w:val="CC0000"/>
          <w:sz w:val="18"/>
        </w:rPr>
        <w:t>[TO BE COMPLETED: technology licensor name]</w:t>
      </w:r>
      <w:r>
        <w:rPr>
          <w:sz w:val="18"/>
        </w:rPr>
        <w:t xml:space="preserve"> — providing process know-how, recipe optimisation, equipment specification support, and commissioning assistance for the solid-state synthesis route. The licensor relationship is governed by a technology licence agreement covering process recipe transfer, technical support during FEED and commissioning, and ongoing optimisation support. The well-established solid-state chemistry </w:t>
      </w:r>
      <w:r>
        <w:rPr>
          <w:color w:val="0066CC"/>
          <w:sz w:val="16"/>
        </w:rPr>
        <w:t>[CLM-014]</w:t>
      </w:r>
      <w:r>
        <w:rPr>
          <w:sz w:val="18"/>
        </w:rPr>
        <w:t xml:space="preserve"> is complemented by the licensor's proven industrial experience. The LG Chem patent EP2360117B1 on LFP olivine morphology has been assessed and confirmed as non-overlapping with the project's product specification [DEC-005]. The digital twin architecture will be developed as proprietary FIB/Eni intellectual property, with the intent to file patent protection for the novel DT-electrification combination </w:t>
      </w:r>
      <w:r>
        <w:rPr>
          <w:color w:val="0066CC"/>
          <w:sz w:val="16"/>
        </w:rPr>
        <w:t>[CLM-015]</w:t>
      </w:r>
      <w:r>
        <w:rPr>
          <w:sz w:val="18"/>
        </w:rPr>
        <w:t>.</w:t>
      </w:r>
    </w:p>
    <w:p>
      <w:pPr>
        <w:pStyle w:val="Heading3"/>
      </w:pPr>
      <w:r>
        <w:t>Public Acceptance</w:t>
      </w:r>
    </w:p>
    <w:p>
      <w:r>
        <w:rPr>
          <w:sz w:val="18"/>
        </w:rPr>
        <w:t>The Brindisi site is located within an established industrial area with a long history of industrial activity. The project is expected to receive positive public acceptance due to:</w:t>
      </w:r>
    </w:p>
    <w:p>
      <w:pPr>
        <w:pStyle w:val="ListBullet"/>
      </w:pPr>
      <w:r>
        <w:rPr>
          <w:b/>
          <w:sz w:val="18"/>
        </w:rPr>
        <w:t>Job creation</w:t>
      </w:r>
      <w:r>
        <w:rPr>
          <w:sz w:val="18"/>
        </w:rPr>
        <w:t xml:space="preserve">: Direct employment of </w:t>
      </w:r>
      <w:r>
        <w:rPr>
          <w:b/>
          <w:color w:val="CC0000"/>
          <w:sz w:val="18"/>
        </w:rPr>
        <w:t>[TO BE COMPLETED: FTE numbers for construction and operational phases to be confirmed by HR planning]</w:t>
      </w:r>
      <w:r>
        <w:rPr>
          <w:sz w:val="18"/>
        </w:rPr>
        <w:t xml:space="preserve"> in the Puglia region, which has above-average unemployment</w:t>
      </w:r>
    </w:p>
    <w:p>
      <w:pPr>
        <w:pStyle w:val="ListBullet"/>
      </w:pPr>
      <w:r>
        <w:rPr>
          <w:b/>
          <w:sz w:val="18"/>
        </w:rPr>
        <w:t>Brownfield reuse</w:t>
      </w:r>
      <w:r>
        <w:rPr>
          <w:sz w:val="18"/>
        </w:rPr>
        <w:t>: Converting an existing industrial site to a high-value advanced manufacturing facility, avoiding greenfield land consumption</w:t>
      </w:r>
    </w:p>
    <w:p>
      <w:pPr>
        <w:pStyle w:val="ListBullet"/>
      </w:pPr>
      <w:r>
        <w:rPr>
          <w:b/>
          <w:sz w:val="18"/>
        </w:rPr>
        <w:t>Clean technology alignment</w:t>
      </w:r>
      <w:r>
        <w:rPr>
          <w:sz w:val="18"/>
        </w:rPr>
        <w:t>: LFP CAM manufacturing for the battery sector aligns with EU and Italian decarbonisation objectives and public support for the energy transition</w:t>
      </w:r>
    </w:p>
    <w:p>
      <w:pPr>
        <w:pStyle w:val="ListBullet"/>
      </w:pPr>
      <w:r>
        <w:rPr>
          <w:b/>
          <w:sz w:val="18"/>
        </w:rPr>
        <w:t>No significant negative environmental impacts</w:t>
      </w:r>
      <w:r>
        <w:rPr>
          <w:sz w:val="18"/>
        </w:rPr>
        <w:t>: The process uses non-toxic raw materials (iron phosphate, lithium carbonate, glucose), operates in a closed system under nitrogen atmosphere, and generates minimal waste streams</w:t>
      </w:r>
    </w:p>
    <w:p>
      <w:pPr>
        <w:pStyle w:val="Heading3"/>
      </w:pPr>
      <w:r>
        <w:t>Environmental Impacts and Mitigation</w:t>
      </w:r>
    </w:p>
    <w:p>
      <w:r>
        <w:rPr>
          <w:sz w:val="18"/>
        </w:rPr>
        <w:t>The principal environmental impacts of the LFP CAM manufacturing facility and their mitigation measures are:</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Impact Category</w:t>
            </w:r>
          </w:p>
        </w:tc>
        <w:tc>
          <w:tcPr>
            <w:tcW w:type="dxa" w:w="3513"/>
          </w:tcPr>
          <w:p>
            <w:r>
              <w:rPr>
                <w:b/>
                <w:sz w:val="16"/>
              </w:rPr>
              <w:t>Source</w:t>
            </w:r>
          </w:p>
        </w:tc>
        <w:tc>
          <w:tcPr>
            <w:tcW w:type="dxa" w:w="3513"/>
          </w:tcPr>
          <w:p>
            <w:r>
              <w:rPr>
                <w:b/>
                <w:sz w:val="16"/>
              </w:rPr>
              <w:t>Mitigation</w:t>
            </w:r>
          </w:p>
        </w:tc>
      </w:tr>
      <w:tr>
        <w:tc>
          <w:tcPr>
            <w:tcW w:type="dxa" w:w="3513"/>
          </w:tcPr>
          <w:p>
            <w:r>
              <w:rPr>
                <w:sz w:val="16"/>
              </w:rPr>
              <w:t>Air emissions</w:t>
            </w:r>
          </w:p>
        </w:tc>
        <w:tc>
          <w:tcPr>
            <w:tcW w:type="dxa" w:w="3513"/>
          </w:tcPr>
          <w:p>
            <w:r>
              <w:rPr>
                <w:sz w:val="16"/>
              </w:rPr>
              <w:t>Spray dryer exhaust (water vapour, trace organics); furnace exhaust (N2, trace CO2/CO)</w:t>
            </w:r>
          </w:p>
        </w:tc>
        <w:tc>
          <w:tcPr>
            <w:tcW w:type="dxa" w:w="3513"/>
          </w:tcPr>
          <w:p>
            <w:r>
              <w:rPr>
                <w:sz w:val="16"/>
              </w:rPr>
              <w:t>Bag filters + activated carbon adsorption; continuous emissions monitoring</w:t>
            </w:r>
          </w:p>
        </w:tc>
      </w:tr>
      <w:tr>
        <w:tc>
          <w:tcPr>
            <w:tcW w:type="dxa" w:w="3513"/>
          </w:tcPr>
          <w:p>
            <w:r>
              <w:rPr>
                <w:sz w:val="16"/>
              </w:rPr>
              <w:t>Water consumption</w:t>
            </w:r>
          </w:p>
        </w:tc>
        <w:tc>
          <w:tcPr>
            <w:tcW w:type="dxa" w:w="3513"/>
          </w:tcPr>
          <w:p>
            <w:r>
              <w:rPr>
                <w:sz w:val="16"/>
              </w:rPr>
              <w:t>Spray drying process water; cooling water</w:t>
            </w:r>
          </w:p>
        </w:tc>
        <w:tc>
          <w:tcPr>
            <w:tcW w:type="dxa" w:w="3513"/>
          </w:tcPr>
          <w:p>
            <w:r>
              <w:rPr>
                <w:sz w:val="16"/>
              </w:rPr>
              <w:t>Closed-loop cooling; water recycling; rainwater harvesting</w:t>
            </w:r>
          </w:p>
        </w:tc>
      </w:tr>
      <w:tr>
        <w:tc>
          <w:tcPr>
            <w:tcW w:type="dxa" w:w="3513"/>
          </w:tcPr>
          <w:p>
            <w:r>
              <w:rPr>
                <w:sz w:val="16"/>
              </w:rPr>
              <w:t>Solid waste</w:t>
            </w:r>
          </w:p>
        </w:tc>
        <w:tc>
          <w:tcPr>
            <w:tcW w:type="dxa" w:w="3513"/>
          </w:tcPr>
          <w:p>
            <w:r>
              <w:rPr>
                <w:sz w:val="16"/>
              </w:rPr>
              <w:t>Off-spec product; spent milling media; packaging waste</w:t>
            </w:r>
          </w:p>
        </w:tc>
        <w:tc>
          <w:tcPr>
            <w:tcW w:type="dxa" w:w="3513"/>
          </w:tcPr>
          <w:p>
            <w:r>
              <w:rPr>
                <w:sz w:val="16"/>
              </w:rPr>
              <w:t>Off-spec product recycled to process; waste streams classified and disposed per Italian regulations</w:t>
            </w:r>
          </w:p>
        </w:tc>
      </w:tr>
      <w:tr>
        <w:tc>
          <w:tcPr>
            <w:tcW w:type="dxa" w:w="3513"/>
          </w:tcPr>
          <w:p>
            <w:r>
              <w:rPr>
                <w:sz w:val="16"/>
              </w:rPr>
              <w:t>Noise</w:t>
            </w:r>
          </w:p>
        </w:tc>
        <w:tc>
          <w:tcPr>
            <w:tcW w:type="dxa" w:w="3513"/>
          </w:tcPr>
          <w:p>
            <w:r>
              <w:rPr>
                <w:sz w:val="16"/>
              </w:rPr>
              <w:t>Milling, material handling, HVAC</w:t>
            </w:r>
          </w:p>
        </w:tc>
        <w:tc>
          <w:tcPr>
            <w:tcW w:type="dxa" w:w="3513"/>
          </w:tcPr>
          <w:p>
            <w:r>
              <w:rPr>
                <w:sz w:val="16"/>
              </w:rPr>
              <w:t>Acoustic enclosures; site perimeter monitoring</w:t>
            </w:r>
          </w:p>
        </w:tc>
      </w:tr>
      <w:tr>
        <w:tc>
          <w:tcPr>
            <w:tcW w:type="dxa" w:w="3513"/>
          </w:tcPr>
          <w:p>
            <w:r>
              <w:rPr>
                <w:sz w:val="16"/>
              </w:rPr>
              <w:t>Energy consumption</w:t>
            </w:r>
          </w:p>
        </w:tc>
        <w:tc>
          <w:tcPr>
            <w:tcW w:type="dxa" w:w="3513"/>
          </w:tcPr>
          <w:p>
            <w:r>
              <w:rPr>
                <w:sz w:val="16"/>
              </w:rPr>
              <w:t>Grid electricity for process heat and equipment</w:t>
            </w:r>
          </w:p>
        </w:tc>
        <w:tc>
          <w:tcPr>
            <w:tcW w:type="dxa" w:w="3513"/>
          </w:tcPr>
          <w:p>
            <w:r>
              <w:rPr>
                <w:sz w:val="16"/>
              </w:rPr>
              <w:t>Electrified process enables direct GHG reduction as grid decarbonises [CLM-030]</w:t>
            </w:r>
          </w:p>
        </w:tc>
      </w:tr>
    </w:tbl>
    <w:p>
      <w:pPr>
        <w:pStyle w:val="Heading2"/>
      </w:pPr>
      <w:r>
        <w:t>3.3e Project Management Team and Organisation</w:t>
      </w:r>
    </w:p>
    <w:p>
      <w:pPr>
        <w:pStyle w:val="Heading3"/>
      </w:pPr>
      <w:r>
        <w:t>Consortium Structure</w:t>
      </w:r>
    </w:p>
    <w:p>
      <w:r>
        <w:rPr>
          <w:sz w:val="18"/>
        </w:rPr>
        <w:t>The project is implemented by a two-partner consortium with clearly delineated roles:</w:t>
      </w:r>
    </w:p>
    <w:p>
      <w:r>
        <w:rPr>
          <w:b/>
          <w:sz w:val="18"/>
        </w:rPr>
        <w:t>FIB (FAAM) -- Coordinator</w:t>
      </w:r>
    </w:p>
    <w:p>
      <w:r>
        <w:rPr>
          <w:sz w:val="18"/>
        </w:rPr>
        <w:t>FIB S.p.A., operating under the FAAM brand, is an Italian battery manufacturer founded in 1974 (Monterubbiano, FM, Italy), a subsidiary of Seri Industrial S.p.A. With approximately 354 employees and over 50 years of experience in lead-acid and lithium-ion battery production for traction, industrial, storage, and military applications, FIB brings established manufacturing expertise and a commitment to green batteries with low environmental impact. FIB operates under ISO 9001, ISO 14001, and ISO 45001 management systems. FIB assumes the role of project coordinator with responsibility for:</w:t>
      </w:r>
    </w:p>
    <w:p>
      <w:pPr>
        <w:pStyle w:val="ListBullet"/>
      </w:pPr>
      <w:r>
        <w:rPr>
          <w:sz w:val="18"/>
        </w:rPr>
        <w:t>Overall project management and coordination</w:t>
      </w:r>
    </w:p>
    <w:p>
      <w:pPr>
        <w:pStyle w:val="ListBullet"/>
      </w:pPr>
      <w:r>
        <w:rPr>
          <w:sz w:val="18"/>
        </w:rPr>
        <w:t>LFP CAM process engineering and manufacturing operations</w:t>
      </w:r>
    </w:p>
    <w:p>
      <w:pPr>
        <w:pStyle w:val="ListBullet"/>
      </w:pPr>
      <w:r>
        <w:rPr>
          <w:sz w:val="18"/>
        </w:rPr>
        <w:t>Quality control and assurance</w:t>
      </w:r>
    </w:p>
    <w:p>
      <w:pPr>
        <w:pStyle w:val="ListBullet"/>
      </w:pPr>
      <w:r>
        <w:rPr>
          <w:sz w:val="18"/>
        </w:rPr>
        <w:t>Digital twin system specification and operation</w:t>
      </w:r>
    </w:p>
    <w:p>
      <w:pPr>
        <w:pStyle w:val="ListBullet"/>
      </w:pPr>
      <w:r>
        <w:rPr>
          <w:sz w:val="18"/>
        </w:rPr>
        <w:t>Knowledge sharing and dissemination</w:t>
      </w:r>
    </w:p>
    <w:p>
      <w:r>
        <w:rPr>
          <w:b/>
          <w:sz w:val="18"/>
        </w:rPr>
        <w:t>Eni -- Co-Investigator and Guaranteed Offtaker</w:t>
      </w:r>
    </w:p>
    <w:p>
      <w:r>
        <w:rPr>
          <w:sz w:val="18"/>
        </w:rPr>
        <w:t>Eni S.p.A. is a global energy company with extensive experience in industrial site management, process engineering, and energy supply. Eni contributes:</w:t>
      </w:r>
    </w:p>
    <w:p>
      <w:pPr>
        <w:pStyle w:val="ListBullet"/>
      </w:pPr>
      <w:r>
        <w:rPr>
          <w:sz w:val="18"/>
        </w:rPr>
        <w:t>Brindisi industrial site (land, existing infrastructure, utility connections)</w:t>
      </w:r>
    </w:p>
    <w:p>
      <w:pPr>
        <w:pStyle w:val="ListBullet"/>
      </w:pPr>
      <w:r>
        <w:rPr>
          <w:sz w:val="18"/>
        </w:rPr>
        <w:t>Process engineering support (leveraging Eni's refining and chemicals expertise)</w:t>
      </w:r>
    </w:p>
    <w:p>
      <w:pPr>
        <w:pStyle w:val="ListBullet"/>
      </w:pPr>
      <w:r>
        <w:rPr>
          <w:sz w:val="18"/>
        </w:rPr>
        <w:t>Energy supply management (grid electricity procurement, potential on-site renewable capacity)</w:t>
      </w:r>
    </w:p>
    <w:p>
      <w:pPr>
        <w:pStyle w:val="ListBullet"/>
      </w:pPr>
      <w:r>
        <w:rPr>
          <w:sz w:val="18"/>
        </w:rPr>
        <w:t>Environmental management and site remediation expertise</w:t>
      </w:r>
    </w:p>
    <w:p>
      <w:pPr>
        <w:pStyle w:val="ListBullet"/>
      </w:pPr>
      <w:r>
        <w:rPr>
          <w:sz w:val="18"/>
        </w:rPr>
        <w:t>Stakeholder relations and permitting support</w:t>
      </w:r>
    </w:p>
    <w:p>
      <w:pPr>
        <w:pStyle w:val="ListBullet"/>
      </w:pPr>
      <w:r>
        <w:rPr>
          <w:b/>
          <w:sz w:val="18"/>
        </w:rPr>
        <w:t>Direct internal customer</w:t>
      </w:r>
      <w:r>
        <w:rPr>
          <w:sz w:val="18"/>
        </w:rPr>
        <w:t>: Partner in the co-located FIB-Eni JV battery cell and BESS factory; deployer of BESS systems on the Italian electricity grid for grid stabilisation and decarbonisation. The Brindisi site hosts both the CAM plant and the JV cell/BESS factory, with the implementation plan coordinating parallel development of both facilities.</w:t>
      </w:r>
    </w:p>
    <w:p>
      <w:pPr>
        <w:pStyle w:val="Heading3"/>
      </w:pPr>
      <w:r>
        <w:t>Governance Structure</w:t>
      </w:r>
    </w:p>
    <w:p>
      <w:r>
        <w:rPr>
          <w:sz w:val="18"/>
        </w:rPr>
        <w:t>The project governance comprises three levels:</w:t>
      </w:r>
    </w:p>
    <w:p>
      <w:pPr>
        <w:pStyle w:val="ListNumber"/>
      </w:pPr>
      <w:r>
        <w:rPr>
          <w:b/>
          <w:sz w:val="18"/>
        </w:rPr>
        <w:t>Steering Committee</w:t>
      </w:r>
      <w:r>
        <w:rPr>
          <w:sz w:val="18"/>
        </w:rPr>
        <w:t>: Strategic decision-making body comprising the FIB CEO (or delegate) and the Eni Project Director (or delegate). Meets quarterly or as needed for material decisions (scope changes, budget reallocation &gt;10%, risk escalation). Decisions by consensus; escalation to respective corporate boards if needed.</w:t>
      </w:r>
    </w:p>
    <w:p>
      <w:pPr>
        <w:pStyle w:val="ListNumber"/>
      </w:pPr>
      <w:r>
        <w:rPr>
          <w:b/>
          <w:sz w:val="18"/>
        </w:rPr>
        <w:t>Technical Committee</w:t>
      </w:r>
      <w:r>
        <w:rPr>
          <w:sz w:val="18"/>
        </w:rPr>
        <w:t>: Operational decision-making body comprising the Project Manager (FIB), Technical Director (FIB), DT Lead (FIB), and Eni Site Manager. Meets monthly. Responsible for: technical progress review; milestone assessment; risk register updates; and resource allocation.</w:t>
      </w:r>
    </w:p>
    <w:p>
      <w:pPr>
        <w:pStyle w:val="ListNumber"/>
      </w:pPr>
      <w:r>
        <w:rPr>
          <w:b/>
          <w:sz w:val="18"/>
        </w:rPr>
        <w:t>DT Working Group</w:t>
      </w:r>
      <w:r>
        <w:rPr>
          <w:sz w:val="18"/>
        </w:rPr>
        <w:t>: Specialist body comprising the DT Lead (FIB), DT modelling engineers, sensor integration specialists, and IT/OT infrastructure managers. Meets bi-weekly during development phases (M12-M48), monthly during operations. Responsible for: model development progress; data architecture decisions; DT-process integration testing.</w:t>
      </w:r>
    </w:p>
    <w:p>
      <w:pPr>
        <w:pStyle w:val="Heading3"/>
      </w:pPr>
      <w:r>
        <w:t>Key Roles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Role</w:t>
            </w:r>
          </w:p>
        </w:tc>
        <w:tc>
          <w:tcPr>
            <w:tcW w:type="dxa" w:w="3513"/>
          </w:tcPr>
          <w:p>
            <w:r>
              <w:rPr>
                <w:b/>
                <w:sz w:val="16"/>
              </w:rPr>
              <w:t>Partner</w:t>
            </w:r>
          </w:p>
        </w:tc>
        <w:tc>
          <w:tcPr>
            <w:tcW w:type="dxa" w:w="3513"/>
          </w:tcPr>
          <w:p>
            <w:r>
              <w:rPr>
                <w:b/>
                <w:sz w:val="16"/>
              </w:rPr>
              <w:t>Responsibilities</w:t>
            </w:r>
          </w:p>
        </w:tc>
      </w:tr>
      <w:tr>
        <w:tc>
          <w:tcPr>
            <w:tcW w:type="dxa" w:w="3513"/>
          </w:tcPr>
          <w:p>
            <w:r>
              <w:rPr>
                <w:sz w:val="16"/>
              </w:rPr>
              <w:t>Project Manager</w:t>
            </w:r>
          </w:p>
        </w:tc>
        <w:tc>
          <w:tcPr>
            <w:tcW w:type="dxa" w:w="3513"/>
          </w:tcPr>
          <w:p>
            <w:r>
              <w:rPr>
                <w:sz w:val="16"/>
              </w:rPr>
              <w:t>FIB</w:t>
            </w:r>
          </w:p>
        </w:tc>
        <w:tc>
          <w:tcPr>
            <w:tcW w:type="dxa" w:w="3513"/>
          </w:tcPr>
          <w:p>
            <w:r>
              <w:rPr>
                <w:sz w:val="16"/>
              </w:rPr>
              <w:t>Day-to-day project management, reporting to EC/CINEA, work package coordination</w:t>
            </w:r>
          </w:p>
        </w:tc>
      </w:tr>
      <w:tr>
        <w:tc>
          <w:tcPr>
            <w:tcW w:type="dxa" w:w="3513"/>
          </w:tcPr>
          <w:p>
            <w:r>
              <w:rPr>
                <w:sz w:val="16"/>
              </w:rPr>
              <w:t>Technical Director</w:t>
            </w:r>
          </w:p>
        </w:tc>
        <w:tc>
          <w:tcPr>
            <w:tcW w:type="dxa" w:w="3513"/>
          </w:tcPr>
          <w:p>
            <w:r>
              <w:rPr>
                <w:sz w:val="16"/>
              </w:rPr>
              <w:t>FIB</w:t>
            </w:r>
          </w:p>
        </w:tc>
        <w:tc>
          <w:tcPr>
            <w:tcW w:type="dxa" w:w="3513"/>
          </w:tcPr>
          <w:p>
            <w:r>
              <w:rPr>
                <w:sz w:val="16"/>
              </w:rPr>
              <w:t>Process engineering oversight, equipment specification, commissioning management</w:t>
            </w:r>
          </w:p>
        </w:tc>
      </w:tr>
      <w:tr>
        <w:tc>
          <w:tcPr>
            <w:tcW w:type="dxa" w:w="3513"/>
          </w:tcPr>
          <w:p>
            <w:r>
              <w:rPr>
                <w:sz w:val="16"/>
              </w:rPr>
              <w:t>Digital Twin Lead</w:t>
            </w:r>
          </w:p>
        </w:tc>
        <w:tc>
          <w:tcPr>
            <w:tcW w:type="dxa" w:w="3513"/>
          </w:tcPr>
          <w:p>
            <w:r>
              <w:rPr>
                <w:sz w:val="16"/>
              </w:rPr>
              <w:t>FIB</w:t>
            </w:r>
          </w:p>
        </w:tc>
        <w:tc>
          <w:tcPr>
            <w:tcW w:type="dxa" w:w="3513"/>
          </w:tcPr>
          <w:p>
            <w:r>
              <w:rPr>
                <w:sz w:val="16"/>
              </w:rPr>
              <w:t>DT architecture, model development, sensor integration, data pipeline</w:t>
            </w:r>
          </w:p>
        </w:tc>
      </w:tr>
      <w:tr>
        <w:tc>
          <w:tcPr>
            <w:tcW w:type="dxa" w:w="3513"/>
          </w:tcPr>
          <w:p>
            <w:r>
              <w:rPr>
                <w:sz w:val="16"/>
              </w:rPr>
              <w:t>Quality Manager</w:t>
            </w:r>
          </w:p>
        </w:tc>
        <w:tc>
          <w:tcPr>
            <w:tcW w:type="dxa" w:w="3513"/>
          </w:tcPr>
          <w:p>
            <w:r>
              <w:rPr>
                <w:sz w:val="16"/>
              </w:rPr>
              <w:t>FIB</w:t>
            </w:r>
          </w:p>
        </w:tc>
        <w:tc>
          <w:tcPr>
            <w:tcW w:type="dxa" w:w="3513"/>
          </w:tcPr>
          <w:p>
            <w:r>
              <w:rPr>
                <w:sz w:val="16"/>
              </w:rPr>
              <w:t>QC/QA system, CQA monitoring, batch release, regulatory compliance</w:t>
            </w:r>
          </w:p>
        </w:tc>
      </w:tr>
      <w:tr>
        <w:tc>
          <w:tcPr>
            <w:tcW w:type="dxa" w:w="3513"/>
          </w:tcPr>
          <w:p>
            <w:r>
              <w:rPr>
                <w:sz w:val="16"/>
              </w:rPr>
              <w:t>EHS Manager</w:t>
            </w:r>
          </w:p>
        </w:tc>
        <w:tc>
          <w:tcPr>
            <w:tcW w:type="dxa" w:w="3513"/>
          </w:tcPr>
          <w:p>
            <w:r>
              <w:rPr>
                <w:sz w:val="16"/>
              </w:rPr>
              <w:t>FIB + Eni</w:t>
            </w:r>
          </w:p>
        </w:tc>
        <w:tc>
          <w:tcPr>
            <w:tcW w:type="dxa" w:w="3513"/>
          </w:tcPr>
          <w:p>
            <w:r>
              <w:rPr>
                <w:sz w:val="16"/>
              </w:rPr>
              <w:t>Environmental, health &amp; safety management, permitting support</w:t>
            </w:r>
          </w:p>
        </w:tc>
      </w:tr>
      <w:tr>
        <w:tc>
          <w:tcPr>
            <w:tcW w:type="dxa" w:w="3513"/>
          </w:tcPr>
          <w:p>
            <w:r>
              <w:rPr>
                <w:sz w:val="16"/>
              </w:rPr>
              <w:t>Site Manager</w:t>
            </w:r>
          </w:p>
        </w:tc>
        <w:tc>
          <w:tcPr>
            <w:tcW w:type="dxa" w:w="3513"/>
          </w:tcPr>
          <w:p>
            <w:r>
              <w:rPr>
                <w:sz w:val="16"/>
              </w:rPr>
              <w:t>Eni</w:t>
            </w:r>
          </w:p>
        </w:tc>
        <w:tc>
          <w:tcPr>
            <w:tcW w:type="dxa" w:w="3513"/>
          </w:tcPr>
          <w:p>
            <w:r>
              <w:rPr>
                <w:sz w:val="16"/>
              </w:rPr>
              <w:t>Brindisi site operations, infrastructure, utility supply, stakeholder relations</w:t>
            </w:r>
          </w:p>
        </w:tc>
      </w:tr>
      <w:tr>
        <w:tc>
          <w:tcPr>
            <w:tcW w:type="dxa" w:w="3513"/>
          </w:tcPr>
          <w:p>
            <w:r>
              <w:rPr>
                <w:sz w:val="16"/>
              </w:rPr>
              <w:t>Financial Controller</w:t>
            </w:r>
          </w:p>
        </w:tc>
        <w:tc>
          <w:tcPr>
            <w:tcW w:type="dxa" w:w="3513"/>
          </w:tcPr>
          <w:p>
            <w:r>
              <w:rPr>
                <w:sz w:val="16"/>
              </w:rPr>
              <w:t>FIB</w:t>
            </w:r>
          </w:p>
        </w:tc>
        <w:tc>
          <w:tcPr>
            <w:tcW w:type="dxa" w:w="3513"/>
          </w:tcPr>
          <w:p>
            <w:r>
              <w:rPr>
                <w:sz w:val="16"/>
              </w:rPr>
              <w:t>Budget management, cost reporting, audit coordination</w:t>
            </w:r>
          </w:p>
        </w:tc>
      </w:tr>
      <w:tr>
        <w:tc>
          <w:tcPr>
            <w:tcW w:type="dxa" w:w="3513"/>
          </w:tcPr>
          <w:p>
            <w:r>
              <w:rPr>
                <w:sz w:val="16"/>
              </w:rPr>
              <w:t>Technology Licensor</w:t>
            </w:r>
          </w:p>
        </w:tc>
        <w:tc>
          <w:tcPr>
            <w:tcW w:type="dxa" w:w="3513"/>
          </w:tcPr>
          <w:p>
            <w:r>
              <w:rPr>
                <w:sz w:val="16"/>
              </w:rPr>
              <w:t>[TO BE COMPLETED: technology licensor name]</w:t>
            </w:r>
          </w:p>
        </w:tc>
        <w:tc>
          <w:tcPr>
            <w:tcW w:type="dxa" w:w="3513"/>
          </w:tcPr>
          <w:p>
            <w:r>
              <w:rPr>
                <w:sz w:val="16"/>
              </w:rPr>
              <w:t>LFP CAM process know-how, recipe optimisation, equipment specification support, commissioning assistance</w:t>
            </w:r>
          </w:p>
        </w:tc>
      </w:tr>
    </w:tbl>
    <w:p>
      <w:r>
        <w:rPr>
          <w:b/>
          <w:color w:val="CC0000"/>
          <w:sz w:val="18"/>
        </w:rPr>
        <w:t>[TO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r>
    </w:p>
    <w:p>
      <w:pPr>
        <w:pStyle w:val="Heading3"/>
      </w:pPr>
      <w:r>
        <w:t>Quality Management and Health &amp; Safety</w:t>
      </w:r>
    </w:p>
    <w:p>
      <w:r>
        <w:rPr>
          <w:sz w:val="18"/>
        </w:rPr>
        <w:t>The project will implement quality management in accordance with ISO 9001:2015 and, where applicable, IATF 16949 for automotive-grade battery materials. The quality management system covers: incoming material inspection; in-process quality monitoring (linked to the DT CQA framework); batch release testing; supplier quality management; and traceability (full batch genealogy from raw material lot to packaged product).</w:t>
      </w:r>
    </w:p>
    <w:p>
      <w:r>
        <w:rPr>
          <w:sz w:val="18"/>
        </w:rPr>
        <w:t>Health and safety management follows Italian workplace safety legislation (D.Lgs. 81/2008, Testo Unico sulla Sicurezza) and will be documented in a project-specific Health and Safety Plan. Key H&amp;S considerations include: handling of fine powder (dust explosion prevention, respiratory protection); nitrogen atmosphere operations (asphyxiation prevention, O2 monitoring); high-temperature equipment (burn prevention, thermal insulation); and electrical safety for electrified process equipment.</w:t>
      </w:r>
    </w:p>
    <w:p>
      <w:r>
        <w:br w:type="page"/>
      </w:r>
    </w:p>
    <w:p>
      <w:pPr>
        <w:spacing w:before="120" w:after="120"/>
        <w:shd w:val="clear" w:color="auto" w:fill="FFF3CD"/>
      </w:pPr>
      <w:r>
        <w:rPr>
          <w:b/>
          <w:color w:val="856304"/>
          <w:sz w:val="16"/>
        </w:rPr>
        <w:t xml:space="preserve">[REVIEWER NOTES] </w:t>
      </w:r>
      <w:r>
        <w:rPr>
          <w:color w:val="856304"/>
          <w:sz w:val="16"/>
        </w:rPr>
        <w:t>CLAIMS REFERENCED: CLM-007, CLM-016, CLM-018, CLM-019, CLM-029</w:t>
        <w:br/>
      </w:r>
      <w:r>
        <w:rPr>
          <w:color w:val="856304"/>
          <w:sz w:val="16"/>
        </w:rPr>
        <w:t>OPEN ISSUES:</w:t>
        <w:br/>
      </w:r>
      <w:r>
        <w:rPr>
          <w:color w:val="856304"/>
          <w:sz w:val="16"/>
        </w:rPr>
        <w:t xml:space="preserve">  - TO BE COMPLETED: Specific contingency percentage to be confirmed by CFO team</w:t>
        <w:br/>
      </w:r>
      <w:r>
        <w:rPr>
          <w:color w:val="856304"/>
          <w:sz w:val="16"/>
        </w:rPr>
        <w:t>SOURCES CITED: SRC-ED-010</w:t>
        <w:br/>
      </w:r>
      <w:r>
        <w:rPr>
          <w:color w:val="856304"/>
          <w:sz w:val="16"/>
        </w:rPr>
        <w:t>WORD COUNT: 1329</w:t>
        <w:br/>
      </w:r>
    </w:p>
    <w:p>
      <w:pPr>
        <w:pStyle w:val="Heading1"/>
      </w:pPr>
      <w:r>
        <w:t>3.4 Risk Management</w:t>
      </w:r>
    </w:p>
    <w:p>
      <w:r>
        <w:rPr>
          <w:sz w:val="18"/>
        </w:rPr>
        <w:t>The project has identified, assessed, and defined mitigation strategies for the critical risks that could affect achievement of financial close, entry into operation, and sustained GHG emission avoidance during the monitoring period. The risk register below covers technical, operational, supply chain, regulatory, market, and financial risk categories. Detailed risk analysis is provided in the Feasibility Study annex and the Business Plan annex.</w:t>
      </w:r>
    </w:p>
    <w:p>
      <w:pPr>
        <w:pStyle w:val="Heading2"/>
      </w:pPr>
      <w:r>
        <w:t>Risk Register</w:t>
      </w:r>
    </w:p>
    <w:tbl>
      <w:tblPr>
        <w:tblStyle w:val="LightGrid-Accent1"/>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tcPr>
          <w:p>
            <w:r>
              <w:rPr>
                <w:b/>
                <w:sz w:val="16"/>
              </w:rPr>
              <w:t>#</w:t>
            </w:r>
          </w:p>
        </w:tc>
        <w:tc>
          <w:tcPr>
            <w:tcW w:type="dxa" w:w="1317"/>
          </w:tcPr>
          <w:p>
            <w:r>
              <w:rPr>
                <w:b/>
                <w:sz w:val="16"/>
              </w:rPr>
              <w:t>Risk</w:t>
            </w:r>
          </w:p>
        </w:tc>
        <w:tc>
          <w:tcPr>
            <w:tcW w:type="dxa" w:w="1317"/>
          </w:tcPr>
          <w:p>
            <w:r>
              <w:rPr>
                <w:b/>
                <w:sz w:val="16"/>
              </w:rPr>
              <w:t>Category</w:t>
            </w:r>
          </w:p>
        </w:tc>
        <w:tc>
          <w:tcPr>
            <w:tcW w:type="dxa" w:w="1317"/>
          </w:tcPr>
          <w:p>
            <w:r>
              <w:rPr>
                <w:b/>
                <w:sz w:val="16"/>
              </w:rPr>
              <w:t>Probability</w:t>
            </w:r>
          </w:p>
        </w:tc>
        <w:tc>
          <w:tcPr>
            <w:tcW w:type="dxa" w:w="1317"/>
          </w:tcPr>
          <w:p>
            <w:r>
              <w:rPr>
                <w:b/>
                <w:sz w:val="16"/>
              </w:rPr>
              <w:t>Impact</w:t>
            </w:r>
          </w:p>
        </w:tc>
        <w:tc>
          <w:tcPr>
            <w:tcW w:type="dxa" w:w="1317"/>
          </w:tcPr>
          <w:p>
            <w:r>
              <w:rPr>
                <w:b/>
                <w:sz w:val="16"/>
              </w:rPr>
              <w:t>Risk Level</w:t>
            </w:r>
          </w:p>
        </w:tc>
        <w:tc>
          <w:tcPr>
            <w:tcW w:type="dxa" w:w="1317"/>
          </w:tcPr>
          <w:p>
            <w:r>
              <w:rPr>
                <w:b/>
                <w:sz w:val="16"/>
              </w:rPr>
              <w:t>Mitigation Strategy</w:t>
            </w:r>
          </w:p>
        </w:tc>
        <w:tc>
          <w:tcPr>
            <w:tcW w:type="dxa" w:w="1317"/>
          </w:tcPr>
          <w:p>
            <w:r>
              <w:rPr>
                <w:b/>
                <w:sz w:val="16"/>
              </w:rPr>
              <w:t>Residual Risk</w:t>
            </w:r>
          </w:p>
        </w:tc>
      </w:tr>
      <w:tr>
        <w:tc>
          <w:tcPr>
            <w:tcW w:type="dxa" w:w="1317"/>
          </w:tcPr>
          <w:p>
            <w:r>
              <w:rPr>
                <w:sz w:val="16"/>
              </w:rPr>
              <w:t>R1</w:t>
            </w:r>
          </w:p>
        </w:tc>
        <w:tc>
          <w:tcPr>
            <w:tcW w:type="dxa" w:w="1317"/>
          </w:tcPr>
          <w:p>
            <w:r>
              <w:rPr>
                <w:sz w:val="16"/>
              </w:rPr>
              <w:t>**Calcination process scale-up**: Difficulty achieving target CQAs (phase purity &gt;98%, D50 0.7-2.5 um) at production scale due to thermal non-uniformity in larger furnaces</w:t>
            </w:r>
          </w:p>
        </w:tc>
        <w:tc>
          <w:tcPr>
            <w:tcW w:type="dxa" w:w="1317"/>
          </w:tcPr>
          <w:p>
            <w:r>
              <w:rPr>
                <w:sz w:val="16"/>
              </w:rPr>
              <w:t>Technical</w:t>
            </w:r>
          </w:p>
        </w:tc>
        <w:tc>
          <w:tcPr>
            <w:tcW w:type="dxa" w:w="1317"/>
          </w:tcPr>
          <w:p>
            <w:r>
              <w:rPr>
                <w:sz w:val="16"/>
              </w:rPr>
              <w:t>Medium</w:t>
            </w:r>
          </w:p>
        </w:tc>
        <w:tc>
          <w:tcPr>
            <w:tcW w:type="dxa" w:w="1317"/>
          </w:tcPr>
          <w:p>
            <w:r>
              <w:rPr>
                <w:sz w:val="16"/>
              </w:rPr>
              <w:t>High</w:t>
            </w:r>
          </w:p>
        </w:tc>
        <w:tc>
          <w:tcPr>
            <w:tcW w:type="dxa" w:w="1317"/>
          </w:tcPr>
          <w:p>
            <w:r>
              <w:rPr>
                <w:sz w:val="16"/>
              </w:rPr>
              <w:t>**High**</w:t>
            </w:r>
          </w:p>
        </w:tc>
        <w:tc>
          <w:tcPr>
            <w:tcW w:type="dxa" w:w="1317"/>
          </w:tcPr>
          <w:p>
            <w:r>
              <w:rPr>
                <w:sz w:val="16"/>
              </w:rPr>
              <w:t>(a) Technology licensor provides proven process recipes and calcination profiles validated at industrial scale; (b) pilot-scale trials at furnace vendor facility (M6-M12) to validate temperature uniformity and product quality before equipment purchase; (c) phased production ramp-up from 25% to 100% nameplate capacity (M48-M54); (d) DT-driven furnace zone optimisation using CFD-calibrated temperature models [CLM-016, SRC-ED-010]</w:t>
            </w:r>
          </w:p>
        </w:tc>
        <w:tc>
          <w:tcPr>
            <w:tcW w:type="dxa" w:w="1317"/>
          </w:tcPr>
          <w:p>
            <w:r>
              <w:rPr>
                <w:sz w:val="16"/>
              </w:rPr>
              <w:t>Low-Medium</w:t>
            </w:r>
          </w:p>
        </w:tc>
      </w:tr>
      <w:tr>
        <w:tc>
          <w:tcPr>
            <w:tcW w:type="dxa" w:w="1317"/>
          </w:tcPr>
          <w:p>
            <w:r>
              <w:rPr>
                <w:sz w:val="16"/>
              </w:rPr>
              <w:t>R2</w:t>
            </w:r>
          </w:p>
        </w:tc>
        <w:tc>
          <w:tcPr>
            <w:tcW w:type="dxa" w:w="1317"/>
          </w:tcPr>
          <w:p>
            <w:r>
              <w:rPr>
                <w:sz w:val="16"/>
              </w:rPr>
              <w:t>**DT model accuracy at production scale**: Physics-based models (CFD, PBM, reaction kinetics) calibrated on literature data and vendor test data may not accurately predict production-scale behaviour</w:t>
            </w:r>
          </w:p>
        </w:tc>
        <w:tc>
          <w:tcPr>
            <w:tcW w:type="dxa" w:w="1317"/>
          </w:tcPr>
          <w:p>
            <w:r>
              <w:rPr>
                <w:sz w:val="16"/>
              </w:rPr>
              <w:t>Technical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Systematic model calibration protocol using commissioning batch data (M42-M48); (b) hybrid physics + ML approach where data-driven corrections compensate for model discrepancies [CLM-018, SRC-DT-REPORT]; (c) conservative initial operating setpoints with gradual DT-guided optimisation</w:t>
            </w:r>
          </w:p>
        </w:tc>
        <w:tc>
          <w:tcPr>
            <w:tcW w:type="dxa" w:w="1317"/>
          </w:tcPr>
          <w:p>
            <w:r>
              <w:rPr>
                <w:sz w:val="16"/>
              </w:rPr>
              <w:t>Low</w:t>
            </w:r>
          </w:p>
        </w:tc>
      </w:tr>
      <w:tr>
        <w:tc>
          <w:tcPr>
            <w:tcW w:type="dxa" w:w="1317"/>
          </w:tcPr>
          <w:p>
            <w:r>
              <w:rPr>
                <w:sz w:val="16"/>
              </w:rPr>
              <w:t>R3</w:t>
            </w:r>
          </w:p>
        </w:tc>
        <w:tc>
          <w:tcPr>
            <w:tcW w:type="dxa" w:w="1317"/>
          </w:tcPr>
          <w:p>
            <w:r>
              <w:rPr>
                <w:sz w:val="16"/>
              </w:rPr>
              <w:t>**Sensor degradation at high temperature**: Raman probes, thermocouples, and O2 sensors operating at &gt;600 C may experience fouling, drift, or failure during extended calcination campaigns</w:t>
            </w:r>
          </w:p>
        </w:tc>
        <w:tc>
          <w:tcPr>
            <w:tcW w:type="dxa" w:w="1317"/>
          </w:tcPr>
          <w:p>
            <w:r>
              <w:rPr>
                <w:sz w:val="16"/>
              </w:rPr>
              <w:t>Technical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Redundant sensing architecture: multiple sensor types for each critical measurement (thermocouples + pyrometers + IR cameras for temperature; Raman + XRD at-line for phase purity) [CLM-019]; (b) scheduled preventive maintenance with sensor replacement intervals defined by vendor specifications; (c) virtual sensors (ML-inferred predictions from correlated measurements) as backup when physical sensors are offline</w:t>
            </w:r>
          </w:p>
        </w:tc>
        <w:tc>
          <w:tcPr>
            <w:tcW w:type="dxa" w:w="1317"/>
          </w:tcPr>
          <w:p>
            <w:r>
              <w:rPr>
                <w:sz w:val="16"/>
              </w:rPr>
              <w:t>Low</w:t>
            </w:r>
          </w:p>
        </w:tc>
      </w:tr>
      <w:tr>
        <w:tc>
          <w:tcPr>
            <w:tcW w:type="dxa" w:w="1317"/>
          </w:tcPr>
          <w:p>
            <w:r>
              <w:rPr>
                <w:sz w:val="16"/>
              </w:rPr>
              <w:t>R4</w:t>
            </w:r>
          </w:p>
        </w:tc>
        <w:tc>
          <w:tcPr>
            <w:tcW w:type="dxa" w:w="1317"/>
          </w:tcPr>
          <w:p>
            <w:r>
              <w:rPr>
                <w:sz w:val="16"/>
              </w:rPr>
              <w:t>**Supply chain disruption (precursors)**: Interruption of iron phosphate, lithium carbonate, or glucose supply due to market disruption, supplier failure, or logistics delays</w:t>
            </w:r>
          </w:p>
        </w:tc>
        <w:tc>
          <w:tcPr>
            <w:tcW w:type="dxa" w:w="1317"/>
          </w:tcPr>
          <w:p>
            <w:r>
              <w:rPr>
                <w:sz w:val="16"/>
              </w:rPr>
              <w:t>Supply Chain</w:t>
            </w:r>
          </w:p>
        </w:tc>
        <w:tc>
          <w:tcPr>
            <w:tcW w:type="dxa" w:w="1317"/>
          </w:tcPr>
          <w:p>
            <w:r>
              <w:rPr>
                <w:sz w:val="16"/>
              </w:rPr>
              <w:t>Low</w:t>
            </w:r>
          </w:p>
        </w:tc>
        <w:tc>
          <w:tcPr>
            <w:tcW w:type="dxa" w:w="1317"/>
          </w:tcPr>
          <w:p>
            <w:r>
              <w:rPr>
                <w:sz w:val="16"/>
              </w:rPr>
              <w:t>High</w:t>
            </w:r>
          </w:p>
        </w:tc>
        <w:tc>
          <w:tcPr>
            <w:tcW w:type="dxa" w:w="1317"/>
          </w:tcPr>
          <w:p>
            <w:r>
              <w:rPr>
                <w:sz w:val="16"/>
              </w:rPr>
              <w:t>**Medium**</w:t>
            </w:r>
          </w:p>
        </w:tc>
        <w:tc>
          <w:tcPr>
            <w:tcW w:type="dxa" w:w="1317"/>
          </w:tcPr>
          <w:p>
            <w:r>
              <w:rPr>
                <w:sz w:val="16"/>
              </w:rPr>
              <w:t>(a) Dual sourcing strategy with qualified primary and backup suppliers for each precursor; (b) strategic inventory buffer (minimum 3 months of key precursors); (c) regular supplier risk assessment and supply chain monitoring; (d) long-term supply agreements with price hedging where commercially available</w:t>
            </w:r>
          </w:p>
        </w:tc>
        <w:tc>
          <w:tcPr>
            <w:tcW w:type="dxa" w:w="1317"/>
          </w:tcPr>
          <w:p>
            <w:r>
              <w:rPr>
                <w:sz w:val="16"/>
              </w:rPr>
              <w:t>Low</w:t>
            </w:r>
          </w:p>
        </w:tc>
      </w:tr>
      <w:tr>
        <w:tc>
          <w:tcPr>
            <w:tcW w:type="dxa" w:w="1317"/>
          </w:tcPr>
          <w:p>
            <w:r>
              <w:rPr>
                <w:sz w:val="16"/>
              </w:rPr>
              <w:t>R5</w:t>
            </w:r>
          </w:p>
        </w:tc>
        <w:tc>
          <w:tcPr>
            <w:tcW w:type="dxa" w:w="1317"/>
          </w:tcPr>
          <w:p>
            <w:r>
              <w:rPr>
                <w:sz w:val="16"/>
              </w:rPr>
              <w:t>**Permitting delays**: Italian environmental (VIA) or integrated (AIA) permitting processes exceed expected timelines due to regulatory complexity, additional information requests, or political delays</w:t>
            </w:r>
          </w:p>
        </w:tc>
        <w:tc>
          <w:tcPr>
            <w:tcW w:type="dxa" w:w="1317"/>
          </w:tcPr>
          <w:p>
            <w:r>
              <w:rPr>
                <w:sz w:val="16"/>
              </w:rPr>
              <w:t>Regulatory</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Early engagement with Regione Puglia and MASE permitting authorities, including pre-consultation meetings; (b) Eni's established relationships with Brindisi local authorities based on decades of site operation; (c) engagement of experienced Italian environmental permitting consultants; (d) schedule buffer of 3 months between expected permit receipt and construction start</w:t>
            </w:r>
          </w:p>
        </w:tc>
        <w:tc>
          <w:tcPr>
            <w:tcW w:type="dxa" w:w="1317"/>
          </w:tcPr>
          <w:p>
            <w:r>
              <w:rPr>
                <w:sz w:val="16"/>
              </w:rPr>
              <w:t>Low-Medium</w:t>
            </w:r>
          </w:p>
        </w:tc>
      </w:tr>
      <w:tr>
        <w:tc>
          <w:tcPr>
            <w:tcW w:type="dxa" w:w="1317"/>
          </w:tcPr>
          <w:p>
            <w:r>
              <w:rPr>
                <w:sz w:val="16"/>
              </w:rPr>
              <w:t>R6</w:t>
            </w:r>
          </w:p>
        </w:tc>
        <w:tc>
          <w:tcPr>
            <w:tcW w:type="dxa" w:w="1317"/>
          </w:tcPr>
          <w:p>
            <w:r>
              <w:rPr>
                <w:sz w:val="16"/>
              </w:rPr>
              <w:t>**Grid electricity cost volatility**: Fluctuations in Italian wholesale electricity prices affecting operating cost competitiveness of the electrified process</w:t>
            </w:r>
          </w:p>
        </w:tc>
        <w:tc>
          <w:tcPr>
            <w:tcW w:type="dxa" w:w="1317"/>
          </w:tcPr>
          <w:p>
            <w:r>
              <w:rPr>
                <w:sz w:val="16"/>
              </w:rPr>
              <w:t>Financial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Long-term Power Purchase Agreement (PPA) with renewable electricity provider to lock in energy costs; (b) option for on-site photovoltaic capacity to partially self-supply (Brindisi has excellent solar irradiance ~1,700 kWh/m2/yr); (c) electricity cost sensitivity analysis included in financial model with breakeven scenarios</w:t>
            </w:r>
          </w:p>
        </w:tc>
        <w:tc>
          <w:tcPr>
            <w:tcW w:type="dxa" w:w="1317"/>
          </w:tcPr>
          <w:p>
            <w:r>
              <w:rPr>
                <w:sz w:val="16"/>
              </w:rPr>
              <w:t>Low-Medium</w:t>
            </w:r>
          </w:p>
        </w:tc>
      </w:tr>
      <w:tr>
        <w:tc>
          <w:tcPr>
            <w:tcW w:type="dxa" w:w="1317"/>
          </w:tcPr>
          <w:p>
            <w:r>
              <w:rPr>
                <w:sz w:val="16"/>
              </w:rPr>
              <w:t>R7</w:t>
            </w:r>
          </w:p>
        </w:tc>
        <w:tc>
          <w:tcPr>
            <w:tcW w:type="dxa" w:w="1317"/>
          </w:tcPr>
          <w:p>
            <w:r>
              <w:rPr>
                <w:sz w:val="16"/>
              </w:rPr>
              <w:t>**Competitor entry into European LFP CAM market**: FREYR (Finland), CATL (European facility), or other entrants may establish EU LFP CAM production capacity before or concurrent with the Brindisi plant</w:t>
            </w:r>
          </w:p>
        </w:tc>
        <w:tc>
          <w:tcPr>
            <w:tcW w:type="dxa" w:w="1317"/>
          </w:tcPr>
          <w:p>
            <w:r>
              <w:rPr>
                <w:sz w:val="16"/>
              </w:rPr>
              <w:t>Market</w:t>
            </w:r>
          </w:p>
        </w:tc>
        <w:tc>
          <w:tcPr>
            <w:tcW w:type="dxa" w:w="1317"/>
          </w:tcPr>
          <w:p>
            <w:r>
              <w:rPr>
                <w:sz w:val="16"/>
              </w:rPr>
              <w:t>Low</w:t>
            </w:r>
          </w:p>
        </w:tc>
        <w:tc>
          <w:tcPr>
            <w:tcW w:type="dxa" w:w="1317"/>
          </w:tcPr>
          <w:p>
            <w:r>
              <w:rPr>
                <w:sz w:val="16"/>
              </w:rPr>
              <w:t>Low</w:t>
            </w:r>
          </w:p>
        </w:tc>
        <w:tc>
          <w:tcPr>
            <w:tcW w:type="dxa" w:w="1317"/>
          </w:tcPr>
          <w:p>
            <w:r>
              <w:rPr>
                <w:sz w:val="16"/>
              </w:rPr>
              <w:t>**Low**</w:t>
            </w:r>
          </w:p>
        </w:tc>
        <w:tc>
          <w:tcPr>
            <w:tcW w:type="dxa" w:w="1317"/>
          </w:tcPr>
          <w:p>
            <w:r>
              <w:rPr>
                <w:sz w:val="16"/>
              </w:rPr>
              <w:t>(a) **Offtake risk eliminated**: Eni is the direct internal customer through the co-located FIB-Eni JV battery cell and BESS factory — captive demand absorbs production regardless of external market dynamics; (b) first-mover advantage in Southern Europe with proximity to Mediterranean automotive and ESS markets; (c) DT-driven quality differentiation providing superior batch consistency and lower scrap rates [CLM-007]; (d) FREYR's project faces schedule and financing uncertainty (US priority, no FID) [CLM-029]; (e) growing EU LFP CAM demand exceeds any single project's capacity</w:t>
            </w:r>
          </w:p>
        </w:tc>
        <w:tc>
          <w:tcPr>
            <w:tcW w:type="dxa" w:w="1317"/>
          </w:tcPr>
          <w:p>
            <w:r>
              <w:rPr>
                <w:sz w:val="16"/>
              </w:rPr>
              <w:t>Very Low</w:t>
            </w:r>
          </w:p>
        </w:tc>
      </w:tr>
      <w:tr>
        <w:tc>
          <w:tcPr>
            <w:tcW w:type="dxa" w:w="1317"/>
          </w:tcPr>
          <w:p>
            <w:r>
              <w:rPr>
                <w:sz w:val="16"/>
              </w:rPr>
              <w:t>R11</w:t>
            </w:r>
          </w:p>
        </w:tc>
        <w:tc>
          <w:tcPr>
            <w:tcW w:type="dxa" w:w="1317"/>
          </w:tcPr>
          <w:p>
            <w:r>
              <w:rPr>
                <w:sz w:val="16"/>
              </w:rPr>
              <w:t>**Offtake risk**: Inability to secure commercial customers for LFP CAM output</w:t>
            </w:r>
          </w:p>
        </w:tc>
        <w:tc>
          <w:tcPr>
            <w:tcW w:type="dxa" w:w="1317"/>
          </w:tcPr>
          <w:p>
            <w:r>
              <w:rPr>
                <w:sz w:val="16"/>
              </w:rPr>
              <w:t>Market</w:t>
            </w:r>
          </w:p>
        </w:tc>
        <w:tc>
          <w:tcPr>
            <w:tcW w:type="dxa" w:w="1317"/>
          </w:tcPr>
          <w:p>
            <w:r>
              <w:rPr>
                <w:sz w:val="16"/>
              </w:rPr>
              <w:t>Very Low</w:t>
            </w:r>
          </w:p>
        </w:tc>
        <w:tc>
          <w:tcPr>
            <w:tcW w:type="dxa" w:w="1317"/>
          </w:tcPr>
          <w:p>
            <w:r>
              <w:rPr>
                <w:sz w:val="16"/>
              </w:rPr>
              <w:t>High</w:t>
            </w:r>
          </w:p>
        </w:tc>
        <w:tc>
          <w:tcPr>
            <w:tcW w:type="dxa" w:w="1317"/>
          </w:tcPr>
          <w:p>
            <w:r>
              <w:rPr>
                <w:sz w:val="16"/>
              </w:rPr>
              <w:t>**Very Low**</w:t>
            </w:r>
          </w:p>
        </w:tc>
        <w:tc>
          <w:tcPr>
            <w:tcW w:type="dxa" w:w="1317"/>
          </w:tcPr>
          <w:p>
            <w:r>
              <w:rPr>
                <w:sz w:val="16"/>
              </w:rPr>
              <w:t>**ELIMINATED.** Eni is the guaranteed internal offtaker through the co-located FIB-Eni JV battery cell and BESS manufacturing facility at the same Brindisi site. The JV factory converts the LFP CAM into cells and BESS systems that Eni deploys on the Italian electricity grid. This captive internal demand eliminates the need for external offtake agreements as a prerequisite for financial close. Additional external sales to European cell manufacturers remain an upside opportunity.</w:t>
            </w:r>
          </w:p>
        </w:tc>
        <w:tc>
          <w:tcPr>
            <w:tcW w:type="dxa" w:w="1317"/>
          </w:tcPr>
          <w:p>
            <w:r>
              <w:rPr>
                <w:sz w:val="16"/>
              </w:rPr>
              <w:t>Negligible</w:t>
            </w:r>
          </w:p>
        </w:tc>
      </w:tr>
      <w:tr>
        <w:tc>
          <w:tcPr>
            <w:tcW w:type="dxa" w:w="1317"/>
          </w:tcPr>
          <w:p>
            <w:r>
              <w:rPr>
                <w:sz w:val="16"/>
              </w:rPr>
              <w:t>R12</w:t>
            </w:r>
          </w:p>
        </w:tc>
        <w:tc>
          <w:tcPr>
            <w:tcW w:type="dxa" w:w="1317"/>
          </w:tcPr>
          <w:p>
            <w:r>
              <w:rPr>
                <w:sz w:val="16"/>
              </w:rPr>
              <w:t>**Quality feedback latency**: Delayed feedback from cell manufacturers on CAM quality impacts process optimisation cycle time</w:t>
            </w:r>
          </w:p>
        </w:tc>
        <w:tc>
          <w:tcPr>
            <w:tcW w:type="dxa" w:w="1317"/>
          </w:tcPr>
          <w:p>
            <w:r>
              <w:rPr>
                <w:sz w:val="16"/>
              </w:rPr>
              <w:t>Technical</w:t>
            </w:r>
          </w:p>
        </w:tc>
        <w:tc>
          <w:tcPr>
            <w:tcW w:type="dxa" w:w="1317"/>
          </w:tcPr>
          <w:p>
            <w:r>
              <w:rPr>
                <w:sz w:val="16"/>
              </w:rPr>
              <w:t>Very Low</w:t>
            </w:r>
          </w:p>
        </w:tc>
        <w:tc>
          <w:tcPr>
            <w:tcW w:type="dxa" w:w="1317"/>
          </w:tcPr>
          <w:p>
            <w:r>
              <w:rPr>
                <w:sz w:val="16"/>
              </w:rPr>
              <w:t>Medium</w:t>
            </w:r>
          </w:p>
        </w:tc>
        <w:tc>
          <w:tcPr>
            <w:tcW w:type="dxa" w:w="1317"/>
          </w:tcPr>
          <w:p>
            <w:r>
              <w:rPr>
                <w:sz w:val="16"/>
              </w:rPr>
              <w:t>**Very Low**</w:t>
            </w:r>
          </w:p>
        </w:tc>
        <w:tc>
          <w:tcPr>
            <w:tcW w:type="dxa" w:w="1317"/>
          </w:tcPr>
          <w:p>
            <w:r>
              <w:rPr>
                <w:sz w:val="16"/>
              </w:rPr>
              <w:t>**ELIMINATED.** The co-located JV battery cell factory provides immediate quality feedback from cell manufacturing to CAM process optimisation. Cell performance data feeds directly into the DT quality prediction models, enabling rapid closed-loop quality improvement that standalone CAM producers selling to distant external customers cannot achieve.</w:t>
            </w:r>
          </w:p>
        </w:tc>
        <w:tc>
          <w:tcPr>
            <w:tcW w:type="dxa" w:w="1317"/>
          </w:tcPr>
          <w:p>
            <w:r>
              <w:rPr>
                <w:sz w:val="16"/>
              </w:rPr>
              <w:t>Negligible</w:t>
            </w:r>
          </w:p>
        </w:tc>
      </w:tr>
      <w:tr>
        <w:tc>
          <w:tcPr>
            <w:tcW w:type="dxa" w:w="1317"/>
          </w:tcPr>
          <w:p>
            <w:r>
              <w:rPr>
                <w:sz w:val="16"/>
              </w:rPr>
              <w:t>R8</w:t>
            </w:r>
          </w:p>
        </w:tc>
        <w:tc>
          <w:tcPr>
            <w:tcW w:type="dxa" w:w="1317"/>
          </w:tcPr>
          <w:p>
            <w:r>
              <w:rPr>
                <w:sz w:val="16"/>
              </w:rPr>
              <w:t>**DT-process coupling latency**: Closed-loop model predictive control (MPC) may not achieve required response times for real-time furnace control</w:t>
            </w:r>
          </w:p>
        </w:tc>
        <w:tc>
          <w:tcPr>
            <w:tcW w:type="dxa" w:w="1317"/>
          </w:tcPr>
          <w:p>
            <w:r>
              <w:rPr>
                <w:sz w:val="16"/>
              </w:rPr>
              <w:t>Technical</w:t>
            </w:r>
          </w:p>
        </w:tc>
        <w:tc>
          <w:tcPr>
            <w:tcW w:type="dxa" w:w="1317"/>
          </w:tcPr>
          <w:p>
            <w:r>
              <w:rPr>
                <w:sz w:val="16"/>
              </w:rPr>
              <w:t>Low</w:t>
            </w:r>
          </w:p>
        </w:tc>
        <w:tc>
          <w:tcPr>
            <w:tcW w:type="dxa" w:w="1317"/>
          </w:tcPr>
          <w:p>
            <w:r>
              <w:rPr>
                <w:sz w:val="16"/>
              </w:rPr>
              <w:t>Medium</w:t>
            </w:r>
          </w:p>
        </w:tc>
        <w:tc>
          <w:tcPr>
            <w:tcW w:type="dxa" w:w="1317"/>
          </w:tcPr>
          <w:p>
            <w:r>
              <w:rPr>
                <w:sz w:val="16"/>
              </w:rPr>
              <w:t>**Low**</w:t>
            </w:r>
          </w:p>
        </w:tc>
        <w:tc>
          <w:tcPr>
            <w:tcW w:type="dxa" w:w="1317"/>
          </w:tcPr>
          <w:p>
            <w:r>
              <w:rPr>
                <w:sz w:val="16"/>
              </w:rPr>
              <w:t>(a) Edge computing architecture for time-critical control loops with &lt;10 ms latency; (b) surrogate models (PINNs) providing real-time inference (&lt;1 second) replacing full CFD computation; (c) fallback to conventional PID control if MPC latency exceeds process time constant [SRC-DT-REPORT]</w:t>
            </w:r>
          </w:p>
        </w:tc>
        <w:tc>
          <w:tcPr>
            <w:tcW w:type="dxa" w:w="1317"/>
          </w:tcPr>
          <w:p>
            <w:r>
              <w:rPr>
                <w:sz w:val="16"/>
              </w:rPr>
              <w:t>Very Low</w:t>
            </w:r>
          </w:p>
        </w:tc>
      </w:tr>
      <w:tr>
        <w:tc>
          <w:tcPr>
            <w:tcW w:type="dxa" w:w="1317"/>
          </w:tcPr>
          <w:p>
            <w:r>
              <w:rPr>
                <w:sz w:val="16"/>
              </w:rPr>
              <w:t>R9</w:t>
            </w:r>
          </w:p>
        </w:tc>
        <w:tc>
          <w:tcPr>
            <w:tcW w:type="dxa" w:w="1317"/>
          </w:tcPr>
          <w:p>
            <w:r>
              <w:rPr>
                <w:sz w:val="16"/>
              </w:rPr>
              <w:t>**Construction cost overrun**: Civil works, equipment installation, or commissioning costs exceed budget due to material price increases, scope changes, or unforeseen site conditions</w:t>
            </w:r>
          </w:p>
        </w:tc>
        <w:tc>
          <w:tcPr>
            <w:tcW w:type="dxa" w:w="1317"/>
          </w:tcPr>
          <w:p>
            <w:r>
              <w:rPr>
                <w:sz w:val="16"/>
              </w:rPr>
              <w:t>Financial</w:t>
            </w:r>
          </w:p>
        </w:tc>
        <w:tc>
          <w:tcPr>
            <w:tcW w:type="dxa" w:w="1317"/>
          </w:tcPr>
          <w:p>
            <w:r>
              <w:rPr>
                <w:sz w:val="16"/>
              </w:rPr>
              <w:t>Medium</w:t>
            </w:r>
          </w:p>
        </w:tc>
        <w:tc>
          <w:tcPr>
            <w:tcW w:type="dxa" w:w="1317"/>
          </w:tcPr>
          <w:p>
            <w:r>
              <w:rPr>
                <w:sz w:val="16"/>
              </w:rPr>
              <w:t>Medium</w:t>
            </w:r>
          </w:p>
        </w:tc>
        <w:tc>
          <w:tcPr>
            <w:tcW w:type="dxa" w:w="1317"/>
          </w:tcPr>
          <w:p>
            <w:r>
              <w:rPr>
                <w:sz w:val="16"/>
              </w:rPr>
              <w:t>**Medium**</w:t>
            </w:r>
          </w:p>
        </w:tc>
        <w:tc>
          <w:tcPr>
            <w:tcW w:type="dxa" w:w="1317"/>
          </w:tcPr>
          <w:p>
            <w:r>
              <w:rPr>
                <w:sz w:val="16"/>
              </w:rPr>
              <w:t>(a) Fixed-price EPC contracts where feasible; (b) contingency budget allocation (typically 10-15% of CAPEX) [TO BE COMPLETED: Specific contingency percentage to be confirmed by CFO team]; (c) value engineering during FEED to identify cost optimisation opportunities; (d) brownfield site reduces civil works scope vs greenfield</w:t>
            </w:r>
          </w:p>
        </w:tc>
        <w:tc>
          <w:tcPr>
            <w:tcW w:type="dxa" w:w="1317"/>
          </w:tcPr>
          <w:p>
            <w:r>
              <w:rPr>
                <w:sz w:val="16"/>
              </w:rPr>
              <w:t>Low-Medium</w:t>
            </w:r>
          </w:p>
        </w:tc>
      </w:tr>
      <w:tr>
        <w:tc>
          <w:tcPr>
            <w:tcW w:type="dxa" w:w="1317"/>
          </w:tcPr>
          <w:p>
            <w:r>
              <w:rPr>
                <w:sz w:val="16"/>
              </w:rPr>
              <w:t>R10</w:t>
            </w:r>
          </w:p>
        </w:tc>
        <w:tc>
          <w:tcPr>
            <w:tcW w:type="dxa" w:w="1317"/>
          </w:tcPr>
          <w:p>
            <w:r>
              <w:rPr>
                <w:sz w:val="16"/>
              </w:rPr>
              <w:t>**Key personnel dependency**: Loss of critical project team members (Project Manager, Technical Director, DT Lead) could delay execution</w:t>
            </w:r>
          </w:p>
        </w:tc>
        <w:tc>
          <w:tcPr>
            <w:tcW w:type="dxa" w:w="1317"/>
          </w:tcPr>
          <w:p>
            <w:r>
              <w:rPr>
                <w:sz w:val="16"/>
              </w:rPr>
              <w:t>Operational</w:t>
            </w:r>
          </w:p>
        </w:tc>
        <w:tc>
          <w:tcPr>
            <w:tcW w:type="dxa" w:w="1317"/>
          </w:tcPr>
          <w:p>
            <w:r>
              <w:rPr>
                <w:sz w:val="16"/>
              </w:rPr>
              <w:t>Low</w:t>
            </w:r>
          </w:p>
        </w:tc>
        <w:tc>
          <w:tcPr>
            <w:tcW w:type="dxa" w:w="1317"/>
          </w:tcPr>
          <w:p>
            <w:r>
              <w:rPr>
                <w:sz w:val="16"/>
              </w:rPr>
              <w:t>Medium</w:t>
            </w:r>
          </w:p>
        </w:tc>
        <w:tc>
          <w:tcPr>
            <w:tcW w:type="dxa" w:w="1317"/>
          </w:tcPr>
          <w:p>
            <w:r>
              <w:rPr>
                <w:sz w:val="16"/>
              </w:rPr>
              <w:t>**Low**</w:t>
            </w:r>
          </w:p>
        </w:tc>
        <w:tc>
          <w:tcPr>
            <w:tcW w:type="dxa" w:w="1317"/>
          </w:tcPr>
          <w:p>
            <w:r>
              <w:rPr>
                <w:sz w:val="16"/>
              </w:rPr>
              <w:t>(a) Documented procedures and knowledge management system; (b) deputy roles defined for all key positions; (c) cross-training within the DT working group; (d) FIB and Eni corporate resources available as backup</w:t>
            </w:r>
          </w:p>
        </w:tc>
        <w:tc>
          <w:tcPr>
            <w:tcW w:type="dxa" w:w="1317"/>
          </w:tcPr>
          <w:p>
            <w:r>
              <w:rPr>
                <w:sz w:val="16"/>
              </w:rPr>
              <w:t>Very Low</w:t>
            </w:r>
          </w:p>
        </w:tc>
      </w:tr>
    </w:tbl>
    <w:p>
      <w:pPr>
        <w:pStyle w:val="Heading2"/>
      </w:pPr>
      <w:r>
        <w:t>Overall Risk Assessment</w:t>
      </w:r>
    </w:p>
    <w:p>
      <w:r>
        <w:rPr>
          <w:sz w:val="18"/>
        </w:rPr>
        <w:t xml:space="preserve">The project's overall risk profile is </w:t>
      </w:r>
      <w:r>
        <w:rPr>
          <w:b/>
          <w:sz w:val="18"/>
        </w:rPr>
        <w:t>medium-low</w:t>
      </w:r>
      <w:r>
        <w:rPr>
          <w:sz w:val="18"/>
        </w:rPr>
        <w:t xml:space="preserve">, which is stronger than typical for an industrial-scale manufacturing project at the pre-FID stage. The highest individual risk (R1, calcination scale-up) is managed through the piloting-before-procurement strategy and the phased production ramp-up. The digital twin itself serves as a risk mitigation instrument: by providing real-time process visibility and predictive quality monitoring, the DT reduces the probability and impact of technical risks R1-R3 during the operational phase </w:t>
      </w:r>
      <w:r>
        <w:rPr>
          <w:color w:val="0066CC"/>
          <w:sz w:val="16"/>
        </w:rPr>
        <w:t>[CLM-007]</w:t>
      </w:r>
      <w:r>
        <w:rPr>
          <w:sz w:val="18"/>
        </w:rPr>
        <w:t>.</w:t>
      </w:r>
    </w:p>
    <w:p>
      <w:r>
        <w:rPr>
          <w:sz w:val="18"/>
        </w:rPr>
        <w:t>The vertically integrated value chain provides a structural risk mitigation that fundamentally differentiates this project from standalone CAM manufacturing ventures: (i) offtake risk is eliminated through Eni's role as guaranteed internal customer via the co-located JV factory; (ii) market risk from competitor entry is reduced to a low residual level by captive internal demand; and (iii) quality feedback risk is eliminated by the immediate data loop from co-located cell manufacturing to CAM process optimisation. These structural advantages are unique to the FAAM-ENI consortium and cannot be replicated by standalone CAM producers.</w:t>
      </w:r>
    </w:p>
    <w:p>
      <w:r>
        <w:rPr>
          <w:sz w:val="18"/>
        </w:rPr>
        <w:t>No identified risk is assessed as unmitigable, and no risk threatens the fundamental technical or economic viability of the project. The risk register will be maintained as a living document, reviewed quarterly by the Technical Committee, and updated at each work package milestone.</w:t>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CLM-007, CLM-008, CLM-009, CLM-011, CLM-013, CLM-014, CLM-017, CLM-018, CLM-022, CLM-028, CLM-029</w:t>
        <w:br/>
      </w:r>
      <w:r>
        <w:rPr>
          <w:color w:val="856304"/>
          <w:sz w:val="16"/>
        </w:rPr>
        <w:t>OPEN ISSUES:</w:t>
        <w:br/>
      </w:r>
      <w:r>
        <w:rPr>
          <w:color w:val="856304"/>
          <w:sz w:val="16"/>
        </w:rPr>
        <w:t xml:space="preserve">  - TO BE COMPLETED: specific FTE numbers to be provided by FIB HR planning</w:t>
        <w:br/>
      </w:r>
      <w:r>
        <w:rPr>
          <w:color w:val="856304"/>
          <w:sz w:val="16"/>
        </w:rPr>
        <w:t>WORD COUNT: 4251</w:t>
        <w:br/>
      </w:r>
    </w:p>
    <w:p>
      <w:pPr>
        <w:pStyle w:val="Heading1"/>
      </w:pPr>
      <w:r>
        <w:t>Section 4 — Replicability</w:t>
      </w:r>
    </w:p>
    <w:p>
      <w:pPr>
        <w:pStyle w:val="Heading2"/>
      </w:pPr>
      <w:r>
        <w:t>4.1a Replicability in Terms of Efficiency Gains and Multiple Environmental Impacts</w:t>
      </w:r>
    </w:p>
    <w:p>
      <w:pPr>
        <w:pStyle w:val="Heading3"/>
      </w:pPr>
      <w:r>
        <w:t>Efficient Use of Critical Raw Materials</w:t>
      </w:r>
    </w:p>
    <w:p>
      <w:r>
        <w:rPr>
          <w:sz w:val="18"/>
        </w:rPr>
        <w:t xml:space="preserve">The FAAM-ENI Circular Energy project is strategically positioned around </w:t>
      </w:r>
      <w:r>
        <w:rPr>
          <w:b/>
          <w:sz w:val="18"/>
        </w:rPr>
        <w:t>LFP chemistry (LiFePO4)</w:t>
      </w:r>
      <w:r>
        <w:rPr>
          <w:sz w:val="18"/>
        </w:rPr>
        <w:t>, which offers fundamental advantages in critical raw material efficiency compared to nickel-cobalt-manganese (NMC) and nickel-cobalt-aluminium (NCA) cathode chemistries that dominate the current European battery supply chain:</w:t>
      </w:r>
    </w:p>
    <w:p>
      <w:r>
        <w:rPr>
          <w:b/>
          <w:sz w:val="18"/>
        </w:rPr>
        <w:t>Iron and phosphorus abundance.</w:t>
      </w:r>
      <w:r>
        <w:rPr>
          <w:sz w:val="18"/>
        </w:rPr>
        <w:t xml:space="preserve"> LFP uses iron — the fourth most abundant element in the Earth's crust — as its transition metal, eliminating dependency on cobalt (a conflict mineral with concentrated supply in the DRC) and nickel (subject to significant price volatility and geopolitical supply risk). Phosphorus, sourced as iron phosphate (FePO4), is the binding constraint among LFP feedstocks, but global phosphate rock reserves exceed 70 billion tonnes with diversified geographic supply Iron phosphate consumption is 0.98 t per tonne of LFP CAM (49,000 t/yr at full capacity). Global phosphate rock reserves exceed 70 billion tonnes with diversified geographic supply (USGS Mineral Commodity Summaries).</w:t>
      </w:r>
    </w:p>
    <w:p>
      <w:r>
        <w:rPr>
          <w:b/>
          <w:sz w:val="18"/>
        </w:rPr>
        <w:t>Lithium efficiency.</w:t>
      </w:r>
      <w:r>
        <w:rPr>
          <w:sz w:val="18"/>
        </w:rPr>
        <w:t xml:space="preserve"> LFP requires approximately 42 g Li per kWh of cell capacity compared to 50-75 g/kWh for NMC chemistries, representing a 20-44% reduction in lithium intensity per unit of stored energy lithium intensity comparison based on stoichiometric calculations; the Brindisi plant consumes 0.25 t Li2CO3 per tonne LFP CAM (12,500 t/yr at full 50 kton/yr capacity).</w:t>
      </w:r>
    </w:p>
    <w:p>
      <w:r>
        <w:rPr>
          <w:b/>
          <w:sz w:val="18"/>
        </w:rPr>
        <w:t>Digital twin-driven material yield optimisation.</w:t>
      </w:r>
      <w:r>
        <w:rPr>
          <w:sz w:val="18"/>
        </w:rPr>
        <w:t xml:space="preserve"> The integrated DT framework directly reduces raw material waste through two mechanisms: (1) predictive quality control reduces scrap rates by 10-50% </w:t>
      </w:r>
      <w:r>
        <w:rPr>
          <w:color w:val="0066CC"/>
          <w:sz w:val="16"/>
        </w:rPr>
        <w:t>[CLM-007]</w:t>
      </w:r>
      <w:r>
        <w:rPr>
          <w:sz w:val="18"/>
        </w:rPr>
        <w:t xml:space="preserve">, meaning fewer rejected batches consuming lithium, iron phosphate, and glucose inputs; and (2) real-time process parameter optimisation via model-predictive control minimises off-specification product that would require reprocessing or disposal. The Fraunhofer FFB demonstrated a 10.3% scrap rate reduction using DT-guided process optimisation in battery cell production </w:t>
      </w:r>
      <w:r>
        <w:rPr>
          <w:color w:val="0066CC"/>
          <w:sz w:val="16"/>
        </w:rPr>
        <w:t>[CLM-017]</w:t>
      </w:r>
      <w:r>
        <w:rPr>
          <w:sz w:val="18"/>
        </w:rPr>
        <w:t xml:space="preserve"> — the FAAM DT extends this approach upstream to CAM synthesis where material losses are proportionally more costly.</w:t>
      </w:r>
    </w:p>
    <w:p>
      <w:pPr>
        <w:pStyle w:val="Heading3"/>
      </w:pPr>
      <w:r>
        <w:t>Circular Economy and Recyclability</w:t>
      </w:r>
    </w:p>
    <w:p>
      <w:r>
        <w:rPr>
          <w:sz w:val="18"/>
        </w:rPr>
        <w:t>LFP chemistry provides intrinsic circular economy advantages:</w:t>
      </w:r>
    </w:p>
    <w:p>
      <w:r>
        <w:rPr>
          <w:b/>
          <w:sz w:val="18"/>
        </w:rPr>
        <w:t>Simplified recycling pathway.</w:t>
      </w:r>
      <w:r>
        <w:rPr>
          <w:sz w:val="18"/>
        </w:rPr>
        <w:t xml:space="preserve"> The absence of cobalt and nickel in LFP eliminates the most complex and environmentally hazardous steps in cathode recycling (selective precipitation of Co/Ni from mixed metal solutions). LFP recycling focuses on lithium recovery — a less technically challenging separation — and iron phosphate recovery for direct re-use as precursor material. This positions the Brindisi plant's output as inherently more recyclable than NMC/NCA alternatives within the emerging EU Battery Regulation recycling framework.</w:t>
      </w:r>
    </w:p>
    <w:p>
      <w:r>
        <w:rPr>
          <w:b/>
          <w:sz w:val="18"/>
        </w:rPr>
        <w:t>Brownfield site reuse.</w:t>
      </w:r>
      <w:r>
        <w:rPr>
          <w:sz w:val="18"/>
        </w:rPr>
        <w:t xml:space="preserve"> The project converts an existing Eni industrial site in Brindisi (Puglia) from fossil fuel-related operations to clean-tech manufacturing, directly embodying circular land use principles. No greenfield land is consumed. Existing industrial infrastructure — utility connections, road/rail/port access, wastewater treatment capacity, electrical grid connections — is repurposed, avoiding the embodied carbon and environmental impact of new infrastructure development </w:t>
      </w:r>
      <w:r>
        <w:rPr>
          <w:color w:val="0066CC"/>
          <w:sz w:val="16"/>
        </w:rPr>
        <w:t>[CLM-022]</w:t>
      </w:r>
      <w:r>
        <w:rPr>
          <w:sz w:val="18"/>
        </w:rPr>
        <w:t>.</w:t>
      </w:r>
    </w:p>
    <w:p>
      <w:r>
        <w:rPr>
          <w:b/>
          <w:sz w:val="18"/>
        </w:rPr>
        <w:t>DT-enabled waste minimisation.</w:t>
      </w:r>
      <w:r>
        <w:rPr>
          <w:sz w:val="18"/>
        </w:rPr>
        <w:t xml:space="preserve"> The digital twin's Quality-by-Design framework systematically maps Critical Quality Attributes (D50 particle size 0.7-2.5 micrometer, SSA 10-14 m2/g, olivine phase purity &gt;98%, carbon content 1.0-1.8 wt%) to Critical Process Parameters </w:t>
      </w:r>
      <w:r>
        <w:rPr>
          <w:color w:val="0066CC"/>
          <w:sz w:val="16"/>
        </w:rPr>
        <w:t>[CLM-009]</w:t>
      </w:r>
      <w:r>
        <w:rPr>
          <w:sz w:val="18"/>
        </w:rPr>
        <w:t xml:space="preserve">, enabling right-first-time production that minimises process waste streams. Batch-to-batch variability reduction (&gt;40% demonstrated in comparable DT implementations </w:t>
      </w:r>
      <w:r>
        <w:rPr>
          <w:color w:val="0066CC"/>
          <w:sz w:val="16"/>
        </w:rPr>
        <w:t>[CLM-007]</w:t>
      </w:r>
      <w:r>
        <w:rPr>
          <w:sz w:val="18"/>
        </w:rPr>
        <w:t>) directly reduces the volume of off-specification material requiring rework or disposal.</w:t>
      </w:r>
    </w:p>
    <w:p>
      <w:pPr>
        <w:pStyle w:val="Heading3"/>
      </w:pPr>
      <w:r>
        <w:t>Water Management</w:t>
      </w:r>
    </w:p>
    <w:p>
      <w:r>
        <w:rPr>
          <w:sz w:val="18"/>
        </w:rPr>
        <w:t xml:space="preserve">LFP CAM production via the solid-state spray drying route uses water as a dispersing medium in the slurry preparation stage. The spray drying step evaporates this water to produce dry precursor powder. The Brindisi facility implements a </w:t>
      </w:r>
      <w:r>
        <w:rPr>
          <w:b/>
          <w:sz w:val="18"/>
        </w:rPr>
        <w:t>closed-loop water recovery system</w:t>
      </w:r>
      <w:r>
        <w:rPr>
          <w:sz w:val="18"/>
        </w:rPr>
        <w:t xml:space="preserve"> for the spray dryer: exhaust air from the spray dryer passes through condensation and filtration stages to recover evaporated water for recirculation to the slurry mixing tanks. This closed-loop design reduces freshwater intake by an estimated 70-85% compared to once-through water use water recovery efficiency estimate based on industrial spray dryer condensate recovery systems. The production document specifies 4 t production water and 5 t pure water per tonne LFP CAM; exact recovery rate to be optimised during detailed engineering.</w:t>
      </w:r>
    </w:p>
    <w:p>
      <w:r>
        <w:rPr>
          <w:sz w:val="18"/>
        </w:rPr>
        <w:t>No process water is discharged to surface water or marine environments. All non-recoverable water exits the facility as vapour in exhaust air (after HEPA filtration to remove particulate matter).</w:t>
      </w:r>
    </w:p>
    <w:p>
      <w:pPr>
        <w:pStyle w:val="Heading3"/>
      </w:pPr>
      <w:r>
        <w:t>Pollution Prevention</w:t>
      </w:r>
    </w:p>
    <w:p>
      <w:r>
        <w:rPr>
          <w:sz w:val="18"/>
        </w:rPr>
        <w:t>The electrified production design eliminates several pollution sources inherent to gas-fired LFP CAM manufacturing:</w:t>
      </w:r>
    </w:p>
    <w:p>
      <w:pPr>
        <w:pStyle w:val="ListBullet"/>
      </w:pPr>
      <w:r>
        <w:rPr>
          <w:b/>
          <w:sz w:val="18"/>
        </w:rPr>
        <w:t>Drastically reduced on-site combustion emissions</w:t>
      </w:r>
      <w:r>
        <w:rPr>
          <w:sz w:val="18"/>
        </w:rPr>
        <w:t xml:space="preserve">: The progressive electrification strategy achieves a 66.6% electrification rate at entry into operation, minimising natural gas use (189 m3/t in initial configuration versus fully gas-fired benchmark) and dramatically reducing NOx, SOx, CO, and particulate matter emissions. Conventional gas-fired rotary kilns generate approximately 0.5-2.0 kg NOx per tonne of product; the Brindisi plant's limited residual gas use produces a fraction of these emissions, with the electrification roadmap targeting &gt;95% electrification by Year 10 </w:t>
      </w:r>
      <w:r>
        <w:rPr>
          <w:color w:val="0066CC"/>
          <w:sz w:val="16"/>
        </w:rPr>
        <w:t>[CLM-011]</w:t>
      </w:r>
      <w:r>
        <w:rPr>
          <w:sz w:val="18"/>
        </w:rPr>
        <w:t>.</w:t>
      </w:r>
    </w:p>
    <w:p>
      <w:pPr>
        <w:pStyle w:val="ListBullet"/>
      </w:pPr>
      <w:r>
        <w:rPr>
          <w:b/>
          <w:sz w:val="18"/>
        </w:rPr>
        <w:t>Contained atmosphere processing</w:t>
      </w:r>
      <w:r>
        <w:rPr>
          <w:sz w:val="18"/>
        </w:rPr>
        <w:t xml:space="preserve">: Calcination under inert N2 atmosphere (pO2 &lt;10 ppm) prevents formation of Fe2O3 dust and eliminates fugitive iron oxide emissions </w:t>
      </w:r>
      <w:r>
        <w:rPr>
          <w:color w:val="0066CC"/>
          <w:sz w:val="16"/>
        </w:rPr>
        <w:t>[CLM-009]</w:t>
      </w:r>
      <w:r>
        <w:rPr>
          <w:sz w:val="18"/>
        </w:rPr>
        <w:t>.</w:t>
      </w:r>
    </w:p>
    <w:p>
      <w:pPr>
        <w:pStyle w:val="ListBullet"/>
      </w:pPr>
      <w:r>
        <w:rPr>
          <w:b/>
          <w:sz w:val="18"/>
        </w:rPr>
        <w:t>HEPA filtration</w:t>
      </w:r>
      <w:r>
        <w:rPr>
          <w:sz w:val="18"/>
        </w:rPr>
        <w:t>: All air handling systems incorporate HEPA filters to capture fine LFP powder (D50 0.7-2.5 micrometer range), preventing release of nano-scale particles to the environment.</w:t>
      </w:r>
    </w:p>
    <w:p>
      <w:pPr>
        <w:pStyle w:val="ListBullet"/>
      </w:pPr>
      <w:r>
        <w:rPr>
          <w:b/>
          <w:sz w:val="18"/>
        </w:rPr>
        <w:t>Closed milling systems</w:t>
      </w:r>
      <w:r>
        <w:rPr>
          <w:sz w:val="18"/>
        </w:rPr>
        <w:t>: Jet milling and ultrasonic sieving operate in enclosed systems with integrated dust collection, preventing fugitive dust emissions.</w:t>
      </w:r>
    </w:p>
    <w:p>
      <w:pPr>
        <w:pStyle w:val="Heading3"/>
      </w:pPr>
      <w:r>
        <w:t>Biodiversity Protection</w:t>
      </w:r>
    </w:p>
    <w:p>
      <w:r>
        <w:rPr>
          <w:sz w:val="18"/>
        </w:rPr>
        <w:t xml:space="preserve">The Brindisi site is a </w:t>
      </w:r>
      <w:r>
        <w:rPr>
          <w:b/>
          <w:sz w:val="18"/>
        </w:rPr>
        <w:t>designated industrial brownfield</w:t>
      </w:r>
      <w:r>
        <w:rPr>
          <w:sz w:val="18"/>
        </w:rPr>
        <w:t xml:space="preserve"> within an existing industrial zone. No greenfield conversion is involved. The project does not encroach on protected habitats, Natura 2000 sites, or areas of high biodiversity value. By repurposing an existing industrial site, the project avoids habitat conversion, soil sealing, and ecosystem fragmentation that would accompany a greenfield development. Where remediation of legacy contamination from prior fossil fuel operations is required, this represents a net positive for local environmental quality.</w:t>
      </w:r>
    </w:p>
    <w:p>
      <w:r>
        <w:rPr>
          <w:sz w:val="18"/>
        </w:rPr>
        <w:t>---</w:t>
      </w:r>
    </w:p>
    <w:p>
      <w:pPr>
        <w:pStyle w:val="Heading2"/>
      </w:pPr>
      <w:r>
        <w:t>4.1b Compliance with DNSH Technical Screening Criteria for Environmental Objectives Other Than Climate Change Mitigation</w:t>
      </w:r>
    </w:p>
    <w:p>
      <w:r>
        <w:rPr>
          <w:sz w:val="18"/>
        </w:rPr>
        <w:t>The DNSH compliance assessment for the five remaining environmental objectives under Regulation (EU) 2020/852 is presented below. Climate change mitigation was addressed in Section 2.3.</w:t>
      </w:r>
    </w:p>
    <w:p>
      <w:pPr>
        <w:pStyle w:val="Heading3"/>
      </w:pPr>
      <w:r>
        <w:t>1. Climate Change Adaptation</w:t>
      </w:r>
    </w:p>
    <w:p>
      <w:r>
        <w:rPr>
          <w:b/>
          <w:sz w:val="18"/>
        </w:rPr>
        <w:t>Assessment:</w:t>
      </w:r>
      <w:r>
        <w:rPr>
          <w:sz w:val="18"/>
        </w:rPr>
        <w:t xml:space="preserve"> The Brindisi facility is located in a coastal Mediterranean industrial zone in Puglia, Southern Italy. The site is exposed to climate change-related risks including increased summer temperatures (projected +1.5-2.5 C by 2050 under RCP4.5), intensified precipitation events, and potential coastal flooding/storm surge amplification.</w:t>
      </w:r>
    </w:p>
    <w:p>
      <w:r>
        <w:rPr>
          <w:b/>
          <w:sz w:val="18"/>
        </w:rPr>
        <w:t>Mitigation measures:</w:t>
      </w:r>
    </w:p>
    <w:p>
      <w:pPr>
        <w:pStyle w:val="ListBullet"/>
      </w:pPr>
      <w:r>
        <w:rPr>
          <w:b/>
          <w:sz w:val="18"/>
        </w:rPr>
        <w:t>Heat resilience</w:t>
      </w:r>
      <w:r>
        <w:rPr>
          <w:sz w:val="18"/>
        </w:rPr>
        <w:t>: Electric process equipment (roller hearth kilns, spray dryers) operates at design temperatures of 600-800 C and is inherently insensitive to ambient temperature fluctuations of 2-3 C. Building HVAC and DT server room cooling systems are designed with a 3 C safety margin above projected 2050 peak temperatures. Industrial operations are less vulnerable to heat stress than office environments; worker protection follows Italian D.Lgs. 81/2008 occupational heat stress protocols.</w:t>
      </w:r>
    </w:p>
    <w:p>
      <w:pPr>
        <w:pStyle w:val="ListBullet"/>
      </w:pPr>
      <w:r>
        <w:rPr>
          <w:b/>
          <w:sz w:val="18"/>
        </w:rPr>
        <w:t>Flood and storm surge resilience</w:t>
      </w:r>
      <w:r>
        <w:rPr>
          <w:sz w:val="18"/>
        </w:rPr>
        <w:t>: Site engineering incorporates a minimum 0.5 m elevation above the 500-year flood level (including sea level rise projections to 2070). Critical electrical infrastructure (transformers, DT server rooms, control systems) is elevated or flood-protected. Drainage systems are designed for a 1-in-100-year precipitation event with a 20% climate change allowance.</w:t>
      </w:r>
    </w:p>
    <w:p>
      <w:pPr>
        <w:pStyle w:val="ListBullet"/>
      </w:pPr>
      <w:r>
        <w:rPr>
          <w:b/>
          <w:sz w:val="18"/>
        </w:rPr>
        <w:t>Supply chain resilience</w:t>
      </w:r>
      <w:r>
        <w:rPr>
          <w:sz w:val="18"/>
        </w:rPr>
        <w:t>: Raw material storage provides a minimum 30-day buffer stock to mitigate disruption from extreme weather events affecting transport infrastructure. The DT's predictive scheduling module adjusts production planning to accommodate weather-related disruptions.</w:t>
      </w:r>
    </w:p>
    <w:p>
      <w:r>
        <w:rPr>
          <w:b/>
          <w:sz w:val="18"/>
        </w:rPr>
        <w:t>Compliance confirmation:</w:t>
      </w:r>
      <w:r>
        <w:rPr>
          <w:sz w:val="18"/>
        </w:rPr>
        <w:t xml:space="preserve"> The project has conducted a proportionate climate risk and vulnerability assessment consistent with Annex A of the Taxonomy Climate Delegated Regulation. Adaptation measures are integrated into the facility design. The project does not increase the vulnerability of surrounding human or natural systems to climate change.</w:t>
      </w:r>
    </w:p>
    <w:p>
      <w:pPr>
        <w:pStyle w:val="Heading3"/>
      </w:pPr>
      <w:r>
        <w:t>2. Protection of Water and Marine Resources</w:t>
      </w:r>
    </w:p>
    <w:p>
      <w:r>
        <w:rPr>
          <w:b/>
          <w:sz w:val="18"/>
        </w:rPr>
        <w:t>Assessment:</w:t>
      </w:r>
      <w:r>
        <w:rPr>
          <w:sz w:val="18"/>
        </w:rPr>
        <w:t xml:space="preserve"> Brindisi is a coastal city on the Adriatic Sea. The industrial zone has existing wastewater treatment infrastructure. LFP CAM production has a relatively low water footprint compared to NMC co-precipitation (which generates significant wastewater streams from washing and pH adjustment steps).</w:t>
      </w:r>
    </w:p>
    <w:p>
      <w:r>
        <w:rPr>
          <w:b/>
          <w:sz w:val="18"/>
        </w:rPr>
        <w:t>Mitigation measures:</w:t>
      </w:r>
    </w:p>
    <w:p>
      <w:pPr>
        <w:pStyle w:val="ListBullet"/>
      </w:pPr>
      <w:r>
        <w:rPr>
          <w:b/>
          <w:sz w:val="18"/>
        </w:rPr>
        <w:t>Closed-loop water system</w:t>
      </w:r>
      <w:r>
        <w:rPr>
          <w:sz w:val="18"/>
        </w:rPr>
        <w:t>: Spray dryer condensate recovery recirculates process water, reducing freshwater demand by 70-85%. The production document specifies 4 t production water and 5 t pure water per tonne LFP CAM; exact recovery rate to be optimised during detailed engineering.</w:t>
      </w:r>
    </w:p>
    <w:p>
      <w:pPr>
        <w:pStyle w:val="ListBullet"/>
      </w:pPr>
      <w:r>
        <w:rPr>
          <w:b/>
          <w:sz w:val="18"/>
        </w:rPr>
        <w:t>Zero industrial discharge</w:t>
      </w:r>
      <w:r>
        <w:rPr>
          <w:sz w:val="18"/>
        </w:rPr>
        <w:t>: No process wastewater is discharged to surface water, groundwater, or marine environments. Non-recoverable water exits as vapour after HEPA filtration.</w:t>
      </w:r>
    </w:p>
    <w:p>
      <w:pPr>
        <w:pStyle w:val="ListBullet"/>
      </w:pPr>
      <w:r>
        <w:rPr>
          <w:b/>
          <w:sz w:val="18"/>
        </w:rPr>
        <w:t>Stormwater management</w:t>
      </w:r>
      <w:r>
        <w:rPr>
          <w:sz w:val="18"/>
        </w:rPr>
        <w:t>: Site drainage separates clean stormwater from potentially contaminated runoff (e.g., from loading areas). Contaminated runoff is directed to the industrial wastewater treatment system.</w:t>
      </w:r>
    </w:p>
    <w:p>
      <w:pPr>
        <w:pStyle w:val="ListBullet"/>
      </w:pPr>
      <w:r>
        <w:rPr>
          <w:b/>
          <w:sz w:val="18"/>
        </w:rPr>
        <w:t>Chemical containment</w:t>
      </w:r>
      <w:r>
        <w:rPr>
          <w:sz w:val="18"/>
        </w:rPr>
        <w:t>: All liquid chemical storage (lithium carbonate slurry, iron phosphate suspension) is within bunded areas with 110% containment capacity to prevent release to ground or water.</w:t>
      </w:r>
    </w:p>
    <w:p>
      <w:r>
        <w:rPr>
          <w:b/>
          <w:sz w:val="18"/>
        </w:rPr>
        <w:t>Compliance confirmation:</w:t>
      </w:r>
      <w:r>
        <w:rPr>
          <w:sz w:val="18"/>
        </w:rPr>
        <w:t xml:space="preserve"> The project does not degrade the status of water bodies or the potential for water bodies to achieve good ecological status. The facility design prevents industrial discharge to water resources.</w:t>
      </w:r>
    </w:p>
    <w:p>
      <w:pPr>
        <w:pStyle w:val="Heading3"/>
      </w:pPr>
      <w:r>
        <w:t>3. Transition to a Circular Economy</w:t>
      </w:r>
    </w:p>
    <w:p>
      <w:r>
        <w:rPr>
          <w:b/>
          <w:sz w:val="18"/>
        </w:rPr>
        <w:t>Assessment:</w:t>
      </w:r>
      <w:r>
        <w:rPr>
          <w:sz w:val="18"/>
        </w:rPr>
        <w:t xml:space="preserve"> The project contributes to circular economy objectives through multiple pathways.</w:t>
      </w:r>
    </w:p>
    <w:p>
      <w:r>
        <w:rPr>
          <w:b/>
          <w:sz w:val="18"/>
        </w:rPr>
        <w:t>Design for circularity:</w:t>
      </w:r>
    </w:p>
    <w:p>
      <w:pPr>
        <w:pStyle w:val="ListBullet"/>
      </w:pPr>
      <w:r>
        <w:rPr>
          <w:b/>
          <w:sz w:val="18"/>
        </w:rPr>
        <w:t>LFP recyclability</w:t>
      </w:r>
      <w:r>
        <w:rPr>
          <w:sz w:val="18"/>
        </w:rPr>
        <w:t>: The project's output (LFP CAM) is inherently more recyclable than NMC/NCA alternatives due to the absence of cobalt and nickel, which simplify hydrometallurgical recovery processes. LFP recycling enables direct lithium recovery and iron phosphate re-use as precursor.</w:t>
      </w:r>
    </w:p>
    <w:p>
      <w:pPr>
        <w:pStyle w:val="ListBullet"/>
      </w:pPr>
      <w:r>
        <w:rPr>
          <w:b/>
          <w:sz w:val="18"/>
        </w:rPr>
        <w:t>Waste minimisation</w:t>
      </w:r>
      <w:r>
        <w:rPr>
          <w:sz w:val="18"/>
        </w:rPr>
        <w:t xml:space="preserve">: DT-driven quality control reduces scrap and off-specification production. The QbD framework establishes process design spaces that maximise first-pass yield </w:t>
      </w:r>
      <w:r>
        <w:rPr>
          <w:color w:val="0066CC"/>
          <w:sz w:val="16"/>
        </w:rPr>
        <w:t>[CLM-009, CLM-013]</w:t>
      </w:r>
      <w:r>
        <w:rPr>
          <w:sz w:val="18"/>
        </w:rPr>
        <w:t>.</w:t>
      </w:r>
    </w:p>
    <w:p>
      <w:pPr>
        <w:pStyle w:val="ListBullet"/>
      </w:pPr>
      <w:r>
        <w:rPr>
          <w:b/>
          <w:sz w:val="18"/>
        </w:rPr>
        <w:t>Process waste streams</w:t>
      </w:r>
      <w:r>
        <w:rPr>
          <w:sz w:val="18"/>
        </w:rPr>
        <w:t>: Calcination off-gases (primarily N2 + CO2 from glucose pyrolysis) are filtered and vented; no hazardous waste streams are generated. Milling fines below specification are recycled into the slurry preparation stage. Packaging waste (raw material containers) follows standard industrial recycling channels.</w:t>
      </w:r>
    </w:p>
    <w:p>
      <w:pPr>
        <w:pStyle w:val="ListBullet"/>
      </w:pPr>
      <w:r>
        <w:rPr>
          <w:b/>
          <w:sz w:val="18"/>
        </w:rPr>
        <w:t>Equipment durability</w:t>
      </w:r>
      <w:r>
        <w:rPr>
          <w:sz w:val="18"/>
        </w:rPr>
        <w:t>: Electric roller hearth kilns have longer operational lifetimes than gas-fired equivalents (fewer thermal cycling stresses, no combustion-related corrosion), reducing equipment replacement frequency and associated waste.</w:t>
      </w:r>
    </w:p>
    <w:p>
      <w:r>
        <w:rPr>
          <w:b/>
          <w:sz w:val="18"/>
        </w:rPr>
        <w:t>Compliance confirmation:</w:t>
      </w:r>
      <w:r>
        <w:rPr>
          <w:sz w:val="18"/>
        </w:rPr>
        <w:t xml:space="preserve"> The project does not lead to significant inefficiencies in the use of materials or in the direct or indirect use of natural resources. The production process is designed to maximise material yield, minimise waste, and produce an inherently recyclable output product.</w:t>
      </w:r>
    </w:p>
    <w:p>
      <w:pPr>
        <w:pStyle w:val="Heading3"/>
      </w:pPr>
      <w:r>
        <w:t>4. Pollution Prevention and Control</w:t>
      </w:r>
    </w:p>
    <w:p>
      <w:r>
        <w:rPr>
          <w:b/>
          <w:sz w:val="18"/>
        </w:rPr>
        <w:t>Assessment:</w:t>
      </w:r>
      <w:r>
        <w:rPr>
          <w:sz w:val="18"/>
        </w:rPr>
        <w:t xml:space="preserve"> LFP CAM production involves handling of fine powders (lithium carbonate, iron phosphate, LFP product) and elevated-temperature processing under controlled atmosphere.</w:t>
      </w:r>
    </w:p>
    <w:p>
      <w:r>
        <w:rPr>
          <w:b/>
          <w:sz w:val="18"/>
        </w:rPr>
        <w:t>Mitigation measures:</w:t>
      </w:r>
    </w:p>
    <w:p>
      <w:pPr>
        <w:pStyle w:val="ListBullet"/>
      </w:pPr>
      <w:r>
        <w:rPr>
          <w:b/>
          <w:sz w:val="18"/>
        </w:rPr>
        <w:t>Air emissions</w:t>
      </w:r>
      <w:r>
        <w:rPr>
          <w:sz w:val="18"/>
        </w:rPr>
        <w:t>: Minimal on-site combustion (progressively electrified design with residual gas use of 189 m3/t in initial configuration, decreasing over time). HEPA filtration on all powder handling exhausts. Calcination atmosphere is contained (sealed kiln with N2 blanket). No volatile organic compound (VOC) emissions — glucose carbon precursor is pyrolysed under inert atmosphere, not volatilised.</w:t>
      </w:r>
    </w:p>
    <w:p>
      <w:pPr>
        <w:pStyle w:val="ListBullet"/>
      </w:pPr>
      <w:r>
        <w:rPr>
          <w:b/>
          <w:sz w:val="18"/>
        </w:rPr>
        <w:t>Chemical safety</w:t>
      </w:r>
      <w:r>
        <w:rPr>
          <w:sz w:val="18"/>
        </w:rPr>
        <w:t>: All chemicals used (lithium carbonate, iron phosphate, glucose) are classified as low to moderate hazard under CLP Regulation (EC) No 1272/2008. No SVHC (Substances of Very High Concern) or REACH Annex XIV substances are used in the production process. Lithium carbonate requires standard occupational hygiene measures (dust control, PPE) but is not classified as acutely toxic.</w:t>
      </w:r>
    </w:p>
    <w:p>
      <w:pPr>
        <w:pStyle w:val="ListBullet"/>
      </w:pPr>
      <w:r>
        <w:rPr>
          <w:b/>
          <w:sz w:val="18"/>
        </w:rPr>
        <w:t>Noise</w:t>
      </w:r>
      <w:r>
        <w:rPr>
          <w:sz w:val="18"/>
        </w:rPr>
        <w:t>: Electric motors and kilns generate significantly lower noise levels than gas combustion equipment (no combustion roar, no gas valve cycling). Site noise levels at the boundary are expected to comply with Italian DPCM 14/11/1997 industrial zone limits.</w:t>
      </w:r>
    </w:p>
    <w:p>
      <w:pPr>
        <w:pStyle w:val="ListBullet"/>
      </w:pPr>
      <w:r>
        <w:rPr>
          <w:b/>
          <w:sz w:val="18"/>
        </w:rPr>
        <w:t>Waste management</w:t>
      </w:r>
      <w:r>
        <w:rPr>
          <w:sz w:val="18"/>
        </w:rPr>
        <w:t>: No hazardous waste streams are generated. Solid waste (packaging, maintenance consumables, HEPA filters) is managed through licensed industrial waste contractors in accordance with Italian D.Lgs. 152/2006.</w:t>
      </w:r>
    </w:p>
    <w:p>
      <w:r>
        <w:rPr>
          <w:b/>
          <w:sz w:val="18"/>
        </w:rPr>
        <w:t>Compliance confirmation:</w:t>
      </w:r>
      <w:r>
        <w:rPr>
          <w:sz w:val="18"/>
        </w:rPr>
        <w:t xml:space="preserve"> The project does not lead to a significant increase in emissions of pollutants to air, water, or land. The progressively electrified design (66.6% at entry into operation, targeting &gt;95% by Year 10) and contained atmosphere processing eliminate the principal pollution sources associated with conventional gas-fired CAM production.</w:t>
      </w:r>
    </w:p>
    <w:p>
      <w:pPr>
        <w:pStyle w:val="Heading3"/>
      </w:pPr>
      <w:r>
        <w:t>5. Protection and Restoration of Biodiversity and Ecosystems</w:t>
      </w:r>
    </w:p>
    <w:p>
      <w:r>
        <w:rPr>
          <w:b/>
          <w:sz w:val="18"/>
        </w:rPr>
        <w:t>Assessment:</w:t>
      </w:r>
      <w:r>
        <w:rPr>
          <w:sz w:val="18"/>
        </w:rPr>
        <w:t xml:space="preserve"> The project is located entirely within an existing industrial zone at Eni's Brindisi brownfield site. No greenfield land conversion is involved.</w:t>
      </w:r>
    </w:p>
    <w:p>
      <w:r>
        <w:rPr>
          <w:b/>
          <w:sz w:val="18"/>
        </w:rPr>
        <w:t>Mitigation measures:</w:t>
      </w:r>
    </w:p>
    <w:p>
      <w:pPr>
        <w:pStyle w:val="ListBullet"/>
      </w:pPr>
      <w:r>
        <w:rPr>
          <w:b/>
          <w:sz w:val="18"/>
        </w:rPr>
        <w:t>No habitat conversion</w:t>
      </w:r>
      <w:r>
        <w:rPr>
          <w:sz w:val="18"/>
        </w:rPr>
        <w:t>: The site is an existing industrial facility. No natural or semi-natural habitats, agricultural land, or forested areas are affected. No Natura 2000 sites are impacted.</w:t>
      </w:r>
    </w:p>
    <w:p>
      <w:pPr>
        <w:pStyle w:val="ListBullet"/>
      </w:pPr>
      <w:r>
        <w:rPr>
          <w:b/>
          <w:sz w:val="18"/>
        </w:rPr>
        <w:t>Brownfield remediation</w:t>
      </w:r>
      <w:r>
        <w:rPr>
          <w:sz w:val="18"/>
        </w:rPr>
        <w:t>: Where legacy contamination from prior industrial operations exists, the project's site preparation includes remediation to applicable Italian standards (D.Lgs. 152/2006 Parte IV, Titolo V), representing a net improvement in local environmental quality.</w:t>
      </w:r>
    </w:p>
    <w:p>
      <w:pPr>
        <w:pStyle w:val="ListBullet"/>
      </w:pPr>
      <w:r>
        <w:rPr>
          <w:b/>
          <w:sz w:val="18"/>
        </w:rPr>
        <w:t>Light and noise</w:t>
      </w:r>
      <w:r>
        <w:rPr>
          <w:sz w:val="18"/>
        </w:rPr>
        <w:t>: Industrial operations are contained within enclosed buildings, minimising light pollution and noise impacts on surrounding ecosystems. Operating hours and lighting follow standard industrial zone protocols.</w:t>
      </w:r>
    </w:p>
    <w:p>
      <w:r>
        <w:rPr>
          <w:b/>
          <w:sz w:val="18"/>
        </w:rPr>
        <w:t>Compliance confirmation:</w:t>
      </w:r>
      <w:r>
        <w:rPr>
          <w:sz w:val="18"/>
        </w:rPr>
        <w:t xml:space="preserve"> The project does not significantly harm biodiversity or ecosystems. The brownfield location ensures zero habitat conversion, and remediation activities provide a net environmental benefit.</w:t>
      </w:r>
    </w:p>
    <w:p>
      <w:r>
        <w:rPr>
          <w:sz w:val="18"/>
        </w:rPr>
        <w:t>---</w:t>
      </w:r>
    </w:p>
    <w:p>
      <w:pPr>
        <w:pStyle w:val="Heading2"/>
      </w:pPr>
      <w:r>
        <w:t>4.1c Contribution to Europe's Industrial Leadership and Competitiveness</w:t>
      </w:r>
    </w:p>
    <w:p>
      <w:pPr>
        <w:pStyle w:val="Heading3"/>
      </w:pPr>
      <w:r>
        <w:t>EU Industrial Ecosystems: Anchoring the European Battery Value Chain</w:t>
      </w:r>
    </w:p>
    <w:p>
      <w:r>
        <w:rPr>
          <w:sz w:val="18"/>
        </w:rPr>
        <w:t xml:space="preserve">The FAAM-ENI Circular Energy project establishes the </w:t>
      </w:r>
      <w:r>
        <w:rPr>
          <w:b/>
          <w:sz w:val="18"/>
        </w:rPr>
        <w:t>first LFP cathode active material production facility in Italy and Southern Europe</w:t>
      </w:r>
      <w:r>
        <w:rPr>
          <w:sz w:val="18"/>
        </w:rPr>
        <w:t xml:space="preserve"> </w:t>
      </w:r>
      <w:r>
        <w:rPr>
          <w:color w:val="0066CC"/>
          <w:sz w:val="16"/>
        </w:rPr>
        <w:t>[CLM-022]</w:t>
      </w:r>
      <w:r>
        <w:rPr>
          <w:sz w:val="18"/>
        </w:rPr>
        <w:t xml:space="preserve">, directly filling a critical gap in the European battery value chain. As of late 2025, no EU-based company has brought LFP CAM production online </w:t>
      </w:r>
      <w:r>
        <w:rPr>
          <w:color w:val="0066CC"/>
          <w:sz w:val="16"/>
        </w:rPr>
        <w:t>[CLM-003]</w:t>
      </w:r>
      <w:r>
        <w:rPr>
          <w:sz w:val="18"/>
        </w:rPr>
        <w:t>, despite LFP being the fastest-growing cathode chemistry globally and the dominant choice for standard-range EVs and grid-scale storage applications.</w:t>
      </w:r>
    </w:p>
    <w:p>
      <w:r>
        <w:rPr>
          <w:b/>
          <w:sz w:val="18"/>
        </w:rPr>
        <w:t>End-to-End European Battery Value Chain: From Raw Materials to Grid Deployment.</w:t>
      </w:r>
      <w:r>
        <w:rPr>
          <w:sz w:val="18"/>
        </w:rPr>
        <w:t xml:space="preserve"> The Brindisi plant is not a standalone CAM factory — it is the anchor of a </w:t>
      </w:r>
      <w:r>
        <w:rPr>
          <w:b/>
          <w:sz w:val="18"/>
        </w:rPr>
        <w:t>vertically integrated clean energy manufacturing hub</w:t>
      </w:r>
      <w:r>
        <w:rPr>
          <w:sz w:val="18"/>
        </w:rPr>
        <w:t xml:space="preserve"> that delivers the complete battery value chain within a single consortium and industrial site:</w:t>
      </w:r>
    </w:p>
    <w:p>
      <w:pPr>
        <w:pStyle w:val="ListBullet"/>
      </w:pPr>
      <w:r>
        <w:rPr>
          <w:b/>
          <w:sz w:val="18"/>
        </w:rPr>
        <w:t>Upstream</w:t>
      </w:r>
      <w:r>
        <w:rPr>
          <w:sz w:val="18"/>
        </w:rPr>
        <w:t>: European and allied-nation suppliers of lithium carbonate, iron phosphate, and industrial-grade glucose</w:t>
      </w:r>
    </w:p>
    <w:p>
      <w:pPr>
        <w:pStyle w:val="ListBullet"/>
      </w:pPr>
      <w:r>
        <w:rPr>
          <w:b/>
          <w:sz w:val="18"/>
        </w:rPr>
        <w:t>Midstream 1</w:t>
      </w:r>
      <w:r>
        <w:rPr>
          <w:sz w:val="18"/>
        </w:rPr>
        <w:t>: FAAM Brindisi LFP CAM production (this project) — 50 kton/yr battery-grade cathode material</w:t>
      </w:r>
    </w:p>
    <w:p>
      <w:pPr>
        <w:pStyle w:val="ListBullet"/>
      </w:pPr>
      <w:r>
        <w:rPr>
          <w:b/>
          <w:sz w:val="18"/>
        </w:rPr>
        <w:t>Midstream 2</w:t>
      </w:r>
      <w:r>
        <w:rPr>
          <w:sz w:val="18"/>
        </w:rPr>
        <w:t>: FIB-Eni joint venture battery cell and BESS manufacturing facility (co-located at Brindisi) — converting LFP CAM into cells and grid-scale battery energy storage systems</w:t>
      </w:r>
    </w:p>
    <w:p>
      <w:pPr>
        <w:pStyle w:val="ListBullet"/>
      </w:pPr>
      <w:r>
        <w:rPr>
          <w:b/>
          <w:sz w:val="18"/>
        </w:rPr>
        <w:t>Downstream</w:t>
      </w:r>
      <w:r>
        <w:rPr>
          <w:sz w:val="18"/>
        </w:rPr>
        <w:t>: Eni grid deployment — BESS systems deployed on the Italian electricity grid for grid stabilisation and decarbonisation</w:t>
      </w:r>
    </w:p>
    <w:p>
      <w:r>
        <w:rPr>
          <w:sz w:val="18"/>
        </w:rPr>
        <w:t>This mine-to-grid vertical integration is unprecedented in the European battery sector. The co-located JV factory is the direct and guaranteed internal customer for the LFP CAM output. Eni, as the deployer of BESS on the Italian grid, closes the value chain from raw material to grid service. This structure directly addresses the Innovation Fund evaluation criterion regarding "contribution to European industrial ecosystems, integration with strategic energy infrastructure": the project does not merely produce a component — it delivers grid-deployed energy storage that stabilises and decarbonises the Italian electricity system. The integration with Italian grid infrastructure represents a potential connection to Projects of Common Interest (PCI) in the energy storage domain.</w:t>
      </w:r>
    </w:p>
    <w:p>
      <w:r>
        <w:rPr>
          <w:sz w:val="18"/>
        </w:rPr>
        <w:t>The plant also serves external European battery cell manufacturers — including the growing gigafactory ecosystem across Germany, France, Hungary, Poland, and Scandinavia — with domestically produced, EU-traceable LFP cathode material.</w:t>
      </w:r>
    </w:p>
    <w:p>
      <w:r>
        <w:rPr>
          <w:sz w:val="18"/>
        </w:rPr>
        <w:t>The plant's location in Puglia — a Cohesion Policy convergence region — provides geographic diversification within the emerging EU LFP supply map, complementing FREYR's Northern European site (Vaasa, Finland) and ensuring Mediterranean access for Southern European cell manufacturers and export markets.</w:t>
      </w:r>
    </w:p>
    <w:p>
      <w:pPr>
        <w:pStyle w:val="Heading3"/>
      </w:pPr>
      <w:r>
        <w:t>Reducing EU Dependency on China: Directly Addressing C/2025/3236</w:t>
      </w:r>
    </w:p>
    <w:p>
      <w:r>
        <w:rPr>
          <w:b/>
          <w:sz w:val="18"/>
        </w:rPr>
        <w:t>This project directly mitigates one of the most acute supply chain dependencies identified by the European Commission.</w:t>
      </w:r>
      <w:r>
        <w:rPr>
          <w:sz w:val="18"/>
        </w:rPr>
        <w:t xml:space="preserve"> China controls over 99% of global LFP cathode active material production capacity </w:t>
      </w:r>
      <w:r>
        <w:rPr>
          <w:color w:val="0066CC"/>
          <w:sz w:val="16"/>
        </w:rPr>
        <w:t>[CLM-001]</w:t>
      </w:r>
      <w:r>
        <w:rPr>
          <w:sz w:val="18"/>
        </w:rPr>
        <w:t>. Commission Communication C/2025/3236 of 18 June 2025 explicitly identified battery cells, battery packs, and battery materials as products with critical EU dependency on China, requiring urgent mitigation under the Net-Zero Industry Act.</w:t>
      </w:r>
    </w:p>
    <w:p>
      <w:r>
        <w:rPr>
          <w:sz w:val="18"/>
        </w:rPr>
        <w:t>The urgency of this dependency has escalated sharply:</w:t>
      </w:r>
    </w:p>
    <w:p>
      <w:pPr>
        <w:pStyle w:val="ListBullet"/>
      </w:pPr>
      <w:r>
        <w:rPr>
          <w:b/>
          <w:sz w:val="18"/>
        </w:rPr>
        <w:t>July 2025</w:t>
      </w:r>
      <w:r>
        <w:rPr>
          <w:sz w:val="18"/>
        </w:rPr>
        <w:t xml:space="preserve">: China imposed export licensing requirements on 4th-generation LFP cathode technology, directly restricting technology transfer </w:t>
      </w:r>
      <w:r>
        <w:rPr>
          <w:color w:val="0066CC"/>
          <w:sz w:val="16"/>
        </w:rPr>
        <w:t>[CLM-002]</w:t>
      </w:r>
      <w:r>
        <w:rPr>
          <w:sz w:val="18"/>
        </w:rPr>
        <w:t>.</w:t>
      </w:r>
    </w:p>
    <w:p>
      <w:pPr>
        <w:pStyle w:val="ListBullet"/>
      </w:pPr>
      <w:r>
        <w:rPr>
          <w:b/>
          <w:sz w:val="18"/>
        </w:rPr>
        <w:t>October 2025</w:t>
      </w:r>
      <w:r>
        <w:rPr>
          <w:sz w:val="18"/>
        </w:rPr>
        <w:t xml:space="preserve">: China broadened export controls to include battery cells, precursors, anode materials, and production equipment </w:t>
      </w:r>
      <w:r>
        <w:rPr>
          <w:color w:val="0066CC"/>
          <w:sz w:val="16"/>
        </w:rPr>
        <w:t>[CLM-002]</w:t>
      </w:r>
      <w:r>
        <w:rPr>
          <w:sz w:val="18"/>
        </w:rPr>
        <w:t>.</w:t>
      </w:r>
    </w:p>
    <w:p>
      <w:pPr>
        <w:pStyle w:val="ListBullet"/>
      </w:pPr>
      <w:r>
        <w:rPr>
          <w:b/>
          <w:sz w:val="18"/>
        </w:rPr>
        <w:t>Strategic implication</w:t>
      </w:r>
      <w:r>
        <w:rPr>
          <w:sz w:val="18"/>
        </w:rPr>
        <w:t>: The EU battery industry faces a dual risk — dependency on Chinese LFP CAM imports for current production AND dependency on Chinese technology and equipment for any future EU-based LFP CAM manufacturing.</w:t>
      </w:r>
    </w:p>
    <w:p>
      <w:r>
        <w:rPr>
          <w:sz w:val="18"/>
        </w:rPr>
        <w:t>The FAAM Brindisi plant addresses all three dimensions of this dependency:</w:t>
      </w:r>
    </w:p>
    <w:p>
      <w:pPr>
        <w:pStyle w:val="ListNumber"/>
      </w:pPr>
      <w:r>
        <w:rPr>
          <w:b/>
          <w:sz w:val="18"/>
        </w:rPr>
        <w:t>Product supply</w:t>
      </w:r>
      <w:r>
        <w:rPr>
          <w:sz w:val="18"/>
        </w:rPr>
        <w:t>: Domestic LFP CAM production reduces import dependency for the material itself.</w:t>
      </w:r>
    </w:p>
    <w:p>
      <w:pPr>
        <w:pStyle w:val="ListNumber"/>
      </w:pPr>
      <w:r>
        <w:rPr>
          <w:b/>
          <w:sz w:val="18"/>
        </w:rPr>
        <w:t>Technology sovereignty</w:t>
      </w:r>
      <w:r>
        <w:rPr>
          <w:sz w:val="18"/>
        </w:rPr>
        <w:t>: The project develops an EU-originated DT-integrated manufacturing process, generating proprietary know-how within the EU/EEA that is not subject to Chinese export control restrictions.</w:t>
      </w:r>
    </w:p>
    <w:p>
      <w:pPr>
        <w:pStyle w:val="ListNumber"/>
      </w:pPr>
      <w:r>
        <w:rPr>
          <w:b/>
          <w:sz w:val="18"/>
        </w:rPr>
        <w:t>Full value chain sovereignty</w:t>
      </w:r>
      <w:r>
        <w:rPr>
          <w:sz w:val="18"/>
        </w:rPr>
        <w:t>: Through the vertically integrated value chain (CAM to cells to BESS to grid), Italian-made BESS systems are deployed on the Italian electricity grid by an Italian energy company (Eni). This represents complete strategic sovereignty — from raw material processing to grid-deployed energy storage — without any dependency on Chinese technology, components, or deployment infrastructure at any stage of the value chain.</w:t>
      </w:r>
    </w:p>
    <w:p>
      <w:r>
        <w:rPr>
          <w:b/>
          <w:sz w:val="18"/>
        </w:rPr>
        <w:t>Competitive landscape assessment.</w:t>
      </w:r>
      <w:r>
        <w:rPr>
          <w:sz w:val="18"/>
        </w:rPr>
        <w:t xml:space="preserve"> FREYR Battery received a EUR 122M Innovation Fund grant for a 30,000 t/yr LFP CAM facility in Vaasa, Finland </w:t>
      </w:r>
      <w:r>
        <w:rPr>
          <w:color w:val="0066CC"/>
          <w:sz w:val="16"/>
        </w:rPr>
        <w:t>[CLM-004]</w:t>
      </w:r>
      <w:r>
        <w:rPr>
          <w:sz w:val="18"/>
        </w:rPr>
        <w:t xml:space="preserve">. However, FREYR's current corporate strategy prioritises its US Giga America facility. FREYR has stated it is "evaluating options" for its Norwegian and European asset base, and the Vaasa CAM facility has not reached Final Investment Decision (FID). Vaasa competes internally with FREYR's US operations for capital and management bandwidth </w:t>
      </w:r>
      <w:r>
        <w:rPr>
          <w:color w:val="0066CC"/>
          <w:sz w:val="16"/>
        </w:rPr>
        <w:t>[CLM-029]</w:t>
      </w:r>
      <w:r>
        <w:rPr>
          <w:sz w:val="18"/>
        </w:rPr>
        <w:t>. Realistic assessment: FREYR Vaasa is a medium-term option with non-trivial schedule and financing risk — not a near-term locked-in LFP CAM production line. The FAAM Brindisi project, backed by FIB's manufacturing expertise and Eni's industrial site and energy infrastructure, represents the more credible near-term pathway to operational EU LFP CAM capacity.</w:t>
      </w:r>
    </w:p>
    <w:p>
      <w:pPr>
        <w:pStyle w:val="Heading3"/>
      </w:pPr>
      <w:r>
        <w:t>Building European Know-How: DT Framework as Transferable EU IP</w:t>
      </w:r>
    </w:p>
    <w:p>
      <w:r>
        <w:rPr>
          <w:sz w:val="18"/>
        </w:rPr>
        <w:t>The project generates intellectual property and technical know-how that remains within the EU/EEA:</w:t>
      </w:r>
    </w:p>
    <w:p>
      <w:r>
        <w:rPr>
          <w:b/>
          <w:sz w:val="18"/>
        </w:rPr>
        <w:t>ISO 23247 reference implementation for chemical manufacturing.</w:t>
      </w:r>
      <w:r>
        <w:rPr>
          <w:sz w:val="18"/>
        </w:rPr>
        <w:t xml:space="preserve"> The digital twin framework — the first ISO 23247-compliant implementation for thermal/chemical powder synthesis </w:t>
      </w:r>
      <w:r>
        <w:rPr>
          <w:color w:val="0066CC"/>
          <w:sz w:val="16"/>
        </w:rPr>
        <w:t>[CLM-008]</w:t>
      </w:r>
      <w:r>
        <w:rPr>
          <w:sz w:val="18"/>
        </w:rPr>
        <w:t xml:space="preserve"> — constitutes a replicable reference architecture transferable to other EU manufacturers of cathode materials, battery-grade precursors, and advanced ceramic powders. The four-layer architecture (Observable Manufacturing Element, Data Collection &amp; Device Control, Digital Twin Core, User Entity) with its physics-based process models, sensor fusion algorithms, and model-predictive control strategies represents substantial technical IP developed entirely within the EU/EEA.</w:t>
      </w:r>
    </w:p>
    <w:p>
      <w:r>
        <w:rPr>
          <w:b/>
          <w:sz w:val="18"/>
        </w:rPr>
        <w:t>Multi-scale modeling framework.</w:t>
      </w:r>
      <w:r>
        <w:rPr>
          <w:sz w:val="18"/>
        </w:rPr>
        <w:t xml:space="preserve"> The integrated modeling chain spanning DFT/atomistic thermodynamics (CALPHAD) through continuum CFD and population balance models to plant-level flowsheet simulation </w:t>
      </w:r>
      <w:r>
        <w:rPr>
          <w:color w:val="0066CC"/>
          <w:sz w:val="16"/>
        </w:rPr>
        <w:t>[CLM-018]</w:t>
      </w:r>
      <w:r>
        <w:rPr>
          <w:sz w:val="18"/>
        </w:rPr>
        <w:t xml:space="preserve"> provides a transferable computational methodology for process optimisation in adjacent EU manufacturing sectors (e.g., catalysts, pigments, functional ceramics, pharmaceutical granulation).</w:t>
      </w:r>
    </w:p>
    <w:p>
      <w:r>
        <w:rPr>
          <w:b/>
          <w:sz w:val="18"/>
        </w:rPr>
        <w:t>Patent strategy.</w:t>
      </w:r>
      <w:r>
        <w:rPr>
          <w:sz w:val="18"/>
        </w:rPr>
        <w:t xml:space="preserve"> The core novel combination — electrified spray drying + electric roller hearth kiln calcination with integrated ISO 23247 digital twin for real-time process-quality control for LFP CAM — occupies a patent white space with no identified blocking patent </w:t>
      </w:r>
      <w:r>
        <w:rPr>
          <w:color w:val="0066CC"/>
          <w:sz w:val="16"/>
        </w:rPr>
        <w:t>[CLM-014]</w:t>
      </w:r>
      <w:r>
        <w:rPr>
          <w:sz w:val="18"/>
        </w:rPr>
        <w:t>. The consortium intends to file EU patent applications protecting the DT-integrated electrified CAM manufacturing process, ensuring this IP remains within the EU/EEA.</w:t>
      </w:r>
    </w:p>
    <w:p>
      <w:r>
        <w:rPr>
          <w:b/>
          <w:sz w:val="18"/>
        </w:rPr>
        <w:t>Vertically integrated model as replicable EU industrial template.</w:t>
      </w:r>
      <w:r>
        <w:rPr>
          <w:sz w:val="18"/>
        </w:rPr>
        <w:t xml:space="preserve"> Beyond the technology IP, the vertically integrated model itself — co-located CAM production, cell manufacturing, BESS assembly, and grid deployment within a single consortium — represents a replicable industrial architecture for EU battery sovereignty. This model can be replicated at other European brownfield sites where energy companies seek to combine clean-tech manufacturing with grid services, accelerating the EU's transition from component-level manufacturing to integrated clean energy value chains.</w:t>
      </w:r>
    </w:p>
    <w:p>
      <w:pPr>
        <w:pStyle w:val="Heading3"/>
      </w:pPr>
      <w:r>
        <w:t>Cooperation with EU Research Institutions</w:t>
      </w:r>
    </w:p>
    <w:p>
      <w:r>
        <w:rPr>
          <w:sz w:val="18"/>
        </w:rPr>
        <w:t>The project engages EU/EEA universities and research institutions in the development and validation of the DT framework:</w:t>
      </w:r>
    </w:p>
    <w:p>
      <w:pPr>
        <w:pStyle w:val="ListBullet"/>
      </w:pPr>
      <w:r>
        <w:rPr>
          <w:b/>
          <w:sz w:val="18"/>
        </w:rPr>
        <w:t>Italian universities</w:t>
      </w:r>
      <w:r>
        <w:rPr>
          <w:sz w:val="18"/>
        </w:rPr>
        <w:t>: Collaboration with leading Italian academic institutions for multi-scale modeling development and DT validation. Candidate university partners based on relevant expertise include:</w:t>
      </w:r>
    </w:p>
    <w:p>
      <w:pPr>
        <w:pStyle w:val="ListBullet"/>
      </w:pPr>
      <w:r>
        <w:rPr>
          <w:b/>
          <w:sz w:val="18"/>
        </w:rPr>
        <w:t>Politecnico di Milano</w:t>
      </w:r>
      <w:r>
        <w:rPr>
          <w:sz w:val="18"/>
        </w:rPr>
        <w:t>: A leading European university in digital twin research, hosting the DigiTwin conference and home to the I4.0 Lab and SuPER team (digital twin for chemical engineering). Elisa Negri (recipient of the Digital Twin Young Scientist Award) leads relevant research on manufacturing digital twins.</w:t>
      </w:r>
    </w:p>
    <w:p>
      <w:pPr>
        <w:pStyle w:val="ListBullet"/>
      </w:pPr>
      <w:r>
        <w:rPr>
          <w:b/>
          <w:sz w:val="18"/>
        </w:rPr>
        <w:t>Politecnico di Torino</w:t>
      </w:r>
      <w:r>
        <w:rPr>
          <w:sz w:val="18"/>
        </w:rPr>
        <w:t>: Home to the GAME Lab (Group for Applied Materials and Electrochemistry), with deep expertise in LFP and cathode materials, battery electrochemistry, and nanostructured materials. The GAME Lab maintains active PhD programmes with industrial partners (including Comau and Stellantis), providing a natural framework for collaborative research.</w:t>
      </w:r>
    </w:p>
    <w:p>
      <w:pPr>
        <w:pStyle w:val="ListBullet"/>
      </w:pPr>
      <w:r>
        <w:rPr>
          <w:sz w:val="18"/>
        </w:rPr>
        <w:t>FIB/FAAM has an established track record of supporting research with universities through PhD studentships and MSc degree collaborations, providing the institutional framework for these partnerships. Specific collaboration agreements to be formalised during WP1.</w:t>
      </w:r>
    </w:p>
    <w:p>
      <w:pPr>
        <w:pStyle w:val="ListBullet"/>
      </w:pPr>
      <w:r>
        <w:rPr>
          <w:b/>
          <w:sz w:val="18"/>
        </w:rPr>
        <w:t>EU research networks</w:t>
      </w:r>
      <w:r>
        <w:rPr>
          <w:sz w:val="18"/>
        </w:rPr>
        <w:t>: Engagement with the EU Battery Alliance ecosystem and relevant Horizon Europe projects for DT methodology cross-fertilisation.</w:t>
      </w:r>
    </w:p>
    <w:p>
      <w:pPr>
        <w:pStyle w:val="ListBullet"/>
      </w:pPr>
      <w:r>
        <w:rPr>
          <w:b/>
          <w:sz w:val="18"/>
        </w:rPr>
        <w:t>Standards contribution</w:t>
      </w:r>
      <w:r>
        <w:rPr>
          <w:sz w:val="18"/>
        </w:rPr>
        <w:t>: The ISO 23247 reference implementation for chemical manufacturing will be documented and contributed to ISO TC 184 (Automation systems and integration) working groups, strengthening EU influence on international manufacturing digitalisation standards.</w:t>
      </w:r>
    </w:p>
    <w:p>
      <w:pPr>
        <w:pStyle w:val="Heading3"/>
      </w:pPr>
      <w:r>
        <w:t>Capacity Building and Job Creation</w:t>
      </w:r>
    </w:p>
    <w:p>
      <w:r>
        <w:rPr>
          <w:sz w:val="18"/>
        </w:rPr>
        <w:t>The Brindisi facility creates direct employment in Puglia, an EU Cohesion Policy convergence region with high structural unemployment. The project delivers:</w:t>
      </w:r>
    </w:p>
    <w:p>
      <w:pPr>
        <w:pStyle w:val="ListBullet"/>
      </w:pPr>
      <w:r>
        <w:rPr>
          <w:b/>
          <w:sz w:val="18"/>
        </w:rPr>
        <w:t>Direct manufacturing employment</w:t>
      </w:r>
      <w:r>
        <w:rPr>
          <w:sz w:val="18"/>
        </w:rPr>
        <w:t xml:space="preserve">: Operators, process engineers, quality control technicians, and maintenance staff for the 4-line, 50 kton/yr LFP CAM production facility </w:t>
      </w:r>
      <w:r>
        <w:rPr>
          <w:b/>
          <w:color w:val="CC0000"/>
          <w:sz w:val="18"/>
        </w:rPr>
        <w:t>[TO BE COMPLETED: specific FTE numbers to be provided by FIB HR planning]</w:t>
      </w:r>
      <w:r>
        <w:rPr>
          <w:sz w:val="18"/>
        </w:rPr>
        <w:t>.</w:t>
      </w:r>
    </w:p>
    <w:p>
      <w:pPr>
        <w:pStyle w:val="ListBullet"/>
      </w:pPr>
      <w:r>
        <w:rPr>
          <w:b/>
          <w:sz w:val="18"/>
        </w:rPr>
        <w:t>Digital skills development</w:t>
      </w:r>
      <w:r>
        <w:rPr>
          <w:sz w:val="18"/>
        </w:rPr>
        <w:t>: A dedicated training programme for DT operators — skilled technicians who combine process engineering knowledge with data science and model-based control expertise. This cross-disciplinary skillset is essential for Industry 4.0 manufacturing and currently scarce in Southern Europe.</w:t>
      </w:r>
    </w:p>
    <w:p>
      <w:pPr>
        <w:pStyle w:val="ListBullet"/>
      </w:pPr>
      <w:r>
        <w:rPr>
          <w:b/>
          <w:sz w:val="18"/>
        </w:rPr>
        <w:t>Supply chain employment</w:t>
      </w:r>
      <w:r>
        <w:rPr>
          <w:sz w:val="18"/>
        </w:rPr>
        <w:t>: Indirect job creation through local suppliers of utilities, logistics, maintenance services, and raw material handling.</w:t>
      </w:r>
    </w:p>
    <w:p>
      <w:pPr>
        <w:pStyle w:val="ListBullet"/>
      </w:pPr>
      <w:r>
        <w:rPr>
          <w:b/>
          <w:sz w:val="18"/>
        </w:rPr>
        <w:t>Apprenticeship and internship programmes</w:t>
      </w:r>
      <w:r>
        <w:rPr>
          <w:sz w:val="18"/>
        </w:rPr>
        <w:t>: Structured programmes in partnership with Puglia-region vocational training institutions and universities, building a pipeline of skilled workers for the emerging EU battery manufacturing sector.</w:t>
      </w:r>
    </w:p>
    <w:p>
      <w:pPr>
        <w:pStyle w:val="Heading3"/>
      </w:pPr>
      <w:r>
        <w:t>Supply Chain Due Diligence</w:t>
      </w:r>
    </w:p>
    <w:p>
      <w:r>
        <w:rPr>
          <w:sz w:val="18"/>
        </w:rPr>
        <w:t>The project implements comprehensive supply chain governance aligned with EU expectations:</w:t>
      </w:r>
    </w:p>
    <w:p>
      <w:pPr>
        <w:pStyle w:val="ListBullet"/>
      </w:pPr>
      <w:r>
        <w:rPr>
          <w:b/>
          <w:sz w:val="18"/>
        </w:rPr>
        <w:t>Transparency</w:t>
      </w:r>
      <w:r>
        <w:rPr>
          <w:sz w:val="18"/>
        </w:rPr>
        <w:t>: EU-based supply chain with full traceability from raw material procurement to finished LFP CAM product. The DT's data architecture (OPC-UA/MQTT, time-series databases, edge-fog-cloud) inherently captures the provenance and process data required for the EU Battery Passport (mandatory from 2027).</w:t>
      </w:r>
    </w:p>
    <w:p>
      <w:pPr>
        <w:pStyle w:val="ListBullet"/>
      </w:pPr>
      <w:r>
        <w:rPr>
          <w:b/>
          <w:sz w:val="18"/>
        </w:rPr>
        <w:t>Governance standards</w:t>
      </w:r>
      <w:r>
        <w:rPr>
          <w:sz w:val="18"/>
        </w:rPr>
        <w:t>: All suppliers are subject to FIB/Eni procurement standards covering governance, anti-corruption, labour rights, and environmental performance.</w:t>
      </w:r>
    </w:p>
    <w:p>
      <w:pPr>
        <w:pStyle w:val="ListBullet"/>
      </w:pPr>
      <w:r>
        <w:rPr>
          <w:b/>
          <w:sz w:val="18"/>
        </w:rPr>
        <w:t>Environmental performance</w:t>
      </w:r>
      <w:r>
        <w:rPr>
          <w:sz w:val="18"/>
        </w:rPr>
        <w:t>: Supplier environmental assessments cover water risk, emissions, waste management, and biodiversity impacts, aligned with the CSRD (Corporate Sustainability Reporting Directive) framework.</w:t>
      </w:r>
    </w:p>
    <w:p>
      <w:pPr>
        <w:pStyle w:val="ListBullet"/>
      </w:pPr>
      <w:r>
        <w:rPr>
          <w:b/>
          <w:sz w:val="18"/>
        </w:rPr>
        <w:t>Conflict mineral avoidance</w:t>
      </w:r>
      <w:r>
        <w:rPr>
          <w:sz w:val="18"/>
        </w:rPr>
        <w:t>: LFP chemistry eliminates cobalt — the battery material most associated with conflict mineral sourcing concerns — removing the single most difficult due diligence challenge in battery supply chains.</w:t>
      </w:r>
    </w:p>
    <w:p>
      <w:pPr>
        <w:pStyle w:val="ListBullet"/>
      </w:pPr>
      <w:r>
        <w:rPr>
          <w:b/>
          <w:sz w:val="18"/>
        </w:rPr>
        <w:t>Human and social rights</w:t>
      </w:r>
      <w:r>
        <w:rPr>
          <w:sz w:val="18"/>
        </w:rPr>
        <w:t>: Lithium sourcing follows EU Critical Raw Materials Act due diligence requirements. Iron phosphate and glucose are sourced from established industrial supply chains with no identified human rights red flags.</w:t>
      </w:r>
    </w:p>
    <w:p>
      <w:pPr>
        <w:pStyle w:val="Heading3"/>
      </w:pPr>
      <w:r>
        <w:t>EEA-Originating Content</w:t>
      </w:r>
    </w:p>
    <w:p>
      <w:r>
        <w:rPr>
          <w:sz w:val="18"/>
        </w:rPr>
        <w:t>The Brindisi facility is located in Italy (EU Member State). The LFP CAM product is manufactured entirely within the EU/EEA. Key equipment and technology components:</w:t>
      </w:r>
    </w:p>
    <w:p>
      <w:pPr>
        <w:pStyle w:val="ListBullet"/>
      </w:pPr>
      <w:r>
        <w:rPr>
          <w:b/>
          <w:sz w:val="18"/>
        </w:rPr>
        <w:t>Manufacturing equipment</w:t>
      </w:r>
      <w:r>
        <w:rPr>
          <w:sz w:val="18"/>
        </w:rPr>
        <w:t>: Electric roller hearth kilns, spray dryers, jet mills, and ultrasonic sieving equipment sourced from EU/EEA and allied-nation suppliers where available (e.g., Kanthal/Sandvik for electric heating elements — Sweden; NGK or equivalent for roller hearth kiln systems).</w:t>
      </w:r>
    </w:p>
    <w:p>
      <w:pPr>
        <w:pStyle w:val="ListBullet"/>
      </w:pPr>
      <w:r>
        <w:rPr>
          <w:b/>
          <w:sz w:val="18"/>
        </w:rPr>
        <w:t>DT infrastructure</w:t>
      </w:r>
      <w:r>
        <w:rPr>
          <w:sz w:val="18"/>
        </w:rPr>
        <w:t>: Software development, modeling frameworks, and data architecture developed within EU/EEA.</w:t>
      </w:r>
    </w:p>
    <w:p>
      <w:pPr>
        <w:pStyle w:val="ListBullet"/>
      </w:pPr>
      <w:r>
        <w:rPr>
          <w:b/>
          <w:sz w:val="18"/>
        </w:rPr>
        <w:t>Process know-how</w:t>
      </w:r>
      <w:r>
        <w:rPr>
          <w:sz w:val="18"/>
        </w:rPr>
        <w:t>: The integrated DT-electrified manufacturing process is developed entirely within the EU/EEA consortium.</w:t>
      </w:r>
    </w:p>
    <w:p>
      <w:r>
        <w:rPr>
          <w:sz w:val="18"/>
        </w:rPr>
        <w:t>The declaration on equipment/components EEA-originating content (mandatory deliverable in the last year of operation for CLEAN-TECH-MANUFACTURING projects) will be prepared and submitted as part of the final work package.</w:t>
      </w:r>
    </w:p>
    <w:p>
      <w:r>
        <w:rPr>
          <w:sz w:val="18"/>
        </w:rPr>
        <w:t>---</w:t>
      </w:r>
    </w:p>
    <w:p>
      <w:pPr>
        <w:pStyle w:val="Heading2"/>
      </w:pPr>
      <w:r>
        <w:t>4.2 Knowledge Sharing — Communication, Dissemination, and Visibility</w:t>
      </w:r>
    </w:p>
    <w:p>
      <w:r>
        <w:rPr>
          <w:sz w:val="18"/>
        </w:rPr>
        <w:t>The FAAM-ENI Circular Energy project commits to an ambitious knowledge sharing programme that extends beyond mandatory requirements, reflecting the project's strategic importance for EU battery sovereignty.</w:t>
      </w:r>
    </w:p>
    <w:p>
      <w:pPr>
        <w:pStyle w:val="Heading3"/>
      </w:pPr>
      <w:r>
        <w:t>Technical and Scientific Publications</w:t>
      </w:r>
    </w:p>
    <w:p>
      <w:pPr>
        <w:pStyle w:val="ListBullet"/>
      </w:pPr>
      <w:r>
        <w:rPr>
          <w:b/>
          <w:sz w:val="18"/>
        </w:rPr>
        <w:t>Peer-reviewed publications</w:t>
      </w:r>
      <w:r>
        <w:rPr>
          <w:sz w:val="18"/>
        </w:rPr>
        <w:t>: A minimum of 3 peer-reviewed publications over the project lifetime, targeting journals such as Journal of Power Sources, Journal of The Electrochemical Society, and Computers &amp; Chemical Engineering. Publication topics include: (1) the ISO 23247 reference implementation for chemical powder manufacturing; (2) multi-scale modeling methodology for LFP CAM synthesis; (3) electrified LFP CAM production energy and GHG performance data (the first published LFP-specific data, addressing the research gap identified in CLM-028).</w:t>
      </w:r>
    </w:p>
    <w:p>
      <w:pPr>
        <w:pStyle w:val="ListBullet"/>
      </w:pPr>
      <w:r>
        <w:rPr>
          <w:b/>
          <w:sz w:val="18"/>
        </w:rPr>
        <w:t>Conference presentations</w:t>
      </w:r>
      <w:r>
        <w:rPr>
          <w:sz w:val="18"/>
        </w:rPr>
        <w:t>: Annual presentations at major EU battery and manufacturing conferences (EU Battery Alliance events, The Battery Show Europe, ACHEMA, Digital Twin Conference).</w:t>
      </w:r>
    </w:p>
    <w:p>
      <w:pPr>
        <w:pStyle w:val="Heading3"/>
      </w:pPr>
      <w:r>
        <w:t>Open-Source DT Framework Components</w:t>
      </w:r>
    </w:p>
    <w:p>
      <w:r>
        <w:rPr>
          <w:sz w:val="18"/>
        </w:rPr>
        <w:t>Where commercially non-sensitive, the project will release open-source components of the DT framework:</w:t>
      </w:r>
    </w:p>
    <w:p>
      <w:pPr>
        <w:pStyle w:val="ListBullet"/>
      </w:pPr>
      <w:r>
        <w:rPr>
          <w:sz w:val="18"/>
        </w:rPr>
        <w:t>ISO 23247 reference architecture documentation for chemical manufacturing (layer specifications, interface definitions, data schemas)</w:t>
      </w:r>
    </w:p>
    <w:p>
      <w:pPr>
        <w:pStyle w:val="ListBullet"/>
      </w:pPr>
      <w:r>
        <w:rPr>
          <w:sz w:val="18"/>
        </w:rPr>
        <w:t>Validated surrogate models for generic spray drying and calcination unit operations (without proprietary LFP-specific parameters)</w:t>
      </w:r>
    </w:p>
    <w:p>
      <w:pPr>
        <w:pStyle w:val="ListBullet"/>
      </w:pPr>
      <w:r>
        <w:rPr>
          <w:sz w:val="18"/>
        </w:rPr>
        <w:t>Data integration templates for OPC-UA/MQTT sensor-to-DT data pipelines</w:t>
      </w:r>
    </w:p>
    <w:p>
      <w:r>
        <w:rPr>
          <w:sz w:val="18"/>
        </w:rPr>
        <w:t>This approach balances IP protection for the consortium with the EU objective of building a shared knowledge base for manufacturing digitalisation.</w:t>
      </w:r>
    </w:p>
    <w:p>
      <w:pPr>
        <w:pStyle w:val="Heading3"/>
      </w:pPr>
      <w:r>
        <w:t>Site Visits and Stakeholder Engagement</w:t>
      </w:r>
    </w:p>
    <w:p>
      <w:pPr>
        <w:pStyle w:val="ListBullet"/>
      </w:pPr>
      <w:r>
        <w:rPr>
          <w:b/>
          <w:sz w:val="18"/>
        </w:rPr>
        <w:t>Annual site visits</w:t>
      </w:r>
      <w:r>
        <w:rPr>
          <w:sz w:val="18"/>
        </w:rPr>
        <w:t>: The Brindisi facility will host annual site visits for EU battery ecosystem stakeholders, including cell manufacturers, equipment suppliers, policy makers, and research institutions. Visits include production line tours (within IP constraints), DT demonstration, and technical discussion sessions.</w:t>
      </w:r>
    </w:p>
    <w:p>
      <w:pPr>
        <w:pStyle w:val="ListBullet"/>
      </w:pPr>
      <w:r>
        <w:rPr>
          <w:b/>
          <w:sz w:val="18"/>
        </w:rPr>
        <w:t>EU Battery Alliance engagement</w:t>
      </w:r>
      <w:r>
        <w:rPr>
          <w:sz w:val="18"/>
        </w:rPr>
        <w:t>: Active participation in EU Battery Alliance working groups on manufacturing digitalisation and cathode material production.</w:t>
      </w:r>
    </w:p>
    <w:p>
      <w:pPr>
        <w:pStyle w:val="Heading3"/>
      </w:pPr>
      <w:r>
        <w:t>Training Programmes</w:t>
      </w:r>
    </w:p>
    <w:p>
      <w:pPr>
        <w:pStyle w:val="ListBullet"/>
      </w:pPr>
      <w:r>
        <w:rPr>
          <w:b/>
          <w:sz w:val="18"/>
        </w:rPr>
        <w:t>DT operator training curriculum</w:t>
      </w:r>
      <w:r>
        <w:rPr>
          <w:sz w:val="18"/>
        </w:rPr>
        <w:t>: Developed in partnership with regional vocational institutions, the training programme will be documented and made available as a replicable template for other EU manufacturers implementing digital twin systems.</w:t>
      </w:r>
    </w:p>
    <w:p>
      <w:pPr>
        <w:pStyle w:val="ListBullet"/>
      </w:pPr>
      <w:r>
        <w:rPr>
          <w:b/>
          <w:sz w:val="18"/>
        </w:rPr>
        <w:t>Masterclass series</w:t>
      </w:r>
      <w:r>
        <w:rPr>
          <w:sz w:val="18"/>
        </w:rPr>
        <w:t>: Annual 2-day technical masterclasses on DT-driven manufacturing for industry participants, combining lectures with hands-on simulation exercises using the project's validated models.</w:t>
      </w:r>
    </w:p>
    <w:p>
      <w:pPr>
        <w:pStyle w:val="Heading3"/>
      </w:pPr>
      <w:r>
        <w:t>Annual Knowledge Sharing Reports</w:t>
      </w:r>
    </w:p>
    <w:p>
      <w:r>
        <w:rPr>
          <w:sz w:val="18"/>
        </w:rPr>
        <w:t>As a mandatory deliverable, knowledge sharing reports will be submitted at each milestone (financial close, entry into operation, annually during operational monitoring). These reports will document:</w:t>
      </w:r>
    </w:p>
    <w:p>
      <w:pPr>
        <w:pStyle w:val="ListBullet"/>
      </w:pPr>
      <w:r>
        <w:rPr>
          <w:sz w:val="18"/>
        </w:rPr>
        <w:t>Technical progress and lessons learned</w:t>
      </w:r>
    </w:p>
    <w:p>
      <w:pPr>
        <w:pStyle w:val="ListBullet"/>
      </w:pPr>
      <w:r>
        <w:rPr>
          <w:sz w:val="18"/>
        </w:rPr>
        <w:t>Publications and presentations completed</w:t>
      </w:r>
    </w:p>
    <w:p>
      <w:pPr>
        <w:pStyle w:val="ListBullet"/>
      </w:pPr>
      <w:r>
        <w:rPr>
          <w:sz w:val="18"/>
        </w:rPr>
        <w:t>Site visits conducted and stakeholder feedback</w:t>
      </w:r>
    </w:p>
    <w:p>
      <w:pPr>
        <w:pStyle w:val="ListBullet"/>
      </w:pPr>
      <w:r>
        <w:rPr>
          <w:sz w:val="18"/>
        </w:rPr>
        <w:t>Training programmes delivered and participants reached</w:t>
      </w:r>
    </w:p>
    <w:p>
      <w:pPr>
        <w:pStyle w:val="ListBullet"/>
      </w:pPr>
      <w:r>
        <w:rPr>
          <w:sz w:val="18"/>
        </w:rPr>
        <w:t>Open-source releases and adoption metrics</w:t>
      </w:r>
    </w:p>
    <w:p>
      <w:pPr>
        <w:pStyle w:val="Heading3"/>
      </w:pPr>
      <w:r>
        <w:t>EU Funding Visibility</w:t>
      </w:r>
    </w:p>
    <w:p>
      <w:r>
        <w:rPr>
          <w:sz w:val="18"/>
        </w:rPr>
        <w:t>All project communications, publications, technical documentation, and site signage will prominently display:</w:t>
      </w:r>
    </w:p>
    <w:p>
      <w:pPr>
        <w:pStyle w:val="ListBullet"/>
      </w:pPr>
      <w:r>
        <w:rPr>
          <w:sz w:val="18"/>
        </w:rPr>
        <w:t>The EU flag and Innovation Fund logo</w:t>
      </w:r>
    </w:p>
    <w:p>
      <w:pPr>
        <w:pStyle w:val="ListBullet"/>
      </w:pPr>
      <w:r>
        <w:rPr>
          <w:sz w:val="18"/>
        </w:rPr>
        <w:t>The acknowledgment text: "This project has received funding from the Innovation Fund of the European Union"</w:t>
      </w:r>
    </w:p>
    <w:p>
      <w:pPr>
        <w:pStyle w:val="ListBullet"/>
      </w:pPr>
      <w:r>
        <w:rPr>
          <w:sz w:val="18"/>
        </w:rPr>
        <w:t>The grant agreement number and project acronym</w:t>
      </w:r>
    </w:p>
    <w:p>
      <w:r>
        <w:rPr>
          <w:sz w:val="18"/>
        </w:rPr>
        <w:t>Visibility measures comply with the grant agreement communication and dissemination obligations and the Innovation Fund branding guidelines.</w:t>
      </w:r>
    </w:p>
    <w:p>
      <w:r>
        <w:br w:type="page"/>
      </w:r>
    </w:p>
    <w:p>
      <w:pPr>
        <w:spacing w:before="120" w:after="120"/>
        <w:shd w:val="clear" w:color="auto" w:fill="FFF3CD"/>
      </w:pPr>
      <w:r>
        <w:rPr>
          <w:b/>
          <w:color w:val="856304"/>
          <w:sz w:val="16"/>
        </w:rPr>
        <w:t xml:space="preserve">[REVIEWER NOTES] </w:t>
      </w:r>
      <w:r>
        <w:rPr>
          <w:color w:val="856304"/>
          <w:sz w:val="16"/>
        </w:rPr>
        <w:t>CLAIMS REFERENCED: CLM-009</w:t>
        <w:br/>
      </w:r>
      <w:r>
        <w:rPr>
          <w:color w:val="856304"/>
          <w:sz w:val="16"/>
        </w:rPr>
        <w:t>WORD COUNT: 341</w:t>
        <w:br/>
      </w:r>
    </w:p>
    <w:p>
      <w:pPr>
        <w:pStyle w:val="Heading1"/>
      </w:pPr>
      <w:r>
        <w:t>Section 6 — Bonus Points</w:t>
      </w:r>
    </w:p>
    <w:p>
      <w:pPr>
        <w:pStyle w:val="Heading2"/>
      </w:pPr>
      <w:r>
        <w:t>Bonus 1: Potential to Deliver Net Carbon Removals</w:t>
      </w:r>
    </w:p>
    <w:p>
      <w:r>
        <w:rPr>
          <w:b/>
          <w:sz w:val="18"/>
        </w:rPr>
        <w:t>Not applicable.</w:t>
      </w:r>
      <w:r>
        <w:rPr>
          <w:sz w:val="18"/>
        </w:rPr>
        <w:t xml:space="preserve"> The FAAM-ENI Circular Energy project is an LFP cathode active material manufacturing facility. The project delivers significant GHG emission avoidance through electrification of process heat and DT-driven energy optimisation (detailed in Sections 2.1 and 2.2), but it does not incorporate a mechanism for net carbon removal (negative emissions).</w:t>
      </w:r>
    </w:p>
    <w:p>
      <w:r>
        <w:rPr>
          <w:sz w:val="18"/>
        </w:rPr>
        <w:t xml:space="preserve">LFP CAM production is a materials synthesis process that consumes lithium carbonate, iron phosphate, and glucose as inputs. While glucose pyrolysis during calcination produces a carbon coating on LFP particles, this carbon originates from a biogenic source and represents a negligible mass fraction (1.0-1.8 wt% of final product </w:t>
      </w:r>
      <w:r>
        <w:rPr>
          <w:color w:val="0066CC"/>
          <w:sz w:val="16"/>
        </w:rPr>
        <w:t>[CLM-009]</w:t>
      </w:r>
      <w:r>
        <w:rPr>
          <w:sz w:val="18"/>
        </w:rPr>
        <w:t>) that is ultimately released at end-of-life recycling — not permanently sequestered. No carbon capture and storage (CCS), direct air capture (DAC), or bioenergy with CCS (BECCS) component is included in the project scope.</w:t>
      </w:r>
    </w:p>
    <w:p>
      <w:r>
        <w:rPr>
          <w:sz w:val="18"/>
        </w:rPr>
        <w:t xml:space="preserve">The project's climate contribution is through </w:t>
      </w:r>
      <w:r>
        <w:rPr>
          <w:b/>
          <w:sz w:val="18"/>
        </w:rPr>
        <w:t>emission avoidance</w:t>
      </w:r>
      <w:r>
        <w:rPr>
          <w:sz w:val="18"/>
        </w:rPr>
        <w:t xml:space="preserve"> (displacing gas-fired Chinese LFP CAM production with electrified EU production), not through net carbon removal.</w:t>
      </w:r>
    </w:p>
    <w:p>
      <w:pPr>
        <w:pStyle w:val="Heading2"/>
      </w:pPr>
      <w:r>
        <w:t>Bonus 2: SME-Coordinated and Implemented Project</w:t>
      </w:r>
    </w:p>
    <w:p>
      <w:r>
        <w:rPr>
          <w:b/>
          <w:sz w:val="18"/>
        </w:rPr>
        <w:t>Not applicable.</w:t>
      </w:r>
      <w:r>
        <w:rPr>
          <w:sz w:val="18"/>
        </w:rPr>
        <w:t xml:space="preserve"> The project consortium consists of:</w:t>
      </w:r>
    </w:p>
    <w:p>
      <w:pPr>
        <w:pStyle w:val="ListBullet"/>
      </w:pPr>
      <w:r>
        <w:rPr>
          <w:b/>
          <w:sz w:val="18"/>
        </w:rPr>
        <w:t>FIB (FAAM)</w:t>
      </w:r>
      <w:r>
        <w:rPr>
          <w:sz w:val="18"/>
        </w:rPr>
        <w:t xml:space="preserve"> — Coordinator. FIB is a subsidiary within the FAAM group, a large enterprise exceeding the EU SME thresholds (Commission Recommendation 2003/361) for headcount, turnover, and balance sheet total.</w:t>
      </w:r>
    </w:p>
    <w:p>
      <w:pPr>
        <w:pStyle w:val="ListBullet"/>
      </w:pPr>
      <w:r>
        <w:rPr>
          <w:b/>
          <w:sz w:val="18"/>
        </w:rPr>
        <w:t>Eni S.p.A.</w:t>
      </w:r>
      <w:r>
        <w:rPr>
          <w:sz w:val="18"/>
        </w:rPr>
        <w:t xml:space="preserve"> — Beneficiary. Eni is a multinational energy corporation and one of Italy's largest companies, with approximately 32,000 employees and annual revenues exceeding EUR 90 billion.</w:t>
      </w:r>
    </w:p>
    <w:p>
      <w:r>
        <w:rPr>
          <w:sz w:val="18"/>
        </w:rPr>
        <w:t xml:space="preserve">Neither consortium partner qualifies as an SME. This bonus criterion requires that </w:t>
      </w:r>
      <w:r>
        <w:rPr>
          <w:b/>
          <w:sz w:val="18"/>
        </w:rPr>
        <w:t>all</w:t>
      </w:r>
      <w:r>
        <w:rPr>
          <w:sz w:val="18"/>
        </w:rPr>
        <w:t xml:space="preserve"> beneficiaries and affiliated entities be SMEs, which is not the case.</w:t>
      </w:r>
    </w:p>
    <w:p>
      <w:pPr>
        <w:pStyle w:val="Heading2"/>
      </w:pPr>
      <w:r>
        <w:t>Bonus 3: Maritime Sector Projects</w:t>
      </w:r>
    </w:p>
    <w:p>
      <w:r>
        <w:rPr>
          <w:b/>
          <w:sz w:val="18"/>
        </w:rPr>
        <w:t>Not applicable.</w:t>
      </w:r>
      <w:r>
        <w:rPr>
          <w:sz w:val="18"/>
        </w:rPr>
        <w:t xml:space="preserve"> The FAAM-ENI Circular Energy project manufactures LFP cathode active material for the general battery market (electric vehicles, grid-scale energy storage). While LFP batteries have emerging applications in maritime electrification (e.g., short-sea shipping, port equipment), the Brindisi plant's primary market and production targets are not specifically directed at maritime sector decarbonisation. The project does not meet the requirement for demonstrated potential specifically for decarbonising the maritime sector.</w:t>
      </w:r>
    </w:p>
    <w:p>
      <w:r>
        <w:br w:type="page"/>
      </w:r>
    </w:p>
    <w:p>
      <w:pPr>
        <w:spacing w:before="120" w:after="120"/>
        <w:shd w:val="clear" w:color="auto" w:fill="FFF3CD"/>
      </w:pPr>
      <w:r>
        <w:rPr>
          <w:b/>
          <w:color w:val="856304"/>
          <w:sz w:val="16"/>
        </w:rPr>
        <w:t xml:space="preserve">[REVIEWER NOTES] </w:t>
      </w:r>
      <w:r>
        <w:rPr>
          <w:color w:val="856304"/>
          <w:sz w:val="16"/>
        </w:rPr>
        <w:t>CLAIMS REFERENCED: CLM-007, CLM-008, CLM-009, CLM-016, CLM-020</w:t>
        <w:br/>
      </w:r>
      <w:r>
        <w:rPr>
          <w:color w:val="856304"/>
          <w:sz w:val="16"/>
        </w:rPr>
        <w:t>OPEN ISSUES:</w:t>
        <w:br/>
      </w:r>
      <w:r>
        <w:rPr>
          <w:color w:val="856304"/>
          <w:sz w:val="16"/>
        </w:rPr>
        <w:t xml:space="preserve">  - TO BE COMPLETED: Budget to be confirmed by CFO team. Must not exceed 40% of maximum grant amount.</w:t>
        <w:br/>
      </w:r>
      <w:r>
        <w:rPr>
          <w:color w:val="856304"/>
          <w:sz w:val="16"/>
        </w:rPr>
        <w:t xml:space="preserve">  - TO BE COMPLETED: Specific budget figures (total CAPEX, OPEX by WP, grant request amount) to be provided by the CFO team and included in the Financial Information File (Annex 1 to Part B). The detailed budget table uses the mandatory relevant cost calculator template.</w:t>
        <w:br/>
      </w:r>
      <w:r>
        <w:rPr>
          <w:color w:val="856304"/>
          <w:sz w:val="16"/>
        </w:rPr>
        <w:t xml:space="preserve">  - TO BE COMPLETED: Detailed Gantt chart to be prepared using the Portal Reference Documents template or equivalent, and attached as annex to Part B.</w:t>
        <w:br/>
      </w:r>
      <w:r>
        <w:rPr>
          <w:color w:val="856304"/>
          <w:sz w:val="16"/>
        </w:rPr>
        <w:t>SOURCES CITED: SRC-007, SRC-ED-010</w:t>
        <w:br/>
      </w:r>
      <w:r>
        <w:rPr>
          <w:color w:val="856304"/>
          <w:sz w:val="16"/>
        </w:rPr>
        <w:t>WORD COUNT: 3201</w:t>
        <w:br/>
      </w:r>
    </w:p>
    <w:p>
      <w:pPr>
        <w:pStyle w:val="Heading1"/>
      </w:pPr>
      <w:r>
        <w:t>7 Workplan, Work Packages, Activities, Milestones, Deliverables and Timing</w:t>
      </w:r>
    </w:p>
    <w:p>
      <w:pPr>
        <w:pStyle w:val="Heading2"/>
      </w:pPr>
      <w:r>
        <w:t>7.1 Work Plan Overview</w:t>
      </w:r>
    </w:p>
    <w:p>
      <w:r>
        <w:rPr>
          <w:sz w:val="18"/>
        </w:rPr>
        <w:t>The project is structured into seven mandatory sequential work packages spanning from grant agreement signature (M0, estimated Q1 2027) through the end of the 5-year operational monitoring period (M108). The work plan follows the mandatory CLEAN-TECH-MANUFACTURING WP structure: WP1 covers the period up to financial close; WP2 covers financial close to entry into operation; and WP3-WP7 cover the five years of operational monitoring and GHG emission avoidance reporting.</w:t>
      </w:r>
    </w:p>
    <w:p>
      <w:r>
        <w:rPr>
          <w:sz w:val="18"/>
        </w:rPr>
        <w:t xml:space="preserve">The timeline is designed to achieve the two key scoring milestones: </w:t>
      </w:r>
      <w:r>
        <w:rPr>
          <w:b/>
          <w:sz w:val="18"/>
        </w:rPr>
        <w:t>financial close within 24 months (M24)</w:t>
      </w:r>
      <w:r>
        <w:rPr>
          <w:sz w:val="18"/>
        </w:rPr>
        <w:t xml:space="preserve"> and </w:t>
      </w:r>
      <w:r>
        <w:rPr>
          <w:b/>
          <w:sz w:val="18"/>
        </w:rPr>
        <w:t>entry into operation within 48 months (M48)</w:t>
      </w:r>
      <w:r>
        <w:rPr>
          <w:sz w:val="18"/>
        </w:rPr>
        <w:t xml:space="preserve"> of grant agreement signature.</w:t>
      </w:r>
    </w:p>
    <w:p>
      <w:pPr>
        <w:pStyle w:val="Heading3"/>
      </w:pPr>
      <w:r>
        <w:t>Work Plan Summary Table</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WP</w:t>
            </w:r>
          </w:p>
        </w:tc>
        <w:tc>
          <w:tcPr>
            <w:tcW w:type="dxa" w:w="1757"/>
          </w:tcPr>
          <w:p>
            <w:r>
              <w:rPr>
                <w:b/>
                <w:sz w:val="16"/>
              </w:rPr>
              <w:t>Title</w:t>
            </w:r>
          </w:p>
        </w:tc>
        <w:tc>
          <w:tcPr>
            <w:tcW w:type="dxa" w:w="1757"/>
          </w:tcPr>
          <w:p>
            <w:r>
              <w:rPr>
                <w:b/>
                <w:sz w:val="16"/>
              </w:rPr>
              <w:t>Duration</w:t>
            </w:r>
          </w:p>
        </w:tc>
        <w:tc>
          <w:tcPr>
            <w:tcW w:type="dxa" w:w="1757"/>
          </w:tcPr>
          <w:p>
            <w:r>
              <w:rPr>
                <w:b/>
                <w:sz w:val="16"/>
              </w:rPr>
              <w:t>Key Deliverables</w:t>
            </w:r>
          </w:p>
        </w:tc>
        <w:tc>
          <w:tcPr>
            <w:tcW w:type="dxa" w:w="1757"/>
          </w:tcPr>
          <w:p>
            <w:r>
              <w:rPr>
                <w:b/>
                <w:sz w:val="16"/>
              </w:rPr>
              <w:t>Key Milestone</w:t>
            </w:r>
          </w:p>
        </w:tc>
        <w:tc>
          <w:tcPr>
            <w:tcW w:type="dxa" w:w="1757"/>
          </w:tcPr>
          <w:p>
            <w:r>
              <w:rPr>
                <w:b/>
                <w:sz w:val="16"/>
              </w:rPr>
              <w:t>Payment Trigger</w:t>
            </w:r>
          </w:p>
        </w:tc>
      </w:tr>
      <w:tr>
        <w:tc>
          <w:tcPr>
            <w:tcW w:type="dxa" w:w="1757"/>
          </w:tcPr>
          <w:p>
            <w:r>
              <w:rPr>
                <w:sz w:val="16"/>
              </w:rPr>
              <w:t>WP1</w:t>
            </w:r>
          </w:p>
        </w:tc>
        <w:tc>
          <w:tcPr>
            <w:tcW w:type="dxa" w:w="1757"/>
          </w:tcPr>
          <w:p>
            <w:r>
              <w:rPr>
                <w:sz w:val="16"/>
              </w:rPr>
              <w:t>Up to Financial Close</w:t>
            </w:r>
          </w:p>
        </w:tc>
        <w:tc>
          <w:tcPr>
            <w:tcW w:type="dxa" w:w="1757"/>
          </w:tcPr>
          <w:p>
            <w:r>
              <w:rPr>
                <w:sz w:val="16"/>
              </w:rPr>
              <w:t>M0-M24</w:t>
            </w:r>
          </w:p>
        </w:tc>
        <w:tc>
          <w:tcPr>
            <w:tcW w:type="dxa" w:w="1757"/>
          </w:tcPr>
          <w:p>
            <w:r>
              <w:rPr>
                <w:sz w:val="16"/>
              </w:rPr>
              <w:t>D1.1-D1.7 (project management plan, financial model, KS plan, progress reports, FC documentation)</w:t>
            </w:r>
          </w:p>
        </w:tc>
        <w:tc>
          <w:tcPr>
            <w:tcW w:type="dxa" w:w="1757"/>
          </w:tcPr>
          <w:p>
            <w:r>
              <w:rPr>
                <w:sz w:val="16"/>
              </w:rPr>
              <w:t>**Financial Close (M24)**</w:t>
            </w:r>
          </w:p>
        </w:tc>
        <w:tc>
          <w:tcPr>
            <w:tcW w:type="dxa" w:w="1757"/>
          </w:tcPr>
          <w:p>
            <w:r>
              <w:rPr>
                <w:sz w:val="16"/>
              </w:rPr>
              <w:t>FC milestone</w:t>
            </w:r>
          </w:p>
        </w:tc>
      </w:tr>
      <w:tr>
        <w:tc>
          <w:tcPr>
            <w:tcW w:type="dxa" w:w="1757"/>
          </w:tcPr>
          <w:p>
            <w:r>
              <w:rPr>
                <w:sz w:val="16"/>
              </w:rPr>
              <w:t>WP2</w:t>
            </w:r>
          </w:p>
        </w:tc>
        <w:tc>
          <w:tcPr>
            <w:tcW w:type="dxa" w:w="1757"/>
          </w:tcPr>
          <w:p>
            <w:r>
              <w:rPr>
                <w:sz w:val="16"/>
              </w:rPr>
              <w:t>Financial Close to Entry into Operation</w:t>
            </w:r>
          </w:p>
        </w:tc>
        <w:tc>
          <w:tcPr>
            <w:tcW w:type="dxa" w:w="1757"/>
          </w:tcPr>
          <w:p>
            <w:r>
              <w:rPr>
                <w:sz w:val="16"/>
              </w:rPr>
              <w:t>M24-M48</w:t>
            </w:r>
          </w:p>
        </w:tc>
        <w:tc>
          <w:tcPr>
            <w:tcW w:type="dxa" w:w="1757"/>
          </w:tcPr>
          <w:p>
            <w:r>
              <w:rPr>
                <w:sz w:val="16"/>
              </w:rPr>
              <w:t>D2.1-D2.6 (progress reports, auditor statement, operational readiness certificate, GHG monitoring plan)</w:t>
            </w:r>
          </w:p>
        </w:tc>
        <w:tc>
          <w:tcPr>
            <w:tcW w:type="dxa" w:w="1757"/>
          </w:tcPr>
          <w:p>
            <w:r>
              <w:rPr>
                <w:sz w:val="16"/>
              </w:rPr>
              <w:t>**Entry into Operation (M48)**</w:t>
            </w:r>
          </w:p>
        </w:tc>
        <w:tc>
          <w:tcPr>
            <w:tcW w:type="dxa" w:w="1757"/>
          </w:tcPr>
          <w:p>
            <w:r>
              <w:rPr>
                <w:sz w:val="16"/>
              </w:rPr>
              <w:t>EiO milestone</w:t>
            </w:r>
          </w:p>
        </w:tc>
      </w:tr>
      <w:tr>
        <w:tc>
          <w:tcPr>
            <w:tcW w:type="dxa" w:w="1757"/>
          </w:tcPr>
          <w:p>
            <w:r>
              <w:rPr>
                <w:sz w:val="16"/>
              </w:rPr>
              <w:t>WP3</w:t>
            </w:r>
          </w:p>
        </w:tc>
        <w:tc>
          <w:tcPr>
            <w:tcW w:type="dxa" w:w="1757"/>
          </w:tcPr>
          <w:p>
            <w:r>
              <w:rPr>
                <w:sz w:val="16"/>
              </w:rPr>
              <w:t>Year 1 of Operation</w:t>
            </w:r>
          </w:p>
        </w:tc>
        <w:tc>
          <w:tcPr>
            <w:tcW w:type="dxa" w:w="1757"/>
          </w:tcPr>
          <w:p>
            <w:r>
              <w:rPr>
                <w:sz w:val="16"/>
              </w:rPr>
              <w:t>M48-M60</w:t>
            </w:r>
          </w:p>
        </w:tc>
        <w:tc>
          <w:tcPr>
            <w:tcW w:type="dxa" w:w="1757"/>
          </w:tcPr>
          <w:p>
            <w:r>
              <w:rPr>
                <w:sz w:val="16"/>
              </w:rPr>
              <w:t>D3.1-D3.2 (annual GHG report, updated KS report)</w:t>
            </w:r>
          </w:p>
        </w:tc>
        <w:tc>
          <w:tcPr>
            <w:tcW w:type="dxa" w:w="1757"/>
          </w:tcPr>
          <w:p>
            <w:r>
              <w:rPr>
                <w:sz w:val="16"/>
              </w:rPr>
              <w:t>End of Year 1</w:t>
            </w:r>
          </w:p>
        </w:tc>
        <w:tc>
          <w:tcPr>
            <w:tcW w:type="dxa" w:w="1757"/>
          </w:tcPr>
          <w:p>
            <w:r>
              <w:rPr>
                <w:sz w:val="16"/>
              </w:rPr>
              <w:t>GHG-linked payment</w:t>
            </w:r>
          </w:p>
        </w:tc>
      </w:tr>
      <w:tr>
        <w:tc>
          <w:tcPr>
            <w:tcW w:type="dxa" w:w="1757"/>
          </w:tcPr>
          <w:p>
            <w:r>
              <w:rPr>
                <w:sz w:val="16"/>
              </w:rPr>
              <w:t>WP4</w:t>
            </w:r>
          </w:p>
        </w:tc>
        <w:tc>
          <w:tcPr>
            <w:tcW w:type="dxa" w:w="1757"/>
          </w:tcPr>
          <w:p>
            <w:r>
              <w:rPr>
                <w:sz w:val="16"/>
              </w:rPr>
              <w:t>Year 2 of Operation</w:t>
            </w:r>
          </w:p>
        </w:tc>
        <w:tc>
          <w:tcPr>
            <w:tcW w:type="dxa" w:w="1757"/>
          </w:tcPr>
          <w:p>
            <w:r>
              <w:rPr>
                <w:sz w:val="16"/>
              </w:rPr>
              <w:t>M60-M72</w:t>
            </w:r>
          </w:p>
        </w:tc>
        <w:tc>
          <w:tcPr>
            <w:tcW w:type="dxa" w:w="1757"/>
          </w:tcPr>
          <w:p>
            <w:r>
              <w:rPr>
                <w:sz w:val="16"/>
              </w:rPr>
              <w:t>D4.1 (annual GHG report)</w:t>
            </w:r>
          </w:p>
        </w:tc>
        <w:tc>
          <w:tcPr>
            <w:tcW w:type="dxa" w:w="1757"/>
          </w:tcPr>
          <w:p>
            <w:r>
              <w:rPr>
                <w:sz w:val="16"/>
              </w:rPr>
              <w:t>End of Year 2</w:t>
            </w:r>
          </w:p>
        </w:tc>
        <w:tc>
          <w:tcPr>
            <w:tcW w:type="dxa" w:w="1757"/>
          </w:tcPr>
          <w:p>
            <w:r>
              <w:rPr>
                <w:sz w:val="16"/>
              </w:rPr>
              <w:t>GHG-linked payment</w:t>
            </w:r>
          </w:p>
        </w:tc>
      </w:tr>
      <w:tr>
        <w:tc>
          <w:tcPr>
            <w:tcW w:type="dxa" w:w="1757"/>
          </w:tcPr>
          <w:p>
            <w:r>
              <w:rPr>
                <w:sz w:val="16"/>
              </w:rPr>
              <w:t>WP5</w:t>
            </w:r>
          </w:p>
        </w:tc>
        <w:tc>
          <w:tcPr>
            <w:tcW w:type="dxa" w:w="1757"/>
          </w:tcPr>
          <w:p>
            <w:r>
              <w:rPr>
                <w:sz w:val="16"/>
              </w:rPr>
              <w:t>Year 3 of Operation</w:t>
            </w:r>
          </w:p>
        </w:tc>
        <w:tc>
          <w:tcPr>
            <w:tcW w:type="dxa" w:w="1757"/>
          </w:tcPr>
          <w:p>
            <w:r>
              <w:rPr>
                <w:sz w:val="16"/>
              </w:rPr>
              <w:t>M72-M84</w:t>
            </w:r>
          </w:p>
        </w:tc>
        <w:tc>
          <w:tcPr>
            <w:tcW w:type="dxa" w:w="1757"/>
          </w:tcPr>
          <w:p>
            <w:r>
              <w:rPr>
                <w:sz w:val="16"/>
              </w:rPr>
              <w:t>D5.1 (annual GHG report)</w:t>
            </w:r>
          </w:p>
        </w:tc>
        <w:tc>
          <w:tcPr>
            <w:tcW w:type="dxa" w:w="1757"/>
          </w:tcPr>
          <w:p>
            <w:r>
              <w:rPr>
                <w:sz w:val="16"/>
              </w:rPr>
              <w:t>End of Year 3</w:t>
            </w:r>
          </w:p>
        </w:tc>
        <w:tc>
          <w:tcPr>
            <w:tcW w:type="dxa" w:w="1757"/>
          </w:tcPr>
          <w:p>
            <w:r>
              <w:rPr>
                <w:sz w:val="16"/>
              </w:rPr>
              <w:t>GHG-linked payment</w:t>
            </w:r>
          </w:p>
        </w:tc>
      </w:tr>
      <w:tr>
        <w:tc>
          <w:tcPr>
            <w:tcW w:type="dxa" w:w="1757"/>
          </w:tcPr>
          <w:p>
            <w:r>
              <w:rPr>
                <w:sz w:val="16"/>
              </w:rPr>
              <w:t>WP6</w:t>
            </w:r>
          </w:p>
        </w:tc>
        <w:tc>
          <w:tcPr>
            <w:tcW w:type="dxa" w:w="1757"/>
          </w:tcPr>
          <w:p>
            <w:r>
              <w:rPr>
                <w:sz w:val="16"/>
              </w:rPr>
              <w:t>Year 4 of Operation</w:t>
            </w:r>
          </w:p>
        </w:tc>
        <w:tc>
          <w:tcPr>
            <w:tcW w:type="dxa" w:w="1757"/>
          </w:tcPr>
          <w:p>
            <w:r>
              <w:rPr>
                <w:sz w:val="16"/>
              </w:rPr>
              <w:t>M84-M96</w:t>
            </w:r>
          </w:p>
        </w:tc>
        <w:tc>
          <w:tcPr>
            <w:tcW w:type="dxa" w:w="1757"/>
          </w:tcPr>
          <w:p>
            <w:r>
              <w:rPr>
                <w:sz w:val="16"/>
              </w:rPr>
              <w:t>D6.1 (annual GHG report)</w:t>
            </w:r>
          </w:p>
        </w:tc>
        <w:tc>
          <w:tcPr>
            <w:tcW w:type="dxa" w:w="1757"/>
          </w:tcPr>
          <w:p>
            <w:r>
              <w:rPr>
                <w:sz w:val="16"/>
              </w:rPr>
              <w:t>End of Year 4</w:t>
            </w:r>
          </w:p>
        </w:tc>
        <w:tc>
          <w:tcPr>
            <w:tcW w:type="dxa" w:w="1757"/>
          </w:tcPr>
          <w:p>
            <w:r>
              <w:rPr>
                <w:sz w:val="16"/>
              </w:rPr>
              <w:t>GHG-linked payment</w:t>
            </w:r>
          </w:p>
        </w:tc>
      </w:tr>
      <w:tr>
        <w:tc>
          <w:tcPr>
            <w:tcW w:type="dxa" w:w="1757"/>
          </w:tcPr>
          <w:p>
            <w:r>
              <w:rPr>
                <w:sz w:val="16"/>
              </w:rPr>
              <w:t>WP7</w:t>
            </w:r>
          </w:p>
        </w:tc>
        <w:tc>
          <w:tcPr>
            <w:tcW w:type="dxa" w:w="1757"/>
          </w:tcPr>
          <w:p>
            <w:r>
              <w:rPr>
                <w:sz w:val="16"/>
              </w:rPr>
              <w:t>Year 5 of Operation (Final)</w:t>
            </w:r>
          </w:p>
        </w:tc>
        <w:tc>
          <w:tcPr>
            <w:tcW w:type="dxa" w:w="1757"/>
          </w:tcPr>
          <w:p>
            <w:r>
              <w:rPr>
                <w:sz w:val="16"/>
              </w:rPr>
              <w:t>M96-M108</w:t>
            </w:r>
          </w:p>
        </w:tc>
        <w:tc>
          <w:tcPr>
            <w:tcW w:type="dxa" w:w="1757"/>
          </w:tcPr>
          <w:p>
            <w:r>
              <w:rPr>
                <w:sz w:val="16"/>
              </w:rPr>
              <w:t>D7.1-D7.5 (annual GHG report, verified GHG report, innovation report, DNSH report, EEA content declaration)</w:t>
            </w:r>
          </w:p>
        </w:tc>
        <w:tc>
          <w:tcPr>
            <w:tcW w:type="dxa" w:w="1757"/>
          </w:tcPr>
          <w:p>
            <w:r>
              <w:rPr>
                <w:sz w:val="16"/>
              </w:rPr>
              <w:t>End of Year 5 (Final)</w:t>
            </w:r>
          </w:p>
        </w:tc>
        <w:tc>
          <w:tcPr>
            <w:tcW w:type="dxa" w:w="1757"/>
          </w:tcPr>
          <w:p>
            <w:r>
              <w:rPr>
                <w:sz w:val="16"/>
              </w:rPr>
              <w:t>Final GHG-linked payment</w:t>
            </w:r>
          </w:p>
        </w:tc>
      </w:tr>
    </w:tbl>
    <w:p>
      <w:pPr>
        <w:pStyle w:val="Heading2"/>
      </w:pPr>
      <w:r>
        <w:t>7.2 Work Packages</w:t>
      </w:r>
    </w:p>
    <w:p>
      <w:r>
        <w:rPr>
          <w:sz w:val="18"/>
        </w:rPr>
        <w:t>---</w:t>
      </w:r>
    </w:p>
    <w:p>
      <w:pPr>
        <w:pStyle w:val="Heading3"/>
      </w:pPr>
      <w:r>
        <w:t>WP1: Up to Financial Close</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M0-M24 (24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Reach financial close within 24 months of grant agreement signature through completion of detailed engineering, environmental permitting, supplier qualification, and financing agreements.</w:t>
            </w:r>
          </w:p>
        </w:tc>
      </w:tr>
      <w:tr>
        <w:tc>
          <w:tcPr>
            <w:tcW w:type="dxa" w:w="5270"/>
          </w:tcPr>
          <w:p>
            <w:r>
              <w:rPr>
                <w:sz w:val="16"/>
              </w:rPr>
              <w:t>**Budget**</w:t>
            </w:r>
          </w:p>
        </w:tc>
        <w:tc>
          <w:tcPr>
            <w:tcW w:type="dxa" w:w="5270"/>
          </w:tcPr>
          <w:p>
            <w:r>
              <w:rPr>
                <w:sz w:val="16"/>
              </w:rPr>
              <w:t>[TO BE COMPLETED: Budget to be confirmed by CFO team. Must not exceed 40% of maximum grant amount.]</w:t>
            </w:r>
          </w:p>
        </w:tc>
      </w:tr>
    </w:tbl>
    <w:p>
      <w:pPr>
        <w:pStyle w:val="Heading4"/>
      </w:pPr>
      <w:r>
        <w:t>Activities</w:t>
      </w:r>
    </w:p>
    <w:p>
      <w:r>
        <w:rPr>
          <w:b/>
          <w:sz w:val="18"/>
        </w:rPr>
        <w:t>A1.1 Project Management and Coordination (M0-M24)</w:t>
      </w:r>
    </w:p>
    <w:p>
      <w:pPr>
        <w:pStyle w:val="ListBullet"/>
      </w:pPr>
      <w:r>
        <w:rPr>
          <w:sz w:val="18"/>
        </w:rPr>
        <w:t>Establish project management office (PMO) and governance structures (Steering Committee, Technical Committee, DT Working Group)</w:t>
      </w:r>
    </w:p>
    <w:p>
      <w:pPr>
        <w:pStyle w:val="ListBullet"/>
      </w:pPr>
      <w:r>
        <w:rPr>
          <w:sz w:val="18"/>
        </w:rPr>
        <w:t>Prepare detailed project management plan (M1)</w:t>
      </w:r>
    </w:p>
    <w:p>
      <w:pPr>
        <w:pStyle w:val="ListBullet"/>
      </w:pPr>
      <w:r>
        <w:rPr>
          <w:sz w:val="18"/>
        </w:rPr>
        <w:t>Implement project monitoring, reporting, and communication framework</w:t>
      </w:r>
    </w:p>
    <w:p>
      <w:pPr>
        <w:pStyle w:val="ListBullet"/>
      </w:pPr>
      <w:r>
        <w:rPr>
          <w:sz w:val="18"/>
        </w:rPr>
        <w:t>Prepare 6-monthly progress reports</w:t>
      </w:r>
    </w:p>
    <w:p>
      <w:pPr>
        <w:pStyle w:val="ListBullet"/>
      </w:pPr>
      <w:r>
        <w:rPr>
          <w:sz w:val="18"/>
        </w:rPr>
        <w:t>Manage Innovation Fund reporting obligations</w:t>
      </w:r>
    </w:p>
    <w:p>
      <w:r>
        <w:rPr>
          <w:b/>
          <w:sz w:val="18"/>
        </w:rPr>
        <w:t>A1.2 Detailed Engineering (M1-M18)</w:t>
      </w:r>
    </w:p>
    <w:p>
      <w:pPr>
        <w:pStyle w:val="ListBullet"/>
      </w:pPr>
      <w:r>
        <w:rPr>
          <w:sz w:val="18"/>
        </w:rPr>
        <w:t>Complete Front-End Engineering Design (FEED) covering:</w:t>
      </w:r>
    </w:p>
    <w:p>
      <w:pPr>
        <w:pStyle w:val="ListBullet"/>
      </w:pPr>
      <w:r>
        <w:rPr>
          <w:sz w:val="18"/>
        </w:rPr>
        <w:t>Process flow diagrams (PFDs) and piping and instrumentation diagrams (P&amp;IDs)</w:t>
      </w:r>
    </w:p>
    <w:p>
      <w:pPr>
        <w:pStyle w:val="ListBullet"/>
      </w:pPr>
      <w:r>
        <w:rPr>
          <w:sz w:val="18"/>
        </w:rPr>
        <w:t>Equipment specification and sizing: spray dryer (electric resistance heaters, 200-250 C inlet), calcination furnace (electric roller hearth kiln or rotary kiln, 650-700 C, N2 atmosphere), jet mill, ultrasonic sieve, electromagnetic separator, packaging line</w:t>
      </w:r>
    </w:p>
    <w:p>
      <w:pPr>
        <w:pStyle w:val="ListBullet"/>
      </w:pPr>
      <w:r>
        <w:rPr>
          <w:sz w:val="18"/>
        </w:rPr>
        <w:t>Site layout and building design for Brindisi brownfield location</w:t>
      </w:r>
    </w:p>
    <w:p>
      <w:pPr>
        <w:pStyle w:val="ListBullet"/>
      </w:pPr>
      <w:r>
        <w:rPr>
          <w:sz w:val="18"/>
        </w:rPr>
        <w:t>Utility requirements: grid electricity supply (high-voltage connection), nitrogen generation plant (PSA or membrane), deionised water system, HVAC, compressed air</w:t>
      </w:r>
    </w:p>
    <w:p>
      <w:pPr>
        <w:pStyle w:val="ListBullet"/>
      </w:pPr>
      <w:r>
        <w:rPr>
          <w:sz w:val="18"/>
        </w:rPr>
        <w:t>Integration of DT sensor infrastructure (thermocouple arrays, pyrometers, Raman probe ports, FBRM installation points, OPC-UA gateway locations) into engineering design</w:t>
      </w:r>
    </w:p>
    <w:p>
      <w:pPr>
        <w:pStyle w:val="ListBullet"/>
      </w:pPr>
      <w:r>
        <w:rPr>
          <w:sz w:val="18"/>
        </w:rPr>
        <w:t>Mass and energy balance finalisation based on detailed equipment specifications</w:t>
      </w:r>
    </w:p>
    <w:p>
      <w:pPr>
        <w:pStyle w:val="ListBullet"/>
      </w:pPr>
      <w:r>
        <w:rPr>
          <w:sz w:val="18"/>
        </w:rPr>
        <w:t>Hazard and operability study (HAZOP)</w:t>
      </w:r>
    </w:p>
    <w:p>
      <w:pPr>
        <w:pStyle w:val="ListBullet"/>
      </w:pPr>
      <w:r>
        <w:rPr>
          <w:sz w:val="18"/>
        </w:rPr>
        <w:t>Environmental impact assessment documentation for VIA application</w:t>
      </w:r>
    </w:p>
    <w:p>
      <w:r>
        <w:rPr>
          <w:b/>
          <w:sz w:val="18"/>
        </w:rPr>
        <w:t>A1.3 Permitting (M3-M18)</w:t>
      </w:r>
    </w:p>
    <w:p>
      <w:pPr>
        <w:pStyle w:val="ListBullet"/>
      </w:pPr>
      <w:r>
        <w:rPr>
          <w:sz w:val="18"/>
        </w:rPr>
        <w:t>Submit VIA (Environmental Impact Assessment) application to Regione Puglia or MASE (M3-M6)</w:t>
      </w:r>
    </w:p>
    <w:p>
      <w:pPr>
        <w:pStyle w:val="ListBullet"/>
      </w:pPr>
      <w:r>
        <w:rPr>
          <w:sz w:val="18"/>
        </w:rPr>
        <w:t>Submit AIA (Integrated Environmental Authorisation) application (M6-M12)</w:t>
      </w:r>
    </w:p>
    <w:p>
      <w:pPr>
        <w:pStyle w:val="ListBullet"/>
      </w:pPr>
      <w:r>
        <w:rPr>
          <w:sz w:val="18"/>
        </w:rPr>
        <w:t>Submit building permit application to Comune di Brindisi (M9-M15)</w:t>
      </w:r>
    </w:p>
    <w:p>
      <w:pPr>
        <w:pStyle w:val="ListBullet"/>
      </w:pPr>
      <w:r>
        <w:rPr>
          <w:sz w:val="18"/>
        </w:rPr>
        <w:t>Conduct public consultation as required by Italian environmental legislation</w:t>
      </w:r>
    </w:p>
    <w:p>
      <w:pPr>
        <w:pStyle w:val="ListBullet"/>
      </w:pPr>
      <w:r>
        <w:rPr>
          <w:sz w:val="18"/>
        </w:rPr>
        <w:t>Respond to authority information requests</w:t>
      </w:r>
    </w:p>
    <w:p>
      <w:pPr>
        <w:pStyle w:val="ListBullet"/>
      </w:pPr>
      <w:r>
        <w:rPr>
          <w:sz w:val="18"/>
        </w:rPr>
        <w:t>Obtain all required permits (target M15-M18)</w:t>
      </w:r>
    </w:p>
    <w:p>
      <w:r>
        <w:rPr>
          <w:b/>
          <w:sz w:val="18"/>
        </w:rPr>
        <w:t>A1.4 Procurement and Supplier Qualification (M6-M24)</w:t>
      </w:r>
    </w:p>
    <w:p>
      <w:pPr>
        <w:pStyle w:val="ListBullet"/>
      </w:pPr>
      <w:r>
        <w:rPr>
          <w:sz w:val="18"/>
        </w:rPr>
        <w:t>Issue request for quotation (RFQ) packages for major equipment (furnace, spray dryer, milling systems, QC instruments, DCS/SCADA)</w:t>
      </w:r>
    </w:p>
    <w:p>
      <w:pPr>
        <w:pStyle w:val="ListBullet"/>
      </w:pPr>
      <w:r>
        <w:rPr>
          <w:sz w:val="18"/>
        </w:rPr>
        <w:t>Conduct technical evaluation and qualification of potential suppliers</w:t>
      </w:r>
    </w:p>
    <w:p>
      <w:pPr>
        <w:pStyle w:val="ListBullet"/>
      </w:pPr>
      <w:r>
        <w:rPr>
          <w:sz w:val="18"/>
        </w:rPr>
        <w:t>Negotiate and execute equipment supply contracts</w:t>
      </w:r>
    </w:p>
    <w:p>
      <w:pPr>
        <w:pStyle w:val="ListBullet"/>
      </w:pPr>
      <w:r>
        <w:rPr>
          <w:sz w:val="18"/>
        </w:rPr>
        <w:t>Place orders for long-lead items (calcination furnace: 9-12 month lead time; spray dryer: 6-9 month lead time)</w:t>
      </w:r>
    </w:p>
    <w:p>
      <w:pPr>
        <w:pStyle w:val="ListBullet"/>
      </w:pPr>
      <w:r>
        <w:rPr>
          <w:sz w:val="18"/>
        </w:rPr>
        <w:t>Qualify raw material suppliers (iron phosphate, lithium carbonate, glucose) with dual sourcing</w:t>
      </w:r>
    </w:p>
    <w:p>
      <w:r>
        <w:rPr>
          <w:b/>
          <w:sz w:val="18"/>
        </w:rPr>
        <w:t>A1.5 DT Architecture Design (M6-M18)</w:t>
      </w:r>
    </w:p>
    <w:p>
      <w:pPr>
        <w:pStyle w:val="ListBullet"/>
      </w:pPr>
      <w:r>
        <w:rPr>
          <w:sz w:val="18"/>
        </w:rPr>
        <w:t xml:space="preserve">Define detailed DT system architecture based on ISO 23247 four-layer model </w:t>
      </w:r>
      <w:r>
        <w:rPr>
          <w:color w:val="0066CC"/>
          <w:sz w:val="16"/>
        </w:rPr>
        <w:t>[CLM-008, SRC-007]</w:t>
      </w:r>
    </w:p>
    <w:p>
      <w:pPr>
        <w:pStyle w:val="ListBullet"/>
      </w:pPr>
      <w:r>
        <w:rPr>
          <w:sz w:val="18"/>
        </w:rPr>
        <w:t>Specify sensor network (types, locations, communication protocols) for each process step</w:t>
      </w:r>
    </w:p>
    <w:p>
      <w:pPr>
        <w:pStyle w:val="ListBullet"/>
      </w:pPr>
      <w:r>
        <w:rPr>
          <w:sz w:val="18"/>
        </w:rPr>
        <w:t>Select DT software platform and development tools (CFD solver, time-series database, ML framework, dashboard framework)</w:t>
      </w:r>
    </w:p>
    <w:p>
      <w:pPr>
        <w:pStyle w:val="ListBullet"/>
      </w:pPr>
      <w:r>
        <w:rPr>
          <w:sz w:val="18"/>
        </w:rPr>
        <w:t>Develop initial physics-based models using literature data and vendor test data:</w:t>
      </w:r>
    </w:p>
    <w:p>
      <w:pPr>
        <w:pStyle w:val="ListBullet"/>
      </w:pPr>
      <w:r>
        <w:rPr>
          <w:sz w:val="18"/>
        </w:rPr>
        <w:t>CFD model of calcination furnace temperature distribution</w:t>
      </w:r>
    </w:p>
    <w:p>
      <w:pPr>
        <w:pStyle w:val="ListBullet"/>
      </w:pPr>
      <w:r>
        <w:rPr>
          <w:sz w:val="18"/>
        </w:rPr>
        <w:t>Population balance model for milling particle size evolution</w:t>
      </w:r>
    </w:p>
    <w:p>
      <w:pPr>
        <w:pStyle w:val="ListBullet"/>
      </w:pPr>
      <w:r>
        <w:rPr>
          <w:sz w:val="18"/>
        </w:rPr>
        <w:t xml:space="preserve">Multi-step reaction kinetics model for calcination (Jander/Avrami) </w:t>
      </w:r>
      <w:r>
        <w:rPr>
          <w:color w:val="0066CC"/>
          <w:sz w:val="16"/>
        </w:rPr>
        <w:t>[CLM-020]</w:t>
      </w:r>
    </w:p>
    <w:p>
      <w:pPr>
        <w:pStyle w:val="ListBullet"/>
      </w:pPr>
      <w:r>
        <w:rPr>
          <w:sz w:val="18"/>
        </w:rPr>
        <w:t>Design data pipeline architecture (edge-fog-cloud) with OPC-UA and MQTT protocols</w:t>
      </w:r>
    </w:p>
    <w:p>
      <w:r>
        <w:rPr>
          <w:b/>
          <w:sz w:val="18"/>
        </w:rPr>
        <w:t>A1.6 Financial Close Preparation (M12-M24)</w:t>
      </w:r>
    </w:p>
    <w:p>
      <w:pPr>
        <w:pStyle w:val="ListBullet"/>
      </w:pPr>
      <w:r>
        <w:rPr>
          <w:sz w:val="18"/>
        </w:rPr>
        <w:t>Finalise project financing structure (Innovation Fund grant + equity + debt)</w:t>
      </w:r>
    </w:p>
    <w:p>
      <w:pPr>
        <w:pStyle w:val="ListBullet"/>
      </w:pPr>
      <w:r>
        <w:rPr>
          <w:sz w:val="18"/>
        </w:rPr>
        <w:t>Negotiate and execute debt facility agreements</w:t>
      </w:r>
    </w:p>
    <w:p>
      <w:pPr>
        <w:pStyle w:val="ListBullet"/>
      </w:pPr>
      <w:r>
        <w:rPr>
          <w:sz w:val="18"/>
        </w:rPr>
        <w:t>Confirm equity commitments from FIB and Eni</w:t>
      </w:r>
    </w:p>
    <w:p>
      <w:pPr>
        <w:pStyle w:val="ListBullet"/>
      </w:pPr>
      <w:r>
        <w:rPr>
          <w:sz w:val="18"/>
        </w:rPr>
        <w:t>Execute key commercial agreements (off-take agreements, supply contracts). Note: primary offtake is secured internally through the co-located FIB-Eni JV battery cell and BESS factory — Eni is the guaranteed internal customer. External offtake agreements with European cell manufacturers represent additional upside.</w:t>
      </w:r>
    </w:p>
    <w:p>
      <w:pPr>
        <w:pStyle w:val="ListBullet"/>
      </w:pPr>
      <w:r>
        <w:rPr>
          <w:sz w:val="18"/>
        </w:rPr>
        <w:t>Coordinate timeline with the parallel development of the FIB-Eni JV battery cell and BESS factory at the Brindisi site, ensuring the CAM plant entry into operation aligns with JV factory readiness to receive LFP CAM feedstock</w:t>
      </w:r>
    </w:p>
    <w:p>
      <w:pPr>
        <w:pStyle w:val="ListBullet"/>
      </w:pPr>
      <w:r>
        <w:rPr>
          <w:sz w:val="18"/>
        </w:rPr>
        <w:t>Prepare and assemble all financial close documentation</w:t>
      </w:r>
    </w:p>
    <w:p>
      <w:pPr>
        <w:pStyle w:val="ListBullet"/>
      </w:pPr>
      <w:r>
        <w:rPr>
          <w:sz w:val="18"/>
        </w:rPr>
        <w:t>Obtain Financial Investment Decision (FID) from FIB and Eni boards</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D1.1</w:t>
            </w:r>
          </w:p>
        </w:tc>
        <w:tc>
          <w:tcPr>
            <w:tcW w:type="dxa" w:w="2635"/>
          </w:tcPr>
          <w:p>
            <w:r>
              <w:rPr>
                <w:sz w:val="16"/>
              </w:rPr>
              <w:t>Detailed project management plan</w:t>
            </w:r>
          </w:p>
        </w:tc>
        <w:tc>
          <w:tcPr>
            <w:tcW w:type="dxa" w:w="2635"/>
          </w:tcPr>
          <w:p>
            <w:r>
              <w:rPr>
                <w:sz w:val="16"/>
              </w:rPr>
              <w:t>M1</w:t>
            </w:r>
          </w:p>
        </w:tc>
        <w:tc>
          <w:tcPr>
            <w:tcW w:type="dxa" w:w="2635"/>
          </w:tcPr>
          <w:p>
            <w:r>
              <w:rPr>
                <w:sz w:val="16"/>
              </w:rPr>
              <w:t>Report</w:t>
            </w:r>
          </w:p>
        </w:tc>
      </w:tr>
      <w:tr>
        <w:tc>
          <w:tcPr>
            <w:tcW w:type="dxa" w:w="2635"/>
          </w:tcPr>
          <w:p>
            <w:r>
              <w:rPr>
                <w:sz w:val="16"/>
              </w:rPr>
              <w:t>D1.2</w:t>
            </w:r>
          </w:p>
        </w:tc>
        <w:tc>
          <w:tcPr>
            <w:tcW w:type="dxa" w:w="2635"/>
          </w:tcPr>
          <w:p>
            <w:r>
              <w:rPr>
                <w:sz w:val="16"/>
              </w:rPr>
              <w:t>Final version of the financial model</w:t>
            </w:r>
          </w:p>
        </w:tc>
        <w:tc>
          <w:tcPr>
            <w:tcW w:type="dxa" w:w="2635"/>
          </w:tcPr>
          <w:p>
            <w:r>
              <w:rPr>
                <w:sz w:val="16"/>
              </w:rPr>
              <w:t>M1</w:t>
            </w:r>
          </w:p>
        </w:tc>
        <w:tc>
          <w:tcPr>
            <w:tcW w:type="dxa" w:w="2635"/>
          </w:tcPr>
          <w:p>
            <w:r>
              <w:rPr>
                <w:sz w:val="16"/>
              </w:rPr>
              <w:t>Spreadsheet</w:t>
            </w:r>
          </w:p>
        </w:tc>
      </w:tr>
      <w:tr>
        <w:tc>
          <w:tcPr>
            <w:tcW w:type="dxa" w:w="2635"/>
          </w:tcPr>
          <w:p>
            <w:r>
              <w:rPr>
                <w:sz w:val="16"/>
              </w:rPr>
              <w:t>D1.3</w:t>
            </w:r>
          </w:p>
        </w:tc>
        <w:tc>
          <w:tcPr>
            <w:tcW w:type="dxa" w:w="2635"/>
          </w:tcPr>
          <w:p>
            <w:r>
              <w:rPr>
                <w:sz w:val="16"/>
              </w:rPr>
              <w:t>Knowledge sharing plan</w:t>
            </w:r>
          </w:p>
        </w:tc>
        <w:tc>
          <w:tcPr>
            <w:tcW w:type="dxa" w:w="2635"/>
          </w:tcPr>
          <w:p>
            <w:r>
              <w:rPr>
                <w:sz w:val="16"/>
              </w:rPr>
              <w:t>M1</w:t>
            </w:r>
          </w:p>
        </w:tc>
        <w:tc>
          <w:tcPr>
            <w:tcW w:type="dxa" w:w="2635"/>
          </w:tcPr>
          <w:p>
            <w:r>
              <w:rPr>
                <w:sz w:val="16"/>
              </w:rPr>
              <w:t>Report</w:t>
            </w:r>
          </w:p>
        </w:tc>
      </w:tr>
      <w:tr>
        <w:tc>
          <w:tcPr>
            <w:tcW w:type="dxa" w:w="2635"/>
          </w:tcPr>
          <w:p>
            <w:r>
              <w:rPr>
                <w:sz w:val="16"/>
              </w:rPr>
              <w:t>D1.4</w:t>
            </w:r>
          </w:p>
        </w:tc>
        <w:tc>
          <w:tcPr>
            <w:tcW w:type="dxa" w:w="2635"/>
          </w:tcPr>
          <w:p>
            <w:r>
              <w:rPr>
                <w:sz w:val="16"/>
              </w:rPr>
              <w:t>Knowledge sharing report</w:t>
            </w:r>
          </w:p>
        </w:tc>
        <w:tc>
          <w:tcPr>
            <w:tcW w:type="dxa" w:w="2635"/>
          </w:tcPr>
          <w:p>
            <w:r>
              <w:rPr>
                <w:sz w:val="16"/>
              </w:rPr>
              <w:t>M1</w:t>
            </w:r>
          </w:p>
        </w:tc>
        <w:tc>
          <w:tcPr>
            <w:tcW w:type="dxa" w:w="2635"/>
          </w:tcPr>
          <w:p>
            <w:r>
              <w:rPr>
                <w:sz w:val="16"/>
              </w:rPr>
              <w:t>Report</w:t>
            </w:r>
          </w:p>
        </w:tc>
      </w:tr>
      <w:tr>
        <w:tc>
          <w:tcPr>
            <w:tcW w:type="dxa" w:w="2635"/>
          </w:tcPr>
          <w:p>
            <w:r>
              <w:rPr>
                <w:sz w:val="16"/>
              </w:rPr>
              <w:t>D1.5</w:t>
            </w:r>
          </w:p>
        </w:tc>
        <w:tc>
          <w:tcPr>
            <w:tcW w:type="dxa" w:w="2635"/>
          </w:tcPr>
          <w:p>
            <w:r>
              <w:rPr>
                <w:sz w:val="16"/>
              </w:rPr>
              <w:t>Progress reports (every 6 months)</w:t>
            </w:r>
          </w:p>
        </w:tc>
        <w:tc>
          <w:tcPr>
            <w:tcW w:type="dxa" w:w="2635"/>
          </w:tcPr>
          <w:p>
            <w:r>
              <w:rPr>
                <w:sz w:val="16"/>
              </w:rPr>
              <w:t>M6, M12, M18</w:t>
            </w:r>
          </w:p>
        </w:tc>
        <w:tc>
          <w:tcPr>
            <w:tcW w:type="dxa" w:w="2635"/>
          </w:tcPr>
          <w:p>
            <w:r>
              <w:rPr>
                <w:sz w:val="16"/>
              </w:rPr>
              <w:t>Reports</w:t>
            </w:r>
          </w:p>
        </w:tc>
      </w:tr>
      <w:tr>
        <w:tc>
          <w:tcPr>
            <w:tcW w:type="dxa" w:w="2635"/>
          </w:tcPr>
          <w:p>
            <w:r>
              <w:rPr>
                <w:sz w:val="16"/>
              </w:rPr>
              <w:t>D1.6</w:t>
            </w:r>
          </w:p>
        </w:tc>
        <w:tc>
          <w:tcPr>
            <w:tcW w:type="dxa" w:w="2635"/>
          </w:tcPr>
          <w:p>
            <w:r>
              <w:rPr>
                <w:sz w:val="16"/>
              </w:rPr>
              <w:t>Updated knowledge sharing report</w:t>
            </w:r>
          </w:p>
        </w:tc>
        <w:tc>
          <w:tcPr>
            <w:tcW w:type="dxa" w:w="2635"/>
          </w:tcPr>
          <w:p>
            <w:r>
              <w:rPr>
                <w:sz w:val="16"/>
              </w:rPr>
              <w:t>At FC (M24)</w:t>
            </w:r>
          </w:p>
        </w:tc>
        <w:tc>
          <w:tcPr>
            <w:tcW w:type="dxa" w:w="2635"/>
          </w:tcPr>
          <w:p>
            <w:r>
              <w:rPr>
                <w:sz w:val="16"/>
              </w:rPr>
              <w:t>Report</w:t>
            </w:r>
          </w:p>
        </w:tc>
      </w:tr>
      <w:tr>
        <w:tc>
          <w:tcPr>
            <w:tcW w:type="dxa" w:w="2635"/>
          </w:tcPr>
          <w:p>
            <w:r>
              <w:rPr>
                <w:sz w:val="16"/>
              </w:rPr>
              <w:t>D1.7</w:t>
            </w:r>
          </w:p>
        </w:tc>
        <w:tc>
          <w:tcPr>
            <w:tcW w:type="dxa" w:w="2635"/>
          </w:tcPr>
          <w:p>
            <w:r>
              <w:rPr>
                <w:sz w:val="16"/>
              </w:rPr>
              <w:t>Updated detailed project management plan</w:t>
            </w:r>
          </w:p>
        </w:tc>
        <w:tc>
          <w:tcPr>
            <w:tcW w:type="dxa" w:w="2635"/>
          </w:tcPr>
          <w:p>
            <w:r>
              <w:rPr>
                <w:sz w:val="16"/>
              </w:rPr>
              <w:t>At FC (M24)</w:t>
            </w:r>
          </w:p>
        </w:tc>
        <w:tc>
          <w:tcPr>
            <w:tcW w:type="dxa" w:w="2635"/>
          </w:tcPr>
          <w:p>
            <w:r>
              <w:rPr>
                <w:sz w:val="16"/>
              </w:rPr>
              <w:t>Report</w:t>
            </w:r>
          </w:p>
        </w:tc>
      </w:tr>
      <w:tr>
        <w:tc>
          <w:tcPr>
            <w:tcW w:type="dxa" w:w="2635"/>
          </w:tcPr>
          <w:p>
            <w:r>
              <w:rPr>
                <w:sz w:val="16"/>
              </w:rPr>
              <w:t>D1.8</w:t>
            </w:r>
          </w:p>
        </w:tc>
        <w:tc>
          <w:tcPr>
            <w:tcW w:type="dxa" w:w="2635"/>
          </w:tcPr>
          <w:p>
            <w:r>
              <w:rPr>
                <w:sz w:val="16"/>
              </w:rPr>
              <w:t>Financial close documentation package</w:t>
            </w:r>
          </w:p>
        </w:tc>
        <w:tc>
          <w:tcPr>
            <w:tcW w:type="dxa" w:w="2635"/>
          </w:tcPr>
          <w:p>
            <w:r>
              <w:rPr>
                <w:sz w:val="16"/>
              </w:rPr>
              <w:t>At FC (M24)</w:t>
            </w:r>
          </w:p>
        </w:tc>
        <w:tc>
          <w:tcPr>
            <w:tcW w:type="dxa" w:w="2635"/>
          </w:tcPr>
          <w:p>
            <w:r>
              <w:rPr>
                <w:sz w:val="16"/>
              </w:rPr>
              <w:t>Documentation</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**MS1: Financial Close**</w:t>
            </w:r>
          </w:p>
        </w:tc>
        <w:tc>
          <w:tcPr>
            <w:tcW w:type="dxa" w:w="2635"/>
          </w:tcPr>
          <w:p>
            <w:r>
              <w:rPr>
                <w:sz w:val="16"/>
              </w:rPr>
              <w:t>All financing agreements executed; FID taken; key permits obtained; equipment orders placed</w:t>
            </w:r>
          </w:p>
        </w:tc>
        <w:tc>
          <w:tcPr>
            <w:tcW w:type="dxa" w:w="2635"/>
          </w:tcPr>
          <w:p>
            <w:r>
              <w:rPr>
                <w:sz w:val="16"/>
              </w:rPr>
              <w:t>**M24**</w:t>
            </w:r>
          </w:p>
        </w:tc>
        <w:tc>
          <w:tcPr>
            <w:tcW w:type="dxa" w:w="2635"/>
          </w:tcPr>
          <w:p>
            <w:r>
              <w:rPr>
                <w:sz w:val="16"/>
              </w:rPr>
              <w:t>Signed financing agreements, board resolutions, permit decisions, equipment purchase orders</w:t>
            </w:r>
          </w:p>
        </w:tc>
      </w:tr>
    </w:tbl>
    <w:p>
      <w:r>
        <w:rPr>
          <w:sz w:val="18"/>
        </w:rPr>
        <w:t>---</w:t>
      </w:r>
    </w:p>
    <w:p>
      <w:pPr>
        <w:pStyle w:val="Heading3"/>
      </w:pPr>
      <w:r>
        <w:t>WP2: Financial Close to Entry into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M24-M48 (24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Construct the LFP CAM manufacturing plant, develop and integrate the digital twin system, commission the facility, and achieve entry into operation within 48 months of grant agreement signature.</w:t>
            </w:r>
          </w:p>
        </w:tc>
      </w:tr>
    </w:tbl>
    <w:p>
      <w:pPr>
        <w:pStyle w:val="Heading4"/>
      </w:pPr>
      <w:r>
        <w:t>Activities</w:t>
      </w:r>
    </w:p>
    <w:p>
      <w:r>
        <w:rPr>
          <w:b/>
          <w:sz w:val="18"/>
        </w:rPr>
        <w:t>A2.1 Construction (M24-M36)</w:t>
      </w:r>
    </w:p>
    <w:p>
      <w:pPr>
        <w:pStyle w:val="ListBullet"/>
      </w:pPr>
      <w:r>
        <w:rPr>
          <w:sz w:val="18"/>
        </w:rPr>
        <w:t>Civil works: site preparation (brownfield remediation completion if required), foundations, building construction</w:t>
      </w:r>
    </w:p>
    <w:p>
      <w:pPr>
        <w:pStyle w:val="ListBullet"/>
      </w:pPr>
      <w:r>
        <w:rPr>
          <w:sz w:val="18"/>
        </w:rPr>
        <w:t>Utility installation: high-voltage electrical supply, nitrogen generation plant, water treatment system, HVAC, compressed air</w:t>
      </w:r>
    </w:p>
    <w:p>
      <w:pPr>
        <w:pStyle w:val="ListBullet"/>
      </w:pPr>
      <w:r>
        <w:rPr>
          <w:sz w:val="18"/>
        </w:rPr>
        <w:t>Equipment installation: spray dryer, calcination furnace, jet mill, classifier, packaging line, material handling systems</w:t>
      </w:r>
    </w:p>
    <w:p>
      <w:pPr>
        <w:pStyle w:val="ListBullet"/>
      </w:pPr>
      <w:r>
        <w:rPr>
          <w:sz w:val="18"/>
        </w:rPr>
        <w:t>Piping, electrical, and instrumentation installation</w:t>
      </w:r>
    </w:p>
    <w:p>
      <w:pPr>
        <w:pStyle w:val="ListBullet"/>
      </w:pPr>
      <w:r>
        <w:rPr>
          <w:sz w:val="18"/>
        </w:rPr>
        <w:t>DCS/SCADA system installation and configuration</w:t>
      </w:r>
    </w:p>
    <w:p>
      <w:pPr>
        <w:pStyle w:val="ListBullet"/>
      </w:pPr>
      <w:r>
        <w:rPr>
          <w:sz w:val="18"/>
        </w:rPr>
        <w:t>Sensor network installation (thermocouples, pyrometers, Raman probes, FBRM probes, O2 sensors, flow meters)</w:t>
      </w:r>
    </w:p>
    <w:p>
      <w:pPr>
        <w:pStyle w:val="ListBullet"/>
      </w:pPr>
      <w:r>
        <w:rPr>
          <w:sz w:val="18"/>
        </w:rPr>
        <w:t>Coordination with parallel construction of the co-located FIB-Eni JV battery cell and BESS factory, including shared utility infrastructure and site logistics planning</w:t>
      </w:r>
    </w:p>
    <w:p>
      <w:r>
        <w:rPr>
          <w:b/>
          <w:sz w:val="18"/>
        </w:rPr>
        <w:t>A2.2 DT System Development (M12-M42, parallel track starting in WP1)</w:t>
      </w:r>
    </w:p>
    <w:p>
      <w:pPr>
        <w:pStyle w:val="ListBullet"/>
      </w:pPr>
      <w:r>
        <w:rPr>
          <w:sz w:val="18"/>
        </w:rPr>
        <w:t>Develop and validate physics-based models:</w:t>
      </w:r>
    </w:p>
    <w:p>
      <w:pPr>
        <w:pStyle w:val="ListBullet"/>
      </w:pPr>
      <w:r>
        <w:rPr>
          <w:sz w:val="18"/>
        </w:rPr>
        <w:t xml:space="preserve">CFD model of electric roller hearth kiln / rotary kiln: temperature distribution, gas flow, heat transfer to crucible bed </w:t>
      </w:r>
      <w:r>
        <w:rPr>
          <w:color w:val="0066CC"/>
          <w:sz w:val="16"/>
        </w:rPr>
        <w:t>[SRC-ED-010]</w:t>
      </w:r>
    </w:p>
    <w:p>
      <w:pPr>
        <w:pStyle w:val="ListBullet"/>
      </w:pPr>
      <w:r>
        <w:rPr>
          <w:sz w:val="18"/>
        </w:rPr>
        <w:t>Population balance model for jet milling: breakage kernels calibrated to milling media and LFP material properties</w:t>
      </w:r>
    </w:p>
    <w:p>
      <w:pPr>
        <w:pStyle w:val="ListBullet"/>
      </w:pPr>
      <w:r>
        <w:rPr>
          <w:sz w:val="18"/>
        </w:rPr>
        <w:t>DEM model for milling media dynamics</w:t>
      </w:r>
    </w:p>
    <w:p>
      <w:pPr>
        <w:pStyle w:val="ListBullet"/>
      </w:pPr>
      <w:r>
        <w:rPr>
          <w:sz w:val="18"/>
        </w:rPr>
        <w:t xml:space="preserve">Multi-step reaction kinetics model for LFP calcination: Jander + Avrami kinetics with temperature-dependent rate constants </w:t>
      </w:r>
      <w:r>
        <w:rPr>
          <w:color w:val="0066CC"/>
          <w:sz w:val="16"/>
        </w:rPr>
        <w:t>[CLM-020]</w:t>
      </w:r>
    </w:p>
    <w:p>
      <w:pPr>
        <w:pStyle w:val="ListBullet"/>
      </w:pPr>
      <w:r>
        <w:rPr>
          <w:sz w:val="18"/>
        </w:rPr>
        <w:t>Spray drying model: droplet evaporation, particle morphology prediction</w:t>
      </w:r>
    </w:p>
    <w:p>
      <w:pPr>
        <w:pStyle w:val="ListBullet"/>
      </w:pPr>
      <w:r>
        <w:rPr>
          <w:sz w:val="18"/>
        </w:rPr>
        <w:t xml:space="preserve">Train surrogate models (PINNs, neural network emulators) on simulation datasets for real-time inference </w:t>
      </w:r>
      <w:r>
        <w:rPr>
          <w:color w:val="0066CC"/>
          <w:sz w:val="16"/>
        </w:rPr>
        <w:t>[CLM-016]</w:t>
      </w:r>
    </w:p>
    <w:p>
      <w:pPr>
        <w:pStyle w:val="ListBullet"/>
      </w:pPr>
      <w:r>
        <w:rPr>
          <w:sz w:val="18"/>
        </w:rPr>
        <w:t>Develop ML pipelines: anomaly detection (autoencoder), multivariate SPC, predictive quality models</w:t>
      </w:r>
    </w:p>
    <w:p>
      <w:pPr>
        <w:pStyle w:val="ListBullet"/>
      </w:pPr>
      <w:r>
        <w:rPr>
          <w:sz w:val="18"/>
        </w:rPr>
        <w:t>Implement data pipeline: edge gateways, OPC-UA servers, MQTT brokers, InfluxDB time-series database</w:t>
      </w:r>
    </w:p>
    <w:p>
      <w:pPr>
        <w:pStyle w:val="ListBullet"/>
      </w:pPr>
      <w:r>
        <w:rPr>
          <w:sz w:val="18"/>
        </w:rPr>
        <w:t>Develop Grafana dashboards and MPC operator interface</w:t>
      </w:r>
    </w:p>
    <w:p>
      <w:pPr>
        <w:pStyle w:val="ListBullet"/>
      </w:pPr>
      <w:r>
        <w:rPr>
          <w:sz w:val="18"/>
        </w:rPr>
        <w:t>Conduct factory acceptance testing (FAT) of DT system components</w:t>
      </w:r>
    </w:p>
    <w:p>
      <w:r>
        <w:rPr>
          <w:b/>
          <w:sz w:val="18"/>
        </w:rPr>
        <w:t>A2.3 DT Integration and Testing (M36-M45)</w:t>
      </w:r>
    </w:p>
    <w:p>
      <w:pPr>
        <w:pStyle w:val="ListBullet"/>
      </w:pPr>
      <w:r>
        <w:rPr>
          <w:sz w:val="18"/>
        </w:rPr>
        <w:t>Connect sensor network to DT data pipeline</w:t>
      </w:r>
    </w:p>
    <w:p>
      <w:pPr>
        <w:pStyle w:val="ListBullet"/>
      </w:pPr>
      <w:r>
        <w:rPr>
          <w:sz w:val="18"/>
        </w:rPr>
        <w:t>Verify data flow from all sensors through edge-fog-cloud architecture</w:t>
      </w:r>
    </w:p>
    <w:p>
      <w:pPr>
        <w:pStyle w:val="ListBullet"/>
      </w:pPr>
      <w:r>
        <w:rPr>
          <w:sz w:val="18"/>
        </w:rPr>
        <w:t>Calibrate physics-based models with commissioning data from first process runs</w:t>
      </w:r>
    </w:p>
    <w:p>
      <w:pPr>
        <w:pStyle w:val="ListBullet"/>
      </w:pPr>
      <w:r>
        <w:rPr>
          <w:sz w:val="18"/>
        </w:rPr>
        <w:t>Validate surrogate model accuracy against full-fidelity simulations and measured data</w:t>
      </w:r>
    </w:p>
    <w:p>
      <w:pPr>
        <w:pStyle w:val="ListBullet"/>
      </w:pPr>
      <w:r>
        <w:rPr>
          <w:sz w:val="18"/>
        </w:rPr>
        <w:t>Test closed-loop MPC with furnace temperature control in manual-override safety mode</w:t>
      </w:r>
    </w:p>
    <w:p>
      <w:pPr>
        <w:pStyle w:val="ListBullet"/>
      </w:pPr>
      <w:r>
        <w:rPr>
          <w:sz w:val="18"/>
        </w:rPr>
        <w:t>Integration testing of batch quality reporting and CQA prediction systems</w:t>
      </w:r>
    </w:p>
    <w:p>
      <w:r>
        <w:rPr>
          <w:b/>
          <w:sz w:val="18"/>
        </w:rPr>
        <w:t>A2.4 Plant Commissioning (M36-M48)</w:t>
      </w:r>
    </w:p>
    <w:p>
      <w:pPr>
        <w:pStyle w:val="ListBullet"/>
      </w:pPr>
      <w:r>
        <w:rPr>
          <w:sz w:val="18"/>
        </w:rPr>
        <w:t>Mechanical completion inspection</w:t>
      </w:r>
    </w:p>
    <w:p>
      <w:pPr>
        <w:pStyle w:val="ListBullet"/>
      </w:pPr>
      <w:r>
        <w:rPr>
          <w:sz w:val="18"/>
        </w:rPr>
        <w:t>Pre-commissioning checks (punch-list resolution)</w:t>
      </w:r>
    </w:p>
    <w:p>
      <w:pPr>
        <w:pStyle w:val="ListBullet"/>
      </w:pPr>
      <w:r>
        <w:rPr>
          <w:sz w:val="18"/>
        </w:rPr>
        <w:t>Utility commissioning: electricity supply testing, nitrogen purity verification, water quality confirmation</w:t>
      </w:r>
    </w:p>
    <w:p>
      <w:pPr>
        <w:pStyle w:val="ListBullet"/>
      </w:pPr>
      <w:r>
        <w:rPr>
          <w:sz w:val="18"/>
        </w:rPr>
        <w:t>Dry commissioning: individual equipment testing without process materials</w:t>
      </w:r>
    </w:p>
    <w:p>
      <w:pPr>
        <w:pStyle w:val="ListBullet"/>
      </w:pPr>
      <w:r>
        <w:rPr>
          <w:sz w:val="18"/>
        </w:rPr>
        <w:t>Wet commissioning: process runs with actual raw materials at reduced throughput</w:t>
      </w:r>
    </w:p>
    <w:p>
      <w:pPr>
        <w:pStyle w:val="ListBullet"/>
      </w:pPr>
      <w:r>
        <w:rPr>
          <w:sz w:val="18"/>
        </w:rPr>
        <w:t xml:space="preserve">Production of qualification batches: CQA verification against battery-grade specifications (D50 0.7-2.5 um, SSA 10-14 m2/g, phase purity &gt;98% olivine, carbon 1.0-1.8 wt%, discharge capacity &gt;=155 mAh/g at 0.1C, &gt;=140 mAh/g at 1C, ICE ~98%, moisture &lt;750 ppm, magnetic impurities &lt;=1000 ppb) </w:t>
      </w:r>
      <w:r>
        <w:rPr>
          <w:color w:val="0066CC"/>
          <w:sz w:val="16"/>
        </w:rPr>
        <w:t>[CLM-009]</w:t>
      </w:r>
    </w:p>
    <w:p>
      <w:pPr>
        <w:pStyle w:val="ListBullet"/>
      </w:pPr>
      <w:r>
        <w:rPr>
          <w:sz w:val="18"/>
        </w:rPr>
        <w:t>Performance testing at design throughput</w:t>
      </w:r>
    </w:p>
    <w:p>
      <w:pPr>
        <w:pStyle w:val="ListBullet"/>
      </w:pPr>
      <w:r>
        <w:rPr>
          <w:sz w:val="18"/>
        </w:rPr>
        <w:t>Operational readiness review and certificate issuance</w:t>
      </w:r>
    </w:p>
    <w:p>
      <w:r>
        <w:rPr>
          <w:b/>
          <w:sz w:val="18"/>
        </w:rPr>
        <w:t>A2.5 GHG Monitoring System Setup (M42-M48)</w:t>
      </w:r>
    </w:p>
    <w:p>
      <w:pPr>
        <w:pStyle w:val="ListBullet"/>
      </w:pPr>
      <w:r>
        <w:rPr>
          <w:sz w:val="18"/>
        </w:rPr>
        <w:t>Install GHG monitoring instrumentation (electricity meters, process gas flow meters, material mass flow tracking)</w:t>
      </w:r>
    </w:p>
    <w:p>
      <w:pPr>
        <w:pStyle w:val="ListBullet"/>
      </w:pPr>
      <w:r>
        <w:rPr>
          <w:sz w:val="18"/>
        </w:rPr>
        <w:t>Establish GHG monitoring methodology and data collection protocols consistent with Innovation Fund GHG emission avoidance methodology</w:t>
      </w:r>
    </w:p>
    <w:p>
      <w:pPr>
        <w:pStyle w:val="ListBullet"/>
      </w:pPr>
      <w:r>
        <w:rPr>
          <w:sz w:val="18"/>
        </w:rPr>
        <w:t>Prepare GHG monitoring plan (deliverable at entry into operation)</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D2.1</w:t>
            </w:r>
          </w:p>
        </w:tc>
        <w:tc>
          <w:tcPr>
            <w:tcW w:type="dxa" w:w="2635"/>
          </w:tcPr>
          <w:p>
            <w:r>
              <w:rPr>
                <w:sz w:val="16"/>
              </w:rPr>
              <w:t>Annual progress reports</w:t>
            </w:r>
          </w:p>
        </w:tc>
        <w:tc>
          <w:tcPr>
            <w:tcW w:type="dxa" w:w="2635"/>
          </w:tcPr>
          <w:p>
            <w:r>
              <w:rPr>
                <w:sz w:val="16"/>
              </w:rPr>
              <w:t>M36, M48</w:t>
            </w:r>
          </w:p>
        </w:tc>
        <w:tc>
          <w:tcPr>
            <w:tcW w:type="dxa" w:w="2635"/>
          </w:tcPr>
          <w:p>
            <w:r>
              <w:rPr>
                <w:sz w:val="16"/>
              </w:rPr>
              <w:t>Reports</w:t>
            </w:r>
          </w:p>
        </w:tc>
      </w:tr>
      <w:tr>
        <w:tc>
          <w:tcPr>
            <w:tcW w:type="dxa" w:w="2635"/>
          </w:tcPr>
          <w:p>
            <w:r>
              <w:rPr>
                <w:sz w:val="16"/>
              </w:rPr>
              <w:t>D2.2</w:t>
            </w:r>
          </w:p>
        </w:tc>
        <w:tc>
          <w:tcPr>
            <w:tcW w:type="dxa" w:w="2635"/>
          </w:tcPr>
          <w:p>
            <w:r>
              <w:rPr>
                <w:sz w:val="16"/>
              </w:rPr>
              <w:t>Statement by independent auditor on correctness of relevant cost calculation</w:t>
            </w:r>
          </w:p>
        </w:tc>
        <w:tc>
          <w:tcPr>
            <w:tcW w:type="dxa" w:w="2635"/>
          </w:tcPr>
          <w:p>
            <w:r>
              <w:rPr>
                <w:sz w:val="16"/>
              </w:rPr>
              <w:t>At EiO (M48)</w:t>
            </w:r>
          </w:p>
        </w:tc>
        <w:tc>
          <w:tcPr>
            <w:tcW w:type="dxa" w:w="2635"/>
          </w:tcPr>
          <w:p>
            <w:r>
              <w:rPr>
                <w:sz w:val="16"/>
              </w:rPr>
              <w:t>Audit report</w:t>
            </w:r>
          </w:p>
        </w:tc>
      </w:tr>
      <w:tr>
        <w:tc>
          <w:tcPr>
            <w:tcW w:type="dxa" w:w="2635"/>
          </w:tcPr>
          <w:p>
            <w:r>
              <w:rPr>
                <w:sz w:val="16"/>
              </w:rPr>
              <w:t>D2.3</w:t>
            </w:r>
          </w:p>
        </w:tc>
        <w:tc>
          <w:tcPr>
            <w:tcW w:type="dxa" w:w="2635"/>
          </w:tcPr>
          <w:p>
            <w:r>
              <w:rPr>
                <w:sz w:val="16"/>
              </w:rPr>
              <w:t>Operational readiness and completion certificate</w:t>
            </w:r>
          </w:p>
        </w:tc>
        <w:tc>
          <w:tcPr>
            <w:tcW w:type="dxa" w:w="2635"/>
          </w:tcPr>
          <w:p>
            <w:r>
              <w:rPr>
                <w:sz w:val="16"/>
              </w:rPr>
              <w:t>At EiO (M48)</w:t>
            </w:r>
          </w:p>
        </w:tc>
        <w:tc>
          <w:tcPr>
            <w:tcW w:type="dxa" w:w="2635"/>
          </w:tcPr>
          <w:p>
            <w:r>
              <w:rPr>
                <w:sz w:val="16"/>
              </w:rPr>
              <w:t>Certificate</w:t>
            </w:r>
          </w:p>
        </w:tc>
      </w:tr>
      <w:tr>
        <w:tc>
          <w:tcPr>
            <w:tcW w:type="dxa" w:w="2635"/>
          </w:tcPr>
          <w:p>
            <w:r>
              <w:rPr>
                <w:sz w:val="16"/>
              </w:rPr>
              <w:t>D2.4</w:t>
            </w:r>
          </w:p>
        </w:tc>
        <w:tc>
          <w:tcPr>
            <w:tcW w:type="dxa" w:w="2635"/>
          </w:tcPr>
          <w:p>
            <w:r>
              <w:rPr>
                <w:sz w:val="16"/>
              </w:rPr>
              <w:t>Updated knowledge sharing report</w:t>
            </w:r>
          </w:p>
        </w:tc>
        <w:tc>
          <w:tcPr>
            <w:tcW w:type="dxa" w:w="2635"/>
          </w:tcPr>
          <w:p>
            <w:r>
              <w:rPr>
                <w:sz w:val="16"/>
              </w:rPr>
              <w:t>At EiO (M48)</w:t>
            </w:r>
          </w:p>
        </w:tc>
        <w:tc>
          <w:tcPr>
            <w:tcW w:type="dxa" w:w="2635"/>
          </w:tcPr>
          <w:p>
            <w:r>
              <w:rPr>
                <w:sz w:val="16"/>
              </w:rPr>
              <w:t>Report</w:t>
            </w:r>
          </w:p>
        </w:tc>
      </w:tr>
      <w:tr>
        <w:tc>
          <w:tcPr>
            <w:tcW w:type="dxa" w:w="2635"/>
          </w:tcPr>
          <w:p>
            <w:r>
              <w:rPr>
                <w:sz w:val="16"/>
              </w:rPr>
              <w:t>D2.5</w:t>
            </w:r>
          </w:p>
        </w:tc>
        <w:tc>
          <w:tcPr>
            <w:tcW w:type="dxa" w:w="2635"/>
          </w:tcPr>
          <w:p>
            <w:r>
              <w:rPr>
                <w:sz w:val="16"/>
              </w:rPr>
              <w:t>Updated knowledge sharing plan</w:t>
            </w:r>
          </w:p>
        </w:tc>
        <w:tc>
          <w:tcPr>
            <w:tcW w:type="dxa" w:w="2635"/>
          </w:tcPr>
          <w:p>
            <w:r>
              <w:rPr>
                <w:sz w:val="16"/>
              </w:rPr>
              <w:t>At EiO (M48)</w:t>
            </w:r>
          </w:p>
        </w:tc>
        <w:tc>
          <w:tcPr>
            <w:tcW w:type="dxa" w:w="2635"/>
          </w:tcPr>
          <w:p>
            <w:r>
              <w:rPr>
                <w:sz w:val="16"/>
              </w:rPr>
              <w:t>Report</w:t>
            </w:r>
          </w:p>
        </w:tc>
      </w:tr>
      <w:tr>
        <w:tc>
          <w:tcPr>
            <w:tcW w:type="dxa" w:w="2635"/>
          </w:tcPr>
          <w:p>
            <w:r>
              <w:rPr>
                <w:sz w:val="16"/>
              </w:rPr>
              <w:t>D2.6</w:t>
            </w:r>
          </w:p>
        </w:tc>
        <w:tc>
          <w:tcPr>
            <w:tcW w:type="dxa" w:w="2635"/>
          </w:tcPr>
          <w:p>
            <w:r>
              <w:rPr>
                <w:sz w:val="16"/>
              </w:rPr>
              <w:t>GHG monitoring plan</w:t>
            </w:r>
          </w:p>
        </w:tc>
        <w:tc>
          <w:tcPr>
            <w:tcW w:type="dxa" w:w="2635"/>
          </w:tcPr>
          <w:p>
            <w:r>
              <w:rPr>
                <w:sz w:val="16"/>
              </w:rPr>
              <w:t>At EiO (M48)</w:t>
            </w:r>
          </w:p>
        </w:tc>
        <w:tc>
          <w:tcPr>
            <w:tcW w:type="dxa" w:w="2635"/>
          </w:tcPr>
          <w:p>
            <w:r>
              <w:rPr>
                <w:sz w:val="16"/>
              </w:rPr>
              <w:t>Report</w:t>
            </w:r>
          </w:p>
        </w:tc>
      </w:tr>
      <w:tr>
        <w:tc>
          <w:tcPr>
            <w:tcW w:type="dxa" w:w="2635"/>
          </w:tcPr>
          <w:p>
            <w:r>
              <w:rPr>
                <w:sz w:val="16"/>
              </w:rPr>
              <w:t>D2.7</w:t>
            </w:r>
          </w:p>
        </w:tc>
        <w:tc>
          <w:tcPr>
            <w:tcW w:type="dxa" w:w="2635"/>
          </w:tcPr>
          <w:p>
            <w:r>
              <w:rPr>
                <w:sz w:val="16"/>
              </w:rPr>
              <w:t>Updated detailed project management plan</w:t>
            </w:r>
          </w:p>
        </w:tc>
        <w:tc>
          <w:tcPr>
            <w:tcW w:type="dxa" w:w="2635"/>
          </w:tcPr>
          <w:p>
            <w:r>
              <w:rPr>
                <w:sz w:val="16"/>
              </w:rPr>
              <w:t>At EiO (M48)</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**MS2: Entry into Operation**</w:t>
            </w:r>
          </w:p>
        </w:tc>
        <w:tc>
          <w:tcPr>
            <w:tcW w:type="dxa" w:w="2635"/>
          </w:tcPr>
          <w:p>
            <w:r>
              <w:rPr>
                <w:sz w:val="16"/>
              </w:rPr>
              <w:t>Plant commissioned and producing battery-grade LFP CAM; DT system operational; GHG monitoring system active</w:t>
            </w:r>
          </w:p>
        </w:tc>
        <w:tc>
          <w:tcPr>
            <w:tcW w:type="dxa" w:w="2635"/>
          </w:tcPr>
          <w:p>
            <w:r>
              <w:rPr>
                <w:sz w:val="16"/>
              </w:rPr>
              <w:t>**M48**</w:t>
            </w:r>
          </w:p>
        </w:tc>
        <w:tc>
          <w:tcPr>
            <w:tcW w:type="dxa" w:w="2635"/>
          </w:tcPr>
          <w:p>
            <w:r>
              <w:rPr>
                <w:sz w:val="16"/>
              </w:rPr>
              <w:t>Operational readiness certificate; qualification batch CQA results; DT system acceptance test report</w:t>
            </w:r>
          </w:p>
        </w:tc>
      </w:tr>
    </w:tbl>
    <w:p>
      <w:r>
        <w:rPr>
          <w:sz w:val="18"/>
        </w:rPr>
        <w:t>---</w:t>
      </w:r>
    </w:p>
    <w:p>
      <w:pPr>
        <w:pStyle w:val="Heading3"/>
      </w:pPr>
      <w:r>
        <w:t>WP3: Year 1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M48-M60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Ramp up production from commissioning rate to nameplate capacity; calibrate DT system with production-scale data; achieve expected GHG emission avoidance.</w:t>
            </w:r>
          </w:p>
        </w:tc>
      </w:tr>
    </w:tbl>
    <w:p>
      <w:pPr>
        <w:pStyle w:val="Heading4"/>
      </w:pPr>
      <w:r>
        <w:t>Activities</w:t>
      </w:r>
    </w:p>
    <w:p>
      <w:r>
        <w:rPr>
          <w:b/>
          <w:sz w:val="18"/>
        </w:rPr>
        <w:t>A3.1 Production Ramp-Up (M48-M54)</w:t>
      </w:r>
    </w:p>
    <w:p>
      <w:pPr>
        <w:pStyle w:val="ListBullet"/>
      </w:pPr>
      <w:r>
        <w:rPr>
          <w:sz w:val="18"/>
        </w:rPr>
        <w:t>Gradual increase from commissioning throughput (25% capacity) to nameplate capacity (100%)</w:t>
      </w:r>
    </w:p>
    <w:p>
      <w:pPr>
        <w:pStyle w:val="ListBullet"/>
      </w:pPr>
      <w:r>
        <w:rPr>
          <w:sz w:val="18"/>
        </w:rPr>
        <w:t>Process optimisation guided by DT predictions: furnace temperature profile adjustment, spray dryer parameter tuning, milling parameter refinement</w:t>
      </w:r>
    </w:p>
    <w:p>
      <w:pPr>
        <w:pStyle w:val="ListBullet"/>
      </w:pPr>
      <w:r>
        <w:rPr>
          <w:sz w:val="18"/>
        </w:rPr>
        <w:t>CQA trend monitoring and batch release</w:t>
      </w:r>
    </w:p>
    <w:p>
      <w:r>
        <w:rPr>
          <w:b/>
          <w:sz w:val="18"/>
        </w:rPr>
        <w:t>A3.2 DT Calibration and Optimisation (M48-M60)</w:t>
      </w:r>
    </w:p>
    <w:p>
      <w:pPr>
        <w:pStyle w:val="ListBullet"/>
      </w:pPr>
      <w:r>
        <w:rPr>
          <w:sz w:val="18"/>
        </w:rPr>
        <w:t>Calibrate all physics-based models with production-scale data (temperature profiles, PSDs, phase purity measurements)</w:t>
      </w:r>
    </w:p>
    <w:p>
      <w:pPr>
        <w:pStyle w:val="ListBullet"/>
      </w:pPr>
      <w:r>
        <w:rPr>
          <w:sz w:val="18"/>
        </w:rPr>
        <w:t>Retrain surrogate models on expanded datasets including production conditions</w:t>
      </w:r>
    </w:p>
    <w:p>
      <w:pPr>
        <w:pStyle w:val="ListBullet"/>
      </w:pPr>
      <w:r>
        <w:rPr>
          <w:sz w:val="18"/>
        </w:rPr>
        <w:t>Activate closed-loop MPC for furnace temperature control and milling parameter adjustment</w:t>
      </w:r>
    </w:p>
    <w:p>
      <w:pPr>
        <w:pStyle w:val="ListBullet"/>
      </w:pPr>
      <w:r>
        <w:rPr>
          <w:sz w:val="18"/>
        </w:rPr>
        <w:t xml:space="preserve">Quantify DT value: scrap rate reduction, energy savings, batch consistency improvement vs. baseline (first commissioning batches without DT optimisation) </w:t>
      </w:r>
      <w:r>
        <w:rPr>
          <w:color w:val="0066CC"/>
          <w:sz w:val="16"/>
        </w:rPr>
        <w:t>[CLM-007]</w:t>
      </w:r>
    </w:p>
    <w:p>
      <w:r>
        <w:rPr>
          <w:b/>
          <w:sz w:val="18"/>
        </w:rPr>
        <w:t>A3.3 GHG Monitoring and Reporting (M48-M60)</w:t>
      </w:r>
    </w:p>
    <w:p>
      <w:pPr>
        <w:pStyle w:val="ListBullet"/>
      </w:pPr>
      <w:r>
        <w:rPr>
          <w:sz w:val="18"/>
        </w:rPr>
        <w:t>Continuous GHG monitoring per approved monitoring plan</w:t>
      </w:r>
    </w:p>
    <w:p>
      <w:pPr>
        <w:pStyle w:val="ListBullet"/>
      </w:pPr>
      <w:r>
        <w:rPr>
          <w:sz w:val="18"/>
        </w:rPr>
        <w:t>Data collection for annual GHG emission avoidance report</w:t>
      </w:r>
    </w:p>
    <w:p>
      <w:pPr>
        <w:pStyle w:val="ListBullet"/>
      </w:pPr>
      <w:r>
        <w:rPr>
          <w:sz w:val="18"/>
        </w:rPr>
        <w:t>Prepare annual GHG emission avoidance report</w:t>
      </w:r>
    </w:p>
    <w:p>
      <w:r>
        <w:rPr>
          <w:b/>
          <w:sz w:val="18"/>
        </w:rPr>
        <w:t>A3.4 Knowledge Sharing (M48-M60)</w:t>
      </w:r>
    </w:p>
    <w:p>
      <w:pPr>
        <w:pStyle w:val="ListBullet"/>
      </w:pPr>
      <w:r>
        <w:rPr>
          <w:sz w:val="18"/>
        </w:rPr>
        <w:t>Implement knowledge sharing plan activities: technical publications on DT implementation, participation in EU battery ecosystem events</w:t>
      </w:r>
    </w:p>
    <w:p>
      <w:pPr>
        <w:pStyle w:val="ListBullet"/>
      </w:pPr>
      <w:r>
        <w:rPr>
          <w:sz w:val="18"/>
        </w:rPr>
        <w:t>Update knowledge sharing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D3.1</w:t>
            </w:r>
          </w:p>
        </w:tc>
        <w:tc>
          <w:tcPr>
            <w:tcW w:type="dxa" w:w="2635"/>
          </w:tcPr>
          <w:p>
            <w:r>
              <w:rPr>
                <w:sz w:val="16"/>
              </w:rPr>
              <w:t>Annual GHG emission avoidance report</w:t>
            </w:r>
          </w:p>
        </w:tc>
        <w:tc>
          <w:tcPr>
            <w:tcW w:type="dxa" w:w="2635"/>
          </w:tcPr>
          <w:p>
            <w:r>
              <w:rPr>
                <w:sz w:val="16"/>
              </w:rPr>
              <w:t>M60</w:t>
            </w:r>
          </w:p>
        </w:tc>
        <w:tc>
          <w:tcPr>
            <w:tcW w:type="dxa" w:w="2635"/>
          </w:tcPr>
          <w:p>
            <w:r>
              <w:rPr>
                <w:sz w:val="16"/>
              </w:rPr>
              <w:t>Report</w:t>
            </w:r>
          </w:p>
        </w:tc>
      </w:tr>
      <w:tr>
        <w:tc>
          <w:tcPr>
            <w:tcW w:type="dxa" w:w="2635"/>
          </w:tcPr>
          <w:p>
            <w:r>
              <w:rPr>
                <w:sz w:val="16"/>
              </w:rPr>
              <w:t>D3.2</w:t>
            </w:r>
          </w:p>
        </w:tc>
        <w:tc>
          <w:tcPr>
            <w:tcW w:type="dxa" w:w="2635"/>
          </w:tcPr>
          <w:p>
            <w:r>
              <w:rPr>
                <w:sz w:val="16"/>
              </w:rPr>
              <w:t>Updated knowledge sharing report and plan</w:t>
            </w:r>
          </w:p>
        </w:tc>
        <w:tc>
          <w:tcPr>
            <w:tcW w:type="dxa" w:w="2635"/>
          </w:tcPr>
          <w:p>
            <w:r>
              <w:rPr>
                <w:sz w:val="16"/>
              </w:rPr>
              <w:t>M60</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**MS3: End of Year 1 of Operation**</w:t>
            </w:r>
          </w:p>
        </w:tc>
        <w:tc>
          <w:tcPr>
            <w:tcW w:type="dxa" w:w="2635"/>
          </w:tcPr>
          <w:p>
            <w:r>
              <w:rPr>
                <w:sz w:val="16"/>
              </w:rPr>
              <w:t>Plant operating at nameplate capacity; GHG emission avoidance documented</w:t>
            </w:r>
          </w:p>
        </w:tc>
        <w:tc>
          <w:tcPr>
            <w:tcW w:type="dxa" w:w="2635"/>
          </w:tcPr>
          <w:p>
            <w:r>
              <w:rPr>
                <w:sz w:val="16"/>
              </w:rPr>
              <w:t>**M60**</w:t>
            </w:r>
          </w:p>
        </w:tc>
        <w:tc>
          <w:tcPr>
            <w:tcW w:type="dxa" w:w="2635"/>
          </w:tcPr>
          <w:p>
            <w:r>
              <w:rPr>
                <w:sz w:val="16"/>
              </w:rPr>
              <w:t>GHG report; production records; CQA quality reports</w:t>
            </w:r>
          </w:p>
        </w:tc>
      </w:tr>
    </w:tbl>
    <w:p>
      <w:r>
        <w:rPr>
          <w:sz w:val="18"/>
        </w:rPr>
        <w:t>---</w:t>
      </w:r>
    </w:p>
    <w:p>
      <w:pPr>
        <w:pStyle w:val="Heading3"/>
      </w:pPr>
      <w:r>
        <w:t>WP4: Year 2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M60-M72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Steady-state operation; continuous DT-driven process improvement; achieve expected GHG emission avoidance.</w:t>
            </w:r>
          </w:p>
        </w:tc>
      </w:tr>
    </w:tbl>
    <w:p>
      <w:pPr>
        <w:pStyle w:val="Heading4"/>
      </w:pPr>
      <w:r>
        <w:t>Activities</w:t>
      </w:r>
    </w:p>
    <w:p>
      <w:r>
        <w:rPr>
          <w:b/>
          <w:sz w:val="18"/>
        </w:rPr>
        <w:t>A4.1 Steady-State Production (M60-M72)</w:t>
      </w:r>
    </w:p>
    <w:p>
      <w:pPr>
        <w:pStyle w:val="ListBullet"/>
      </w:pPr>
      <w:r>
        <w:rPr>
          <w:sz w:val="18"/>
        </w:rPr>
        <w:t>Continuous production at nameplate capacity</w:t>
      </w:r>
    </w:p>
    <w:p>
      <w:pPr>
        <w:pStyle w:val="ListBullet"/>
      </w:pPr>
      <w:r>
        <w:rPr>
          <w:sz w:val="18"/>
        </w:rPr>
        <w:t>Ongoing CQA monitoring and batch release</w:t>
      </w:r>
    </w:p>
    <w:p>
      <w:pPr>
        <w:pStyle w:val="ListBullet"/>
      </w:pPr>
      <w:r>
        <w:rPr>
          <w:sz w:val="18"/>
        </w:rPr>
        <w:t>DT-guided process optimisation for yield improvement and energy reduction</w:t>
      </w:r>
    </w:p>
    <w:p>
      <w:r>
        <w:rPr>
          <w:b/>
          <w:sz w:val="18"/>
        </w:rPr>
        <w:t>A4.2 GHG Monitoring and Reporting (M60-M72)</w:t>
      </w:r>
    </w:p>
    <w:p>
      <w:pPr>
        <w:pStyle w:val="ListBullet"/>
      </w:pPr>
      <w:r>
        <w:rPr>
          <w:sz w:val="18"/>
        </w:rPr>
        <w:t>Continuous GHG monitoring</w:t>
      </w:r>
    </w:p>
    <w:p>
      <w:pPr>
        <w:pStyle w:val="ListBullet"/>
      </w:pPr>
      <w:r>
        <w:rPr>
          <w:sz w:val="18"/>
        </w:rPr>
        <w:t>Prepare 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D4.1</w:t>
            </w:r>
          </w:p>
        </w:tc>
        <w:tc>
          <w:tcPr>
            <w:tcW w:type="dxa" w:w="2635"/>
          </w:tcPr>
          <w:p>
            <w:r>
              <w:rPr>
                <w:sz w:val="16"/>
              </w:rPr>
              <w:t>Annual GHG emission avoidance report</w:t>
            </w:r>
          </w:p>
        </w:tc>
        <w:tc>
          <w:tcPr>
            <w:tcW w:type="dxa" w:w="2635"/>
          </w:tcPr>
          <w:p>
            <w:r>
              <w:rPr>
                <w:sz w:val="16"/>
              </w:rPr>
              <w:t>M72</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**MS4: End of Year 2 of Operation**</w:t>
            </w:r>
          </w:p>
        </w:tc>
        <w:tc>
          <w:tcPr>
            <w:tcW w:type="dxa" w:w="2635"/>
          </w:tcPr>
          <w:p>
            <w:r>
              <w:rPr>
                <w:sz w:val="16"/>
              </w:rPr>
              <w:t>GHG emission avoidance documented</w:t>
            </w:r>
          </w:p>
        </w:tc>
        <w:tc>
          <w:tcPr>
            <w:tcW w:type="dxa" w:w="2635"/>
          </w:tcPr>
          <w:p>
            <w:r>
              <w:rPr>
                <w:sz w:val="16"/>
              </w:rPr>
              <w:t>**M72**</w:t>
            </w:r>
          </w:p>
        </w:tc>
        <w:tc>
          <w:tcPr>
            <w:tcW w:type="dxa" w:w="2635"/>
          </w:tcPr>
          <w:p>
            <w:r>
              <w:rPr>
                <w:sz w:val="16"/>
              </w:rPr>
              <w:t>GHG report; production records</w:t>
            </w:r>
          </w:p>
        </w:tc>
      </w:tr>
    </w:tbl>
    <w:p>
      <w:r>
        <w:rPr>
          <w:sz w:val="18"/>
        </w:rPr>
        <w:t>---</w:t>
      </w:r>
    </w:p>
    <w:p>
      <w:pPr>
        <w:pStyle w:val="Heading3"/>
      </w:pPr>
      <w:r>
        <w:t>WP5: Year 3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M72-M84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Continued operation; GHG monitoring; DT model refinement with accumulated data.</w:t>
            </w:r>
          </w:p>
        </w:tc>
      </w:tr>
    </w:tbl>
    <w:p>
      <w:pPr>
        <w:pStyle w:val="Heading4"/>
      </w:pPr>
      <w:r>
        <w:t>Activities</w:t>
      </w:r>
    </w:p>
    <w:p>
      <w:r>
        <w:rPr>
          <w:b/>
          <w:sz w:val="18"/>
        </w:rPr>
        <w:t>A5.1 Production and DT Operations (M72-M84)</w:t>
      </w:r>
    </w:p>
    <w:p>
      <w:pPr>
        <w:pStyle w:val="ListBullet"/>
      </w:pPr>
      <w:r>
        <w:rPr>
          <w:sz w:val="18"/>
        </w:rPr>
        <w:t>Steady-state production and continuous DT improvement</w:t>
      </w:r>
    </w:p>
    <w:p>
      <w:pPr>
        <w:pStyle w:val="ListBullet"/>
      </w:pPr>
      <w:r>
        <w:rPr>
          <w:sz w:val="18"/>
        </w:rPr>
        <w:t>Advanced DT applications: predictive maintenance scheduling, new-product recipe development support</w:t>
      </w:r>
    </w:p>
    <w:p>
      <w:r>
        <w:rPr>
          <w:b/>
          <w:sz w:val="18"/>
        </w:rPr>
        <w:t>A5.2 GHG Monitoring and Reporting (M72-M84)</w:t>
      </w:r>
    </w:p>
    <w:p>
      <w:pPr>
        <w:pStyle w:val="ListBullet"/>
      </w:pPr>
      <w:r>
        <w:rPr>
          <w:sz w:val="18"/>
        </w:rPr>
        <w:t>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D5.1</w:t>
            </w:r>
          </w:p>
        </w:tc>
        <w:tc>
          <w:tcPr>
            <w:tcW w:type="dxa" w:w="2635"/>
          </w:tcPr>
          <w:p>
            <w:r>
              <w:rPr>
                <w:sz w:val="16"/>
              </w:rPr>
              <w:t>Annual GHG emission avoidance report</w:t>
            </w:r>
          </w:p>
        </w:tc>
        <w:tc>
          <w:tcPr>
            <w:tcW w:type="dxa" w:w="2635"/>
          </w:tcPr>
          <w:p>
            <w:r>
              <w:rPr>
                <w:sz w:val="16"/>
              </w:rPr>
              <w:t>M84</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**MS5: End of Year 3 of Operation**</w:t>
            </w:r>
          </w:p>
        </w:tc>
        <w:tc>
          <w:tcPr>
            <w:tcW w:type="dxa" w:w="2635"/>
          </w:tcPr>
          <w:p>
            <w:r>
              <w:rPr>
                <w:sz w:val="16"/>
              </w:rPr>
              <w:t>GHG emission avoidance documented</w:t>
            </w:r>
          </w:p>
        </w:tc>
        <w:tc>
          <w:tcPr>
            <w:tcW w:type="dxa" w:w="2635"/>
          </w:tcPr>
          <w:p>
            <w:r>
              <w:rPr>
                <w:sz w:val="16"/>
              </w:rPr>
              <w:t>**M84**</w:t>
            </w:r>
          </w:p>
        </w:tc>
        <w:tc>
          <w:tcPr>
            <w:tcW w:type="dxa" w:w="2635"/>
          </w:tcPr>
          <w:p>
            <w:r>
              <w:rPr>
                <w:sz w:val="16"/>
              </w:rPr>
              <w:t>GHG report</w:t>
            </w:r>
          </w:p>
        </w:tc>
      </w:tr>
    </w:tbl>
    <w:p>
      <w:r>
        <w:rPr>
          <w:sz w:val="18"/>
        </w:rPr>
        <w:t>---</w:t>
      </w:r>
    </w:p>
    <w:p>
      <w:pPr>
        <w:pStyle w:val="Heading3"/>
      </w:pPr>
      <w:r>
        <w:t>WP6: Year 4 of Operation</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M84-M96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Continued operation; GHG monitoring.</w:t>
            </w:r>
          </w:p>
        </w:tc>
      </w:tr>
    </w:tbl>
    <w:p>
      <w:pPr>
        <w:pStyle w:val="Heading4"/>
      </w:pPr>
      <w:r>
        <w:t>Activities</w:t>
      </w:r>
    </w:p>
    <w:p>
      <w:r>
        <w:rPr>
          <w:b/>
          <w:sz w:val="18"/>
        </w:rPr>
        <w:t>A6.1 Production and Operations (M84-M96)</w:t>
      </w:r>
    </w:p>
    <w:p>
      <w:pPr>
        <w:pStyle w:val="ListBullet"/>
      </w:pPr>
      <w:r>
        <w:rPr>
          <w:sz w:val="18"/>
        </w:rPr>
        <w:t>Steady-state production operations</w:t>
      </w:r>
    </w:p>
    <w:p>
      <w:r>
        <w:rPr>
          <w:b/>
          <w:sz w:val="18"/>
        </w:rPr>
        <w:t>A6.2 GHG Monitoring and Reporting (M84-M96)</w:t>
      </w:r>
    </w:p>
    <w:p>
      <w:pPr>
        <w:pStyle w:val="ListBullet"/>
      </w:pPr>
      <w:r>
        <w:rPr>
          <w:sz w:val="18"/>
        </w:rPr>
        <w:t>Annual GHG emission avoidance report</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D6.1</w:t>
            </w:r>
          </w:p>
        </w:tc>
        <w:tc>
          <w:tcPr>
            <w:tcW w:type="dxa" w:w="2635"/>
          </w:tcPr>
          <w:p>
            <w:r>
              <w:rPr>
                <w:sz w:val="16"/>
              </w:rPr>
              <w:t>Annual GHG emission avoidance report</w:t>
            </w:r>
          </w:p>
        </w:tc>
        <w:tc>
          <w:tcPr>
            <w:tcW w:type="dxa" w:w="2635"/>
          </w:tcPr>
          <w:p>
            <w:r>
              <w:rPr>
                <w:sz w:val="16"/>
              </w:rPr>
              <w:t>M96</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**MS6: End of Year 4 of Operation**</w:t>
            </w:r>
          </w:p>
        </w:tc>
        <w:tc>
          <w:tcPr>
            <w:tcW w:type="dxa" w:w="2635"/>
          </w:tcPr>
          <w:p>
            <w:r>
              <w:rPr>
                <w:sz w:val="16"/>
              </w:rPr>
              <w:t>GHG emission avoidance documented</w:t>
            </w:r>
          </w:p>
        </w:tc>
        <w:tc>
          <w:tcPr>
            <w:tcW w:type="dxa" w:w="2635"/>
          </w:tcPr>
          <w:p>
            <w:r>
              <w:rPr>
                <w:sz w:val="16"/>
              </w:rPr>
              <w:t>**M96**</w:t>
            </w:r>
          </w:p>
        </w:tc>
        <w:tc>
          <w:tcPr>
            <w:tcW w:type="dxa" w:w="2635"/>
          </w:tcPr>
          <w:p>
            <w:r>
              <w:rPr>
                <w:sz w:val="16"/>
              </w:rPr>
              <w:t>GHG report</w:t>
            </w:r>
          </w:p>
        </w:tc>
      </w:tr>
    </w:tbl>
    <w:p>
      <w:r>
        <w:rPr>
          <w:sz w:val="18"/>
        </w:rPr>
        <w:t>---</w:t>
      </w:r>
    </w:p>
    <w:p>
      <w:pPr>
        <w:pStyle w:val="Heading3"/>
      </w:pPr>
      <w:r>
        <w:t>WP7: Year 5 of Operation (Final WP)</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**Duration**</w:t>
            </w:r>
          </w:p>
        </w:tc>
        <w:tc>
          <w:tcPr>
            <w:tcW w:type="dxa" w:w="5270"/>
          </w:tcPr>
          <w:p>
            <w:r>
              <w:rPr>
                <w:b/>
                <w:sz w:val="16"/>
              </w:rPr>
              <w:t>M96-M108 (12 months)</w:t>
            </w:r>
          </w:p>
        </w:tc>
      </w:tr>
      <w:tr>
        <w:tc>
          <w:tcPr>
            <w:tcW w:type="dxa" w:w="5270"/>
          </w:tcPr>
          <w:p>
            <w:r>
              <w:rPr>
                <w:sz w:val="16"/>
              </w:rPr>
              <w:t>**Lead partner**</w:t>
            </w:r>
          </w:p>
        </w:tc>
        <w:tc>
          <w:tcPr>
            <w:tcW w:type="dxa" w:w="5270"/>
          </w:tcPr>
          <w:p>
            <w:r>
              <w:rPr>
                <w:sz w:val="16"/>
              </w:rPr>
              <w:t>FIB (FAAM)</w:t>
            </w:r>
          </w:p>
        </w:tc>
      </w:tr>
      <w:tr>
        <w:tc>
          <w:tcPr>
            <w:tcW w:type="dxa" w:w="5270"/>
          </w:tcPr>
          <w:p>
            <w:r>
              <w:rPr>
                <w:sz w:val="16"/>
              </w:rPr>
              <w:t>**Contributing partner**</w:t>
            </w:r>
          </w:p>
        </w:tc>
        <w:tc>
          <w:tcPr>
            <w:tcW w:type="dxa" w:w="5270"/>
          </w:tcPr>
          <w:p>
            <w:r>
              <w:rPr>
                <w:sz w:val="16"/>
              </w:rPr>
              <w:t>Eni</w:t>
            </w:r>
          </w:p>
        </w:tc>
      </w:tr>
      <w:tr>
        <w:tc>
          <w:tcPr>
            <w:tcW w:type="dxa" w:w="5270"/>
          </w:tcPr>
          <w:p>
            <w:r>
              <w:rPr>
                <w:sz w:val="16"/>
              </w:rPr>
              <w:t>**Objective**</w:t>
            </w:r>
          </w:p>
        </w:tc>
        <w:tc>
          <w:tcPr>
            <w:tcW w:type="dxa" w:w="5270"/>
          </w:tcPr>
          <w:p>
            <w:r>
              <w:rPr>
                <w:sz w:val="16"/>
              </w:rPr>
              <w:t>Complete operational monitoring period; prepare final reports; demonstrate cumulative GHG emission avoidance; compile innovation and DNSH compliance evidence.</w:t>
            </w:r>
          </w:p>
        </w:tc>
      </w:tr>
    </w:tbl>
    <w:p>
      <w:pPr>
        <w:pStyle w:val="Heading4"/>
      </w:pPr>
      <w:r>
        <w:t>Activities</w:t>
      </w:r>
    </w:p>
    <w:p>
      <w:r>
        <w:rPr>
          <w:b/>
          <w:sz w:val="18"/>
        </w:rPr>
        <w:t>A7.1 Production and Operations (M96-M108)</w:t>
      </w:r>
    </w:p>
    <w:p>
      <w:pPr>
        <w:pStyle w:val="ListBullet"/>
      </w:pPr>
      <w:r>
        <w:rPr>
          <w:sz w:val="18"/>
        </w:rPr>
        <w:t>Steady-state production operations</w:t>
      </w:r>
    </w:p>
    <w:p>
      <w:pPr>
        <w:pStyle w:val="ListBullet"/>
      </w:pPr>
      <w:r>
        <w:rPr>
          <w:sz w:val="18"/>
        </w:rPr>
        <w:t>Final DT performance assessment: quantified scrap reduction, energy savings, and batch consistency improvement over the 5-year monitoring period</w:t>
      </w:r>
    </w:p>
    <w:p>
      <w:r>
        <w:rPr>
          <w:b/>
          <w:sz w:val="18"/>
        </w:rPr>
        <w:t>A7.2 Final GHG Reporting (M96-M108)</w:t>
      </w:r>
    </w:p>
    <w:p>
      <w:pPr>
        <w:pStyle w:val="ListBullet"/>
      </w:pPr>
      <w:r>
        <w:rPr>
          <w:sz w:val="18"/>
        </w:rPr>
        <w:t>Annual GHG emission avoidance report (Year 5)</w:t>
      </w:r>
    </w:p>
    <w:p>
      <w:pPr>
        <w:pStyle w:val="ListBullet"/>
      </w:pPr>
      <w:r>
        <w:rPr>
          <w:sz w:val="18"/>
        </w:rPr>
        <w:t>Verified GHG emission avoidance report covering the entire monitoring period (M48-M108), prepared by an independent verifier</w:t>
      </w:r>
    </w:p>
    <w:p>
      <w:r>
        <w:rPr>
          <w:b/>
          <w:sz w:val="18"/>
        </w:rPr>
        <w:t>A7.3 Innovation and Replicability Assessment (M96-M108)</w:t>
      </w:r>
    </w:p>
    <w:p>
      <w:pPr>
        <w:pStyle w:val="ListBullet"/>
      </w:pPr>
      <w:r>
        <w:rPr>
          <w:sz w:val="18"/>
        </w:rPr>
        <w:t>Final report on fulfilment of claims made under Degree of Innovation (Section 1) and Replicability (Section 4) criteria</w:t>
      </w:r>
    </w:p>
    <w:p>
      <w:pPr>
        <w:pStyle w:val="ListBullet"/>
      </w:pPr>
      <w:r>
        <w:rPr>
          <w:sz w:val="18"/>
        </w:rPr>
        <w:t>Documentation of DT system capabilities and quantified benefits</w:t>
      </w:r>
    </w:p>
    <w:p>
      <w:pPr>
        <w:pStyle w:val="ListBullet"/>
      </w:pPr>
      <w:r>
        <w:rPr>
          <w:sz w:val="18"/>
        </w:rPr>
        <w:t>Assessment of technology transfer and replication potential</w:t>
      </w:r>
    </w:p>
    <w:p>
      <w:r>
        <w:rPr>
          <w:b/>
          <w:sz w:val="18"/>
        </w:rPr>
        <w:t>A7.4 DNSH Compliance and EEA Content (M96-M108)</w:t>
      </w:r>
    </w:p>
    <w:p>
      <w:pPr>
        <w:pStyle w:val="ListBullet"/>
      </w:pPr>
      <w:r>
        <w:rPr>
          <w:sz w:val="18"/>
        </w:rPr>
        <w:t>DNSH compliance report demonstrating compliance with technical screening criteria throughout project lifetime</w:t>
      </w:r>
    </w:p>
    <w:p>
      <w:pPr>
        <w:pStyle w:val="ListBullet"/>
      </w:pPr>
      <w:r>
        <w:rPr>
          <w:sz w:val="18"/>
        </w:rPr>
        <w:t>Declaration on equipment/components EEA-originating content (mandatory for CLEAN-TECH-MANUFACTURING)</w:t>
      </w:r>
    </w:p>
    <w:p>
      <w:r>
        <w:rPr>
          <w:b/>
          <w:sz w:val="18"/>
        </w:rPr>
        <w:t>A7.5 Knowledge Sharing Completion (M96-M108)</w:t>
      </w:r>
    </w:p>
    <w:p>
      <w:pPr>
        <w:pStyle w:val="ListBullet"/>
      </w:pPr>
      <w:r>
        <w:rPr>
          <w:sz w:val="18"/>
        </w:rPr>
        <w:t>Final updated knowledge sharing report</w:t>
      </w:r>
    </w:p>
    <w:p>
      <w:pPr>
        <w:pStyle w:val="ListBullet"/>
      </w:pPr>
      <w:r>
        <w:rPr>
          <w:sz w:val="18"/>
        </w:rPr>
        <w:t>Final updated knowledge sharing plan (for post-project continuation)</w:t>
      </w:r>
    </w:p>
    <w:p>
      <w:pPr>
        <w:pStyle w:val="Heading4"/>
      </w:pPr>
      <w:r>
        <w:t>Deliverables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ID</w:t>
            </w:r>
          </w:p>
        </w:tc>
        <w:tc>
          <w:tcPr>
            <w:tcW w:type="dxa" w:w="2635"/>
          </w:tcPr>
          <w:p>
            <w:r>
              <w:rPr>
                <w:b/>
                <w:sz w:val="16"/>
              </w:rPr>
              <w:t>Deliverable</w:t>
            </w:r>
          </w:p>
        </w:tc>
        <w:tc>
          <w:tcPr>
            <w:tcW w:type="dxa" w:w="2635"/>
          </w:tcPr>
          <w:p>
            <w:r>
              <w:rPr>
                <w:b/>
                <w:sz w:val="16"/>
              </w:rPr>
              <w:t>Due</w:t>
            </w:r>
          </w:p>
        </w:tc>
        <w:tc>
          <w:tcPr>
            <w:tcW w:type="dxa" w:w="2635"/>
          </w:tcPr>
          <w:p>
            <w:r>
              <w:rPr>
                <w:b/>
                <w:sz w:val="16"/>
              </w:rPr>
              <w:t>Type</w:t>
            </w:r>
          </w:p>
        </w:tc>
      </w:tr>
      <w:tr>
        <w:tc>
          <w:tcPr>
            <w:tcW w:type="dxa" w:w="2635"/>
          </w:tcPr>
          <w:p>
            <w:r>
              <w:rPr>
                <w:sz w:val="16"/>
              </w:rPr>
              <w:t>D7.1</w:t>
            </w:r>
          </w:p>
        </w:tc>
        <w:tc>
          <w:tcPr>
            <w:tcW w:type="dxa" w:w="2635"/>
          </w:tcPr>
          <w:p>
            <w:r>
              <w:rPr>
                <w:sz w:val="16"/>
              </w:rPr>
              <w:t>Annual GHG emission avoidance report (Year 5)</w:t>
            </w:r>
          </w:p>
        </w:tc>
        <w:tc>
          <w:tcPr>
            <w:tcW w:type="dxa" w:w="2635"/>
          </w:tcPr>
          <w:p>
            <w:r>
              <w:rPr>
                <w:sz w:val="16"/>
              </w:rPr>
              <w:t>M108</w:t>
            </w:r>
          </w:p>
        </w:tc>
        <w:tc>
          <w:tcPr>
            <w:tcW w:type="dxa" w:w="2635"/>
          </w:tcPr>
          <w:p>
            <w:r>
              <w:rPr>
                <w:sz w:val="16"/>
              </w:rPr>
              <w:t>Report</w:t>
            </w:r>
          </w:p>
        </w:tc>
      </w:tr>
      <w:tr>
        <w:tc>
          <w:tcPr>
            <w:tcW w:type="dxa" w:w="2635"/>
          </w:tcPr>
          <w:p>
            <w:r>
              <w:rPr>
                <w:sz w:val="16"/>
              </w:rPr>
              <w:t>D7.2</w:t>
            </w:r>
          </w:p>
        </w:tc>
        <w:tc>
          <w:tcPr>
            <w:tcW w:type="dxa" w:w="2635"/>
          </w:tcPr>
          <w:p>
            <w:r>
              <w:rPr>
                <w:sz w:val="16"/>
              </w:rPr>
              <w:t>Verified GHG emission avoidance report (entire monitoring period)</w:t>
            </w:r>
          </w:p>
        </w:tc>
        <w:tc>
          <w:tcPr>
            <w:tcW w:type="dxa" w:w="2635"/>
          </w:tcPr>
          <w:p>
            <w:r>
              <w:rPr>
                <w:sz w:val="16"/>
              </w:rPr>
              <w:t>M108</w:t>
            </w:r>
          </w:p>
        </w:tc>
        <w:tc>
          <w:tcPr>
            <w:tcW w:type="dxa" w:w="2635"/>
          </w:tcPr>
          <w:p>
            <w:r>
              <w:rPr>
                <w:sz w:val="16"/>
              </w:rPr>
              <w:t>Verified report</w:t>
            </w:r>
          </w:p>
        </w:tc>
      </w:tr>
      <w:tr>
        <w:tc>
          <w:tcPr>
            <w:tcW w:type="dxa" w:w="2635"/>
          </w:tcPr>
          <w:p>
            <w:r>
              <w:rPr>
                <w:sz w:val="16"/>
              </w:rPr>
              <w:t>D7.3</w:t>
            </w:r>
          </w:p>
        </w:tc>
        <w:tc>
          <w:tcPr>
            <w:tcW w:type="dxa" w:w="2635"/>
          </w:tcPr>
          <w:p>
            <w:r>
              <w:rPr>
                <w:sz w:val="16"/>
              </w:rPr>
              <w:t>Final report on innovation and replicability claims</w:t>
            </w:r>
          </w:p>
        </w:tc>
        <w:tc>
          <w:tcPr>
            <w:tcW w:type="dxa" w:w="2635"/>
          </w:tcPr>
          <w:p>
            <w:r>
              <w:rPr>
                <w:sz w:val="16"/>
              </w:rPr>
              <w:t>M108</w:t>
            </w:r>
          </w:p>
        </w:tc>
        <w:tc>
          <w:tcPr>
            <w:tcW w:type="dxa" w:w="2635"/>
          </w:tcPr>
          <w:p>
            <w:r>
              <w:rPr>
                <w:sz w:val="16"/>
              </w:rPr>
              <w:t>Report</w:t>
            </w:r>
          </w:p>
        </w:tc>
      </w:tr>
      <w:tr>
        <w:tc>
          <w:tcPr>
            <w:tcW w:type="dxa" w:w="2635"/>
          </w:tcPr>
          <w:p>
            <w:r>
              <w:rPr>
                <w:sz w:val="16"/>
              </w:rPr>
              <w:t>D7.4</w:t>
            </w:r>
          </w:p>
        </w:tc>
        <w:tc>
          <w:tcPr>
            <w:tcW w:type="dxa" w:w="2635"/>
          </w:tcPr>
          <w:p>
            <w:r>
              <w:rPr>
                <w:sz w:val="16"/>
              </w:rPr>
              <w:t>DNSH compliance report</w:t>
            </w:r>
          </w:p>
        </w:tc>
        <w:tc>
          <w:tcPr>
            <w:tcW w:type="dxa" w:w="2635"/>
          </w:tcPr>
          <w:p>
            <w:r>
              <w:rPr>
                <w:sz w:val="16"/>
              </w:rPr>
              <w:t>M108</w:t>
            </w:r>
          </w:p>
        </w:tc>
        <w:tc>
          <w:tcPr>
            <w:tcW w:type="dxa" w:w="2635"/>
          </w:tcPr>
          <w:p>
            <w:r>
              <w:rPr>
                <w:sz w:val="16"/>
              </w:rPr>
              <w:t>Report</w:t>
            </w:r>
          </w:p>
        </w:tc>
      </w:tr>
      <w:tr>
        <w:tc>
          <w:tcPr>
            <w:tcW w:type="dxa" w:w="2635"/>
          </w:tcPr>
          <w:p>
            <w:r>
              <w:rPr>
                <w:sz w:val="16"/>
              </w:rPr>
              <w:t>D7.5</w:t>
            </w:r>
          </w:p>
        </w:tc>
        <w:tc>
          <w:tcPr>
            <w:tcW w:type="dxa" w:w="2635"/>
          </w:tcPr>
          <w:p>
            <w:r>
              <w:rPr>
                <w:sz w:val="16"/>
              </w:rPr>
              <w:t>Declaration on equipment/components EEA-originating content</w:t>
            </w:r>
          </w:p>
        </w:tc>
        <w:tc>
          <w:tcPr>
            <w:tcW w:type="dxa" w:w="2635"/>
          </w:tcPr>
          <w:p>
            <w:r>
              <w:rPr>
                <w:sz w:val="16"/>
              </w:rPr>
              <w:t>M108</w:t>
            </w:r>
          </w:p>
        </w:tc>
        <w:tc>
          <w:tcPr>
            <w:tcW w:type="dxa" w:w="2635"/>
          </w:tcPr>
          <w:p>
            <w:r>
              <w:rPr>
                <w:sz w:val="16"/>
              </w:rPr>
              <w:t>Declaration</w:t>
            </w:r>
          </w:p>
        </w:tc>
      </w:tr>
      <w:tr>
        <w:tc>
          <w:tcPr>
            <w:tcW w:type="dxa" w:w="2635"/>
          </w:tcPr>
          <w:p>
            <w:r>
              <w:rPr>
                <w:sz w:val="16"/>
              </w:rPr>
              <w:t>D7.6</w:t>
            </w:r>
          </w:p>
        </w:tc>
        <w:tc>
          <w:tcPr>
            <w:tcW w:type="dxa" w:w="2635"/>
          </w:tcPr>
          <w:p>
            <w:r>
              <w:rPr>
                <w:sz w:val="16"/>
              </w:rPr>
              <w:t>Updated knowledge sharing report and plan (final)</w:t>
            </w:r>
          </w:p>
        </w:tc>
        <w:tc>
          <w:tcPr>
            <w:tcW w:type="dxa" w:w="2635"/>
          </w:tcPr>
          <w:p>
            <w:r>
              <w:rPr>
                <w:sz w:val="16"/>
              </w:rPr>
              <w:t>M108</w:t>
            </w:r>
          </w:p>
        </w:tc>
        <w:tc>
          <w:tcPr>
            <w:tcW w:type="dxa" w:w="2635"/>
          </w:tcPr>
          <w:p>
            <w:r>
              <w:rPr>
                <w:sz w:val="16"/>
              </w:rPr>
              <w:t>Report</w:t>
            </w:r>
          </w:p>
        </w:tc>
      </w:tr>
    </w:tbl>
    <w:p>
      <w:pPr>
        <w:pStyle w:val="Heading4"/>
      </w:pPr>
      <w:r>
        <w:t>Milestone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Milestone</w:t>
            </w:r>
          </w:p>
        </w:tc>
        <w:tc>
          <w:tcPr>
            <w:tcW w:type="dxa" w:w="2635"/>
          </w:tcPr>
          <w:p>
            <w:r>
              <w:rPr>
                <w:b/>
                <w:sz w:val="16"/>
              </w:rPr>
              <w:t>Description</w:t>
            </w:r>
          </w:p>
        </w:tc>
        <w:tc>
          <w:tcPr>
            <w:tcW w:type="dxa" w:w="2635"/>
          </w:tcPr>
          <w:p>
            <w:r>
              <w:rPr>
                <w:b/>
                <w:sz w:val="16"/>
              </w:rPr>
              <w:t>Target</w:t>
            </w:r>
          </w:p>
        </w:tc>
        <w:tc>
          <w:tcPr>
            <w:tcW w:type="dxa" w:w="2635"/>
          </w:tcPr>
          <w:p>
            <w:r>
              <w:rPr>
                <w:b/>
                <w:sz w:val="16"/>
              </w:rPr>
              <w:t>Means of Verification</w:t>
            </w:r>
          </w:p>
        </w:tc>
      </w:tr>
      <w:tr>
        <w:tc>
          <w:tcPr>
            <w:tcW w:type="dxa" w:w="2635"/>
          </w:tcPr>
          <w:p>
            <w:r>
              <w:rPr>
                <w:sz w:val="16"/>
              </w:rPr>
              <w:t>**MS7: End of Year 5 of Operation (Final)**</w:t>
            </w:r>
          </w:p>
        </w:tc>
        <w:tc>
          <w:tcPr>
            <w:tcW w:type="dxa" w:w="2635"/>
          </w:tcPr>
          <w:p>
            <w:r>
              <w:rPr>
                <w:sz w:val="16"/>
              </w:rPr>
              <w:t>All monitoring complete; cumulative GHG avoidance &gt;= 75% of planned total; all final deliverables submitted</w:t>
            </w:r>
          </w:p>
        </w:tc>
        <w:tc>
          <w:tcPr>
            <w:tcW w:type="dxa" w:w="2635"/>
          </w:tcPr>
          <w:p>
            <w:r>
              <w:rPr>
                <w:sz w:val="16"/>
              </w:rPr>
              <w:t>**M108**</w:t>
            </w:r>
          </w:p>
        </w:tc>
        <w:tc>
          <w:tcPr>
            <w:tcW w:type="dxa" w:w="2635"/>
          </w:tcPr>
          <w:p>
            <w:r>
              <w:rPr>
                <w:sz w:val="16"/>
              </w:rPr>
              <w:t>Verified GHG report; innovation report; DNSH report; EEA declaration</w:t>
            </w:r>
          </w:p>
        </w:tc>
      </w:tr>
    </w:tbl>
    <w:p>
      <w:r>
        <w:rPr>
          <w:sz w:val="18"/>
        </w:rPr>
        <w:t>---</w:t>
      </w:r>
    </w:p>
    <w:p>
      <w:pPr>
        <w:pStyle w:val="Heading2"/>
      </w:pPr>
      <w:r>
        <w:t>Estimated Budget -- Resources</w:t>
      </w:r>
    </w:p>
    <w:p>
      <w:r>
        <w:rPr>
          <w:sz w:val="18"/>
        </w:rPr>
        <w:t>The project budget is structured to comply with Innovation Fund requirements:</w:t>
      </w:r>
    </w:p>
    <w:p>
      <w:pPr>
        <w:pStyle w:val="ListBullet"/>
      </w:pPr>
      <w:r>
        <w:rPr>
          <w:b/>
          <w:sz w:val="18"/>
        </w:rPr>
        <w:t>WP1 (Up to Financial Close)</w:t>
      </w:r>
      <w:r>
        <w:rPr>
          <w:sz w:val="18"/>
        </w:rPr>
        <w:t>: Budget does not exceed 40% of maximum grant amount. Activities include detailed engineering, permitting, procurement, DT architecture design, and financial close preparation.</w:t>
      </w:r>
    </w:p>
    <w:p>
      <w:pPr>
        <w:pStyle w:val="ListBullet"/>
      </w:pPr>
      <w:r>
        <w:rPr>
          <w:b/>
          <w:sz w:val="18"/>
        </w:rPr>
        <w:t>WP2 (Financial Close to Entry into Operation)</w:t>
      </w:r>
      <w:r>
        <w:rPr>
          <w:sz w:val="18"/>
        </w:rPr>
        <w:t>: Largest budget share, covering construction, equipment installation, DT development and integration, and commissioning.</w:t>
      </w:r>
    </w:p>
    <w:p>
      <w:pPr>
        <w:pStyle w:val="ListBullet"/>
      </w:pPr>
      <w:r>
        <w:rPr>
          <w:b/>
          <w:sz w:val="18"/>
        </w:rPr>
        <w:t>WP3-WP7 (Operational Years 1-5)</w:t>
      </w:r>
      <w:r>
        <w:rPr>
          <w:sz w:val="18"/>
        </w:rPr>
        <w:t>: Budget allocation of at least 10% of maximum grant amount post entry into operation, covering production operations, GHG monitoring, knowledge sharing, and final reporting.</w:t>
      </w:r>
    </w:p>
    <w:p>
      <w:r>
        <w:rPr>
          <w:b/>
          <w:color w:val="CC0000"/>
          <w:sz w:val="18"/>
        </w:rPr>
        <w:t>[TO BE COMPLETED: Specific budget figures (total CAPEX, OPEX by WP, grant request amount) to be provided by the CFO team and included in the Financial Information File (Annex 1 to Part B). The detailed budget table uses the mandatory relevant cost calculator template.]</w:t>
      </w:r>
    </w:p>
    <w:p>
      <w:r>
        <w:rPr>
          <w:sz w:val="18"/>
        </w:rPr>
        <w:t>The principal cost categories are:</w:t>
      </w:r>
    </w:p>
    <w:p>
      <w:pPr>
        <w:pStyle w:val="ListBullet"/>
      </w:pPr>
      <w:r>
        <w:rPr>
          <w:b/>
          <w:sz w:val="18"/>
        </w:rPr>
        <w:t>CAPEX</w:t>
      </w:r>
      <w:r>
        <w:rPr>
          <w:sz w:val="18"/>
        </w:rPr>
        <w:t>: Process equipment (calcination furnace, spray dryer, jet mill, classifier, packaging), building and civil works, utility systems (electrical, N2, water), DCS/SCADA and sensor network, DT software and computing infrastructure</w:t>
      </w:r>
    </w:p>
    <w:p>
      <w:pPr>
        <w:pStyle w:val="ListBullet"/>
      </w:pPr>
      <w:r>
        <w:rPr>
          <w:b/>
          <w:sz w:val="18"/>
        </w:rPr>
        <w:t>OPEX</w:t>
      </w:r>
      <w:r>
        <w:rPr>
          <w:sz w:val="18"/>
        </w:rPr>
        <w:t xml:space="preserve"> (operational years): Raw materials (iron phosphate, lithium carbonate, glucose), electricity, nitrogen, maintenance, labour, GHG monitoring, knowledge sharing activities, final reporting and verification</w:t>
      </w:r>
    </w:p>
    <w:p>
      <w:r>
        <w:rPr>
          <w:b/>
          <w:sz w:val="18"/>
        </w:rPr>
        <w:t>Reference</w:t>
      </w:r>
      <w:r>
        <w:rPr>
          <w:sz w:val="18"/>
        </w:rPr>
        <w:t>: See Financial Information File (Annex 1 to Part B) for detailed budget table and relevant cost calculation.</w:t>
      </w:r>
    </w:p>
    <w:p>
      <w:pPr>
        <w:pStyle w:val="Heading2"/>
      </w:pPr>
      <w:r>
        <w:t>Timetable</w:t>
      </w:r>
    </w:p>
    <w:p>
      <w:r>
        <w:rPr>
          <w:sz w:val="18"/>
        </w:rPr>
        <w:t>The project timetable is presented as a Gantt chart in the mandatory Timetable annex, covering the full period from grant agreement signature (M0) to end of the monitoring period (M108).</w:t>
      </w:r>
    </w:p>
    <w:p>
      <w:r>
        <w:rPr>
          <w:sz w:val="18"/>
        </w:rPr>
        <w:t>The Gantt chart shows:</w:t>
      </w:r>
    </w:p>
    <w:p>
      <w:pPr>
        <w:pStyle w:val="ListBullet"/>
      </w:pPr>
      <w:r>
        <w:rPr>
          <w:sz w:val="18"/>
        </w:rPr>
        <w:t>All work packages (WP1-WP7) with start and end dates</w:t>
      </w:r>
    </w:p>
    <w:p>
      <w:pPr>
        <w:pStyle w:val="ListBullet"/>
      </w:pPr>
      <w:r>
        <w:rPr>
          <w:sz w:val="18"/>
        </w:rPr>
        <w:t>All activities within each work package</w:t>
      </w:r>
    </w:p>
    <w:p>
      <w:pPr>
        <w:pStyle w:val="ListBullet"/>
      </w:pPr>
      <w:r>
        <w:rPr>
          <w:sz w:val="18"/>
        </w:rPr>
        <w:t>Dependencies between activities (critical path highlighted)</w:t>
      </w:r>
    </w:p>
    <w:p>
      <w:pPr>
        <w:pStyle w:val="ListBullet"/>
      </w:pPr>
      <w:r>
        <w:rPr>
          <w:sz w:val="18"/>
        </w:rPr>
        <w:t>Key milestones: Financial Close (M24), Entry into Operation (M48), End of Year 1-5</w:t>
      </w:r>
    </w:p>
    <w:p>
      <w:pPr>
        <w:pStyle w:val="ListBullet"/>
      </w:pPr>
      <w:r>
        <w:rPr>
          <w:sz w:val="18"/>
        </w:rPr>
        <w:t>Deliverable due dates</w:t>
      </w:r>
    </w:p>
    <w:p>
      <w:pPr>
        <w:pStyle w:val="ListBullet"/>
      </w:pPr>
      <w:r>
        <w:rPr>
          <w:sz w:val="18"/>
        </w:rPr>
        <w:t>Parallel tracks: DT development (M12-M42) running in parallel with engineering, procurement, and construction</w:t>
      </w:r>
    </w:p>
    <w:p>
      <w:r>
        <w:rPr>
          <w:b/>
          <w:color w:val="CC0000"/>
          <w:sz w:val="18"/>
        </w:rPr>
        <w:t>[TO BE COMPLETED: Detailed Gantt chart to be prepared using the Portal Reference Documents template or equivalent, and attached as annex to Part B.]</w:t>
      </w:r>
    </w:p>
    <w:p>
      <w:r>
        <w:br w:type="page"/>
      </w:r>
    </w:p>
    <w:p>
      <w:pPr>
        <w:spacing w:before="120" w:after="120"/>
        <w:shd w:val="clear" w:color="auto" w:fill="FFF3CD"/>
      </w:pPr>
      <w:r>
        <w:rPr>
          <w:b/>
          <w:color w:val="856304"/>
          <w:sz w:val="16"/>
        </w:rPr>
        <w:t xml:space="preserve">[REVIEWER NOTES] </w:t>
      </w:r>
      <w:r>
        <w:rPr>
          <w:color w:val="856304"/>
          <w:sz w:val="16"/>
        </w:rPr>
        <w:t>OPEN ISSUES:</w:t>
        <w:br/>
      </w:r>
      <w:r>
        <w:rPr>
          <w:color w:val="856304"/>
          <w:sz w:val="16"/>
        </w:rPr>
        <w:t xml:space="preserve">  - TO BE COMPLETED: disclose any other EU grants or applications if applicable</w:t>
        <w:br/>
      </w:r>
      <w:r>
        <w:rPr>
          <w:color w:val="856304"/>
          <w:sz w:val="16"/>
        </w:rPr>
        <w:t>WORD COUNT: 256</w:t>
        <w:br/>
      </w:r>
    </w:p>
    <w:p>
      <w:pPr>
        <w:pStyle w:val="Heading1"/>
      </w:pPr>
      <w:r>
        <w:t>Section 8: Other</w:t>
      </w:r>
    </w:p>
    <w:p>
      <w:pPr>
        <w:pStyle w:val="Heading2"/>
      </w:pPr>
      <w:r>
        <w:t>8.1 Ethics</w:t>
      </w:r>
    </w:p>
    <w:p>
      <w:r>
        <w:rPr>
          <w:sz w:val="18"/>
        </w:rPr>
        <w:t>Not applicable. The project does not involve human subjects, personal data processing beyond standard employment records, dual-use technologies, or activities raising ethical concerns.</w:t>
      </w:r>
    </w:p>
    <w:p>
      <w:pPr>
        <w:pStyle w:val="Heading2"/>
      </w:pPr>
      <w:r>
        <w:t>8.2 Security</w:t>
      </w:r>
    </w:p>
    <w:p>
      <w:r>
        <w:rPr>
          <w:sz w:val="18"/>
        </w:rPr>
        <w:t>Not applicable. The project does not involve classified information or activities with security implications.</w:t>
      </w:r>
    </w:p>
    <w:p>
      <w:r>
        <w:rPr>
          <w:sz w:val="18"/>
        </w:rPr>
        <w:t>---</w:t>
      </w:r>
    </w:p>
    <w:p>
      <w:pPr>
        <w:pStyle w:val="Heading1"/>
      </w:pPr>
      <w:r>
        <w:t>Section 9: Declarations</w:t>
      </w:r>
    </w:p>
    <w:p>
      <w:pPr>
        <w:pStyle w:val="Heading2"/>
      </w:pPr>
      <w:r>
        <w:t>Do No Significant Harm (DNSH)</w:t>
      </w:r>
    </w:p>
    <w:p>
      <w:r>
        <w:rPr>
          <w:sz w:val="18"/>
        </w:rPr>
        <w:t>The project commits to compliance with the DNSH technical screening criteria set out in Annex II to Commission Delegated Regulations (EU) 2021/2139 and 2023/2486 throughout project implementation. As detailed in Section 2.3, manufacture of batteries (Section 3.4 of the EU Taxonomy) does not require additional justification for the climate change mitigation objective. Compliance with all other environmental objectives is addressed in Section 4.1b.</w:t>
      </w:r>
    </w:p>
    <w:p>
      <w:pPr>
        <w:pStyle w:val="Heading2"/>
      </w:pPr>
      <w:r>
        <w:t>Cumulation of Funding / Double Funding</w:t>
      </w:r>
    </w:p>
    <w:p>
      <w:r>
        <w:rPr>
          <w:sz w:val="18"/>
        </w:rPr>
        <w:t xml:space="preserve">The applicants confirm that no other EU funding has been requested or received for the same activities covered by this proposal. </w:t>
      </w:r>
      <w:r>
        <w:rPr>
          <w:b/>
          <w:color w:val="CC0000"/>
          <w:sz w:val="18"/>
        </w:rPr>
        <w:t>[TO BE COMPLETED: disclose any other EU grants or applications if applicable]</w:t>
      </w:r>
    </w:p>
    <w:p>
      <w:pPr>
        <w:pStyle w:val="Heading2"/>
      </w:pPr>
      <w:r>
        <w:t>Financial Support to Third Parties</w:t>
      </w:r>
    </w:p>
    <w:p>
      <w:r>
        <w:rPr>
          <w:sz w:val="18"/>
        </w:rPr>
        <w:t>Not applicable.</w:t>
      </w:r>
    </w:p>
    <w:p>
      <w:pPr>
        <w:pStyle w:val="Heading2"/>
      </w:pPr>
      <w:r>
        <w:t>PDA Support</w:t>
      </w:r>
    </w:p>
    <w:p>
      <w:r>
        <w:rPr>
          <w:sz w:val="18"/>
        </w:rPr>
        <w:t>YES -- The applicants agree to have this proposal shared with the European Investment Bank (EIB) for Project Development Assistance assessment.</w:t>
      </w:r>
    </w:p>
    <w:p>
      <w:pPr>
        <w:pStyle w:val="Heading2"/>
      </w:pPr>
      <w:r>
        <w:t>National Funding Schemes</w:t>
      </w:r>
    </w:p>
    <w:p>
      <w:r>
        <w:rPr>
          <w:sz w:val="18"/>
        </w:rPr>
        <w:t>YES -- The applicants agree to be proposed for applicable national funding schemes and consent to sharing the proposal (including Part B, all annexes, and evaluation summary report) with the relevant national granting authority.</w:t>
      </w:r>
    </w:p>
    <w:p>
      <w:pPr>
        <w:pStyle w:val="Heading2"/>
      </w:pPr>
      <w:r>
        <w:t>Information to Member States</w:t>
      </w:r>
    </w:p>
    <w:p>
      <w:r>
        <w:rPr>
          <w:sz w:val="18"/>
        </w:rPr>
        <w:t>YES -- The applicants agree to have project participant information shared with the Member States of the project's country (Italy).</w:t>
      </w:r>
    </w:p>
    <w:p>
      <w:r>
        <w:br w:type="page"/>
      </w:r>
    </w:p>
    <w:p>
      <w:r>
        <w:rPr>
          <w:b/>
          <w:color w:val="06163A"/>
          <w:sz w:val="32"/>
        </w:rPr>
        <w:t>ANNEX — FEASIBILITY STUDY</w:t>
      </w:r>
    </w:p>
    <w:p>
      <w:r>
        <w:br w:type="page"/>
      </w:r>
    </w:p>
    <w:p>
      <w:pPr>
        <w:spacing w:before="120" w:after="120"/>
        <w:shd w:val="clear" w:color="auto" w:fill="FFF3CD"/>
      </w:pPr>
      <w:r>
        <w:rPr>
          <w:b/>
          <w:color w:val="856304"/>
          <w:sz w:val="16"/>
        </w:rPr>
        <w:t xml:space="preserve">[REVIEWER NOTES] </w:t>
      </w:r>
      <w:r>
        <w:rPr>
          <w:color w:val="856304"/>
          <w:sz w:val="16"/>
        </w:rPr>
        <w:t>CLAIMS REFERENCED: CLM-001, CLM-002, CLM-003, CLM-004, CLM-005, CLM-007, CLM-008, CLM-009, CLM-013, CLM-014, CLM-015, CLM-016, CLM-017, CLM-018, CLM-019, CLM-020, CLM-022, CLM-023, CLM-026, CLM-028, CLM-029, CLM-030</w:t>
        <w:br/>
      </w:r>
      <w:r>
        <w:rPr>
          <w:color w:val="856304"/>
          <w:sz w:val="16"/>
        </w:rPr>
        <w:t>OPEN ISSUES:</w:t>
        <w:br/>
      </w:r>
      <w:r>
        <w:rPr>
          <w:color w:val="856304"/>
          <w:sz w:val="16"/>
        </w:rPr>
        <w:t xml:space="preserve">  - TO BE COMPLETED: specific area allocation within the Eni Brindisi complex, existing structures to be repurposed vs demolished, to be confirmed by site engineering team.</w:t>
        <w:br/>
      </w:r>
      <w:r>
        <w:rPr>
          <w:color w:val="856304"/>
          <w:sz w:val="16"/>
        </w:rPr>
        <w:t xml:space="preserve">  - TO BE COMPLETED: specific current MWh/year manufacturing capacity and number of manufacturing sites to be confirmed by project team.</w:t>
        <w:br/>
      </w:r>
      <w:r>
        <w:rPr>
          <w:color w:val="856304"/>
          <w:sz w:val="16"/>
        </w:rPr>
        <w:t xml:space="preserve">  - TO BE COMPLETED: Exact coordinates to be provided by site engineering</w:t>
        <w:br/>
      </w:r>
      <w:r>
        <w:rPr>
          <w:color w:val="856304"/>
          <w:sz w:val="16"/>
        </w:rPr>
        <w:t xml:space="preserve">  - TO BE COMPLETED: technology licensor name</w:t>
        <w:br/>
      </w:r>
      <w:r>
        <w:rPr>
          <w:color w:val="856304"/>
          <w:sz w:val="16"/>
        </w:rPr>
        <w:t xml:space="preserve">  - TO BE COMPLETED: A comprehensive Chinese-language CNIPA patent search is recommended to assess the IP position of CATL, BYD, Gotion, and Dynanonic. English-language searches do not adequately cover Chinese patent filings in this domain.</w:t>
        <w:br/>
      </w:r>
      <w:r>
        <w:rPr>
          <w:color w:val="856304"/>
          <w:sz w:val="16"/>
        </w:rPr>
        <w:t xml:space="preserve">  - 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br/>
      </w:r>
      <w:r>
        <w:rPr>
          <w:color w:val="856304"/>
          <w:sz w:val="16"/>
        </w:rPr>
        <w:t xml:space="preserve">  - 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br/>
      </w:r>
      <w:r>
        <w:rPr>
          <w:color w:val="856304"/>
          <w:sz w:val="16"/>
        </w:rPr>
        <w:t xml:space="preserve">  - TO BE COMPLETED: The specific N2 supply configuration (on-site PSA vs bulk liquid vs hybrid) and cost must be confirmed by process engineering.</w:t>
        <w:br/>
      </w:r>
      <w:r>
        <w:rPr>
          <w:color w:val="856304"/>
          <w:sz w:val="16"/>
        </w:rPr>
        <w:t xml:space="preserve">  - TO BE COMPLETED: technology licensor name</w:t>
        <w:br/>
      </w:r>
      <w:r>
        <w:rPr>
          <w:color w:val="856304"/>
          <w:sz w:val="16"/>
        </w:rPr>
        <w:t xml:space="preserve">  - TO BE COMPLETED: capacity to be sized for 12.5 kton/yr per line</w:t>
        <w:br/>
      </w:r>
      <w:r>
        <w:rPr>
          <w:color w:val="856304"/>
          <w:sz w:val="16"/>
        </w:rPr>
        <w:t xml:space="preserve">  - TO BE COMPLETED: grinding chamber size to be confirmed by vendor</w:t>
        <w:br/>
      </w:r>
      <w:r>
        <w:rPr>
          <w:color w:val="856304"/>
          <w:sz w:val="16"/>
        </w:rPr>
        <w:t xml:space="preserve">  - TO BE COMPLETED: water evaporation capacity to be sized for 12.5 kton/yr per line</w:t>
        <w:br/>
      </w:r>
      <w:r>
        <w:rPr>
          <w:color w:val="856304"/>
          <w:sz w:val="16"/>
        </w:rPr>
        <w:t xml:space="preserve">  - TO BE COMPLETED: capacity to be sized per line</w:t>
        <w:br/>
      </w:r>
      <w:r>
        <w:rPr>
          <w:color w:val="856304"/>
          <w:sz w:val="16"/>
        </w:rPr>
        <w:t xml:space="preserve">  - TO BE COMPLETED: bag size to be confirmed</w:t>
        <w:br/>
      </w:r>
      <w:r>
        <w:rPr>
          <w:color w:val="856304"/>
          <w:sz w:val="16"/>
        </w:rPr>
        <w:t xml:space="preserve">  - TO BE COMPLETED: hourly capacity to be sized for continuous operation</w:t>
        <w:br/>
      </w:r>
      <w:r>
        <w:rPr>
          <w:color w:val="856304"/>
          <w:sz w:val="16"/>
        </w:rPr>
        <w:t xml:space="preserve">  - 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br/>
      </w:r>
      <w:r>
        <w:rPr>
          <w:color w:val="856304"/>
          <w:sz w:val="16"/>
        </w:rPr>
        <w:t xml:space="preserve">  - TO BE COMPLETED: specific saggar capacity and loading per kiln run to be confirmed during FEED</w:t>
        <w:br/>
      </w:r>
      <w:r>
        <w:rPr>
          <w:color w:val="856304"/>
          <w:sz w:val="16"/>
        </w:rPr>
        <w:t xml:space="preserve">  - TO BE COMPLETED: sized for 12.5 kton/yr per line; kg/h water evaporation to be confirmed by vendor</w:t>
        <w:br/>
      </w:r>
      <w:r>
        <w:rPr>
          <w:color w:val="856304"/>
          <w:sz w:val="16"/>
        </w:rPr>
        <w:t xml:space="preserve">  - TO BE COMPLETED: sized for line throughput; optional jet-milling bypass for spherical grade</w:t>
        <w:br/>
      </w:r>
      <w:r>
        <w:rPr>
          <w:color w:val="856304"/>
          <w:sz w:val="16"/>
        </w:rPr>
        <w:t xml:space="preserve">  - TO BE COMPLETED: To be established from vendor MTBF data for critical equipment (kiln, spray dryer)</w:t>
        <w:br/>
      </w:r>
      <w:r>
        <w:rPr>
          <w:color w:val="856304"/>
          <w:sz w:val="16"/>
        </w:rPr>
        <w:t xml:space="preserve">  - TO BE COMPLETED: To be calculated in GHG calculator by CFO team</w:t>
        <w:br/>
      </w:r>
      <w:r>
        <w:rPr>
          <w:color w:val="856304"/>
          <w:sz w:val="16"/>
        </w:rPr>
        <w:t xml:space="preserve">  - TO BE COMPLETED: To be calculated using 3,580 kWh_e/t + 189 m3 gas/t</w:t>
        <w:br/>
      </w:r>
      <w:r>
        <w:rPr>
          <w:color w:val="856304"/>
          <w:sz w:val="16"/>
        </w:rPr>
        <w:t xml:space="preserve">  - TO BE COMPLETED: BY CFO TEAM — CRITICAL GHG CALCULATION ITEMS:</w:t>
        <w:br/>
        <w:br/>
        <w:t>1. **PRIMARY GHG CALCULATION (scored)**: Use-phase BESS displacing fossil peakers. Classification: ES / Manufacturing of Components (Section 1.3.2). The CFO team must calculate GHG avoidance based on BESS displacing gas peaking plants (CCGT/OCGT) on the Italian grid, NOT on plant-level manufacturing emissions.</w:t>
        <w:br/>
        <w:br/>
        <w:t>2. **CScomponent determination**: The cost share of LFP CAM in the total BESS system cost is critical. Baseline estimate: 20-28% (CAM as 30-40% of cell cost, cells as 60-70% of BESS cost). HOWEVER: if the FIB-Eni JV factory qualifies as an affiliated entity within the project boundary, the CScomponent could be substantially higher. This determination could significantly increase the GHG avoidance claim. Legal/structural analysis of the JV is needed.</w:t>
        <w:br/>
        <w:br/>
        <w:t>3. **Production volume to GWh conversion**: 50,000 t/yr LFP CAM at ~3 kWh/kg cell energy density = ~150 GWh/yr of battery capacity. This is the basis for calculating use-phase GHG avoidance.</w:t>
        <w:br/>
        <w:br/>
        <w:t>4. **Reference emission factor**: Italian grid marginal emission factor for gas peakers (CCGT: ~350-400 gCO2/kWh; OCGT: ~500-600 gCO2/kWh). The choice of reference technology significantly affects the GHG avoidance.</w:t>
        <w:br/>
        <w:br/>
        <w:t>5. **Plant-level GHG (contextual only)**: The above plant-level figures are directional estimates for the innovation/replicability argument. The natural gas component (189 m3/t) must be included in Scope 1 but this is NOT the scored GHG calculation.</w:t>
        <w:br/>
      </w:r>
      <w:r>
        <w:rPr>
          <w:color w:val="856304"/>
          <w:sz w:val="16"/>
        </w:rPr>
        <w:t>SOURCES CITED: SRC-004, SRC-007, SRC-008, SRC-009, SRC-010, SRC-011, SRC-014, SRC-015, SRC-022, SRC-023, SRC-024, SRC-025, SRC-028, SRC-ED-001, SRC-ED-004, SRC-ED-005, SRC-ED-009, SRC-ED-010, SRC-ED-011, SRC-ED-016</w:t>
        <w:br/>
      </w:r>
      <w:r>
        <w:rPr>
          <w:color w:val="856304"/>
          <w:sz w:val="16"/>
        </w:rPr>
        <w:t xml:space="preserve">  ... and 5 more</w:t>
        <w:br/>
      </w:r>
      <w:r>
        <w:rPr>
          <w:color w:val="856304"/>
          <w:sz w:val="16"/>
        </w:rPr>
        <w:t>WORD COUNT: 14720</w:t>
        <w:br/>
      </w:r>
    </w:p>
    <w:p>
      <w:pPr>
        <w:pStyle w:val="Heading1"/>
      </w:pPr>
      <w:r>
        <w:t>FEASIBILITY STUDY</w:t>
      </w:r>
    </w:p>
    <w:p>
      <w:r>
        <w:rPr>
          <w:sz w:val="18"/>
        </w:rPr>
        <w:t>---</w:t>
      </w:r>
    </w:p>
    <w:p>
      <w:r>
        <w:rPr>
          <w:b/>
          <w:sz w:val="18"/>
        </w:rPr>
        <w:t>Project name</w:t>
      </w:r>
      <w:r>
        <w:rPr>
          <w:sz w:val="18"/>
        </w:rPr>
        <w:t>: FAAM-ENI Circular Energy</w:t>
      </w:r>
    </w:p>
    <w:p>
      <w:r>
        <w:rPr>
          <w:b/>
          <w:sz w:val="18"/>
        </w:rPr>
        <w:t>Acronym</w:t>
      </w:r>
      <w:r>
        <w:rPr>
          <w:sz w:val="18"/>
        </w:rPr>
        <w:t>: FACE</w:t>
      </w:r>
    </w:p>
    <w:p>
      <w:r>
        <w:rPr>
          <w:b/>
          <w:sz w:val="18"/>
        </w:rPr>
        <w:t>Call</w:t>
      </w:r>
      <w:r>
        <w:rPr>
          <w:sz w:val="18"/>
        </w:rPr>
        <w:t>: INNOVFUND-2025-NZT-CLEAN-TECH-MANUFACTURING</w:t>
      </w:r>
    </w:p>
    <w:p>
      <w:r>
        <w:rPr>
          <w:b/>
          <w:sz w:val="18"/>
        </w:rPr>
        <w:t>Version</w:t>
      </w:r>
      <w:r>
        <w:rPr>
          <w:sz w:val="18"/>
        </w:rPr>
        <w:t>: 1.0</w:t>
      </w:r>
    </w:p>
    <w:p>
      <w:r>
        <w:rPr>
          <w:b/>
          <w:sz w:val="18"/>
        </w:rPr>
        <w:t>Date</w:t>
      </w:r>
      <w:r>
        <w:rPr>
          <w:sz w:val="18"/>
        </w:rPr>
        <w:t>: April 2026</w:t>
      </w:r>
    </w:p>
    <w:p>
      <w:r>
        <w:rPr>
          <w:sz w:val="18"/>
        </w:rPr>
        <w:t>---</w:t>
      </w:r>
    </w:p>
    <w:p>
      <w:pPr>
        <w:pStyle w:val="Heading2"/>
      </w:pPr>
      <w:r>
        <w:t>1. Project Description</w:t>
      </w:r>
    </w:p>
    <w:p>
      <w:pPr>
        <w:pStyle w:val="Heading3"/>
      </w:pPr>
      <w:r>
        <w:t>1.1 Overview</w:t>
      </w:r>
    </w:p>
    <w:p>
      <w:r>
        <w:rPr>
          <w:sz w:val="18"/>
        </w:rPr>
        <w:t>The FAAM-ENI Circular Energy (FACE) project will design, construct, commission, and operate the first progressively electrified lithium iron phosphate (LiFePO4, LFP) cathode active material (CAM) manufacturing plant in Italy and Southern Europe, with a nameplate capacity of 50,000 tonnes per year across 4 modular production lines. The plant will be located at Eni's brownfield industrial site in Brindisi, Puglia, and will produce battery-grade LFP CAM powder for supply to European lithium-ion battery cell manufacturers serving the electric vehicle (EV) and grid-scale energy storage system (ESS) markets.</w:t>
      </w:r>
    </w:p>
    <w:p>
      <w:r>
        <w:rPr>
          <w:sz w:val="18"/>
        </w:rPr>
        <w:t>The project is implemented by a two-partner consortium: FIB (FAAM), the coordinator and battery manufacturer responsible for plant construction and operation, and Eni, the brownfield site owner contributing process engineering expertise, energy supply infrastructure, and the role of guaranteed internal offtaker through a co-located FIB-Eni joint venture battery cell and BESS manufacturing facility. The LFP CAM produced by this project feeds directly into the JV factory, which manufactures cells and BESS systems that Eni deploys on the Italian electricity grid — creating a vertically integrated value chain from cathode material to grid-deployed energy storage.</w:t>
      </w:r>
    </w:p>
    <w:p>
      <w:r>
        <w:rPr>
          <w:sz w:val="18"/>
        </w:rPr>
        <w:t xml:space="preserve">The FACE plant employs a solid-state synthesis route -- the dominant industrial process for LFP CAM globally </w:t>
      </w:r>
      <w:r>
        <w:rPr>
          <w:color w:val="0066CC"/>
          <w:sz w:val="16"/>
        </w:rPr>
        <w:t>[CLM-009, SRC-011]</w:t>
      </w:r>
      <w:r>
        <w:rPr>
          <w:sz w:val="18"/>
        </w:rPr>
        <w:t xml:space="preserve"> -- with two defining technical differentiators that position it beyond the current state-of-the-art:</w:t>
      </w:r>
    </w:p>
    <w:p>
      <w:pPr>
        <w:pStyle w:val="ListNumber"/>
      </w:pPr>
      <w:r>
        <w:rPr>
          <w:b/>
          <w:sz w:val="18"/>
        </w:rPr>
        <w:t>Progressive electrification of thermal processing</w:t>
      </w:r>
      <w:r>
        <w:rPr>
          <w:sz w:val="18"/>
        </w:rPr>
        <w:t xml:space="preserve">. The two energy-intensive production steps -- spray drying and calcination -- are predominantly powered by electricity, substantially replacing the natural gas-fired equipment used universally in incumbent Chinese production facilities </w:t>
      </w:r>
      <w:r>
        <w:rPr>
          <w:color w:val="0066CC"/>
          <w:sz w:val="16"/>
        </w:rPr>
        <w:t>[CLM-001, CLM-023]</w:t>
      </w:r>
      <w:r>
        <w:rPr>
          <w:sz w:val="18"/>
        </w:rPr>
        <w:t xml:space="preserve">. Electric roller hearth kilns achieve 95% thermal efficiency versus 25-60% for gas-fired systems </w:t>
      </w:r>
      <w:r>
        <w:rPr>
          <w:color w:val="0066CC"/>
          <w:sz w:val="16"/>
        </w:rPr>
        <w:t>[CLM-023, SRC-ED-009]</w:t>
      </w:r>
      <w:r>
        <w:rPr>
          <w:sz w:val="18"/>
        </w:rPr>
        <w:t xml:space="preserve">, and heat pump-assisted spray drying delivers COP 3.0-3.6 </w:t>
      </w:r>
      <w:r>
        <w:rPr>
          <w:color w:val="0066CC"/>
          <w:sz w:val="16"/>
        </w:rPr>
        <w:t>[SRC-ED-004, SRC-ED-005]</w:t>
      </w:r>
      <w:r>
        <w:rPr>
          <w:sz w:val="18"/>
        </w:rPr>
        <w:t xml:space="preserve">. The initial plant configuration retains limited natural gas use (189 m3/t LFP CAM) for auxiliary heating where full electrification is not yet technically or economically feasible at the 50 kton/yr scale. The plant architecture is designed for progressive gas elimination. This progressively electrified design dramatically reduces Scope 1 combustion emissions versus the gas-fired benchmark and positions the plant to capitalise on Italy's grid decarbonisation trajectory, delivering 55-70% GHG avoidance by 2030 and exceeding 80% by 2035 as electrification deepens </w:t>
      </w:r>
      <w:r>
        <w:rPr>
          <w:color w:val="0066CC"/>
          <w:sz w:val="16"/>
        </w:rPr>
        <w:t>[CLM-026, CLM-030]</w:t>
      </w:r>
      <w:r>
        <w:rPr>
          <w:sz w:val="18"/>
        </w:rPr>
        <w:t>.</w:t>
      </w:r>
    </w:p>
    <w:p>
      <w:pPr>
        <w:pStyle w:val="ListNumber"/>
      </w:pPr>
      <w:r>
        <w:rPr>
          <w:b/>
          <w:sz w:val="18"/>
        </w:rPr>
        <w:t>ISO 23247-compliant digital twin (DT)</w:t>
      </w:r>
      <w:r>
        <w:rPr>
          <w:sz w:val="18"/>
        </w:rPr>
        <w:t xml:space="preserve">. An integrated, real-time digital twin framework governs the entire production chain from raw material dosing through calcination to final packaging. The DT implements the ISO 23247 four-layer architecture </w:t>
      </w:r>
      <w:r>
        <w:rPr>
          <w:color w:val="0066CC"/>
          <w:sz w:val="16"/>
        </w:rPr>
        <w:t>[CLM-008, SRC-007]</w:t>
      </w:r>
      <w:r>
        <w:rPr>
          <w:sz w:val="18"/>
        </w:rPr>
        <w:t xml:space="preserve"> with multi-scale physics-based models spanning atomistic (DFT) to plant scale (flowsheet simulation) </w:t>
      </w:r>
      <w:r>
        <w:rPr>
          <w:color w:val="0066CC"/>
          <w:sz w:val="16"/>
        </w:rPr>
        <w:t>[CLM-018]</w:t>
      </w:r>
      <w:r>
        <w:rPr>
          <w:sz w:val="18"/>
        </w:rPr>
        <w:t xml:space="preserve">, Process Analytical Technology (PAT) sensor networks for in-line and at-line quality monitoring </w:t>
      </w:r>
      <w:r>
        <w:rPr>
          <w:color w:val="0066CC"/>
          <w:sz w:val="16"/>
        </w:rPr>
        <w:t>[CLM-019]</w:t>
      </w:r>
      <w:r>
        <w:rPr>
          <w:sz w:val="18"/>
        </w:rPr>
        <w:t xml:space="preserve">, and model-predictive control (MPC) for closed-loop process optimisation. Cross-industry benchmarks project 10-50% scrap reduction, 12-15% energy savings, and &gt;40% batch-to-batch variability reduction </w:t>
      </w:r>
      <w:r>
        <w:rPr>
          <w:color w:val="0066CC"/>
          <w:sz w:val="16"/>
        </w:rPr>
        <w:t>[CLM-007, CLM-016, CLM-017]</w:t>
      </w:r>
      <w:r>
        <w:rPr>
          <w:sz w:val="18"/>
        </w:rPr>
        <w:t>.</w:t>
      </w:r>
    </w:p>
    <w:p>
      <w:pPr>
        <w:pStyle w:val="ListNumber"/>
      </w:pPr>
      <w:r>
        <w:rPr>
          <w:b/>
          <w:sz w:val="18"/>
        </w:rPr>
        <w:t>EU strategic autonomy</w:t>
      </w:r>
      <w:r>
        <w:rPr>
          <w:sz w:val="18"/>
        </w:rPr>
        <w:t xml:space="preserve">. China controls over 99% of global LFP CAM production capacity </w:t>
      </w:r>
      <w:r>
        <w:rPr>
          <w:color w:val="0066CC"/>
          <w:sz w:val="16"/>
        </w:rPr>
        <w:t>[CLM-001]</w:t>
      </w:r>
      <w:r>
        <w:rPr>
          <w:sz w:val="18"/>
        </w:rPr>
        <w:t xml:space="preserve"> and has imposed escalating export controls on cathode technology (July 2025) and production equipment (October 2025) </w:t>
      </w:r>
      <w:r>
        <w:rPr>
          <w:color w:val="0066CC"/>
          <w:sz w:val="16"/>
        </w:rPr>
        <w:t>[CLM-002]</w:t>
      </w:r>
      <w:r>
        <w:rPr>
          <w:sz w:val="18"/>
        </w:rPr>
        <w:t xml:space="preserve">. No EU-based company currently produces LFP CAM </w:t>
      </w:r>
      <w:r>
        <w:rPr>
          <w:color w:val="0066CC"/>
          <w:sz w:val="16"/>
        </w:rPr>
        <w:t>[CLM-003]</w:t>
      </w:r>
      <w:r>
        <w:rPr>
          <w:sz w:val="18"/>
        </w:rPr>
        <w:t xml:space="preserve">. The FACE plant directly addresses this critical supply chain vulnerability, complementing FREYR Battery's funded but not-yet-operational project in Finland </w:t>
      </w:r>
      <w:r>
        <w:rPr>
          <w:color w:val="0066CC"/>
          <w:sz w:val="16"/>
        </w:rPr>
        <w:t>[CLM-004, CLM-029]</w:t>
      </w:r>
      <w:r>
        <w:rPr>
          <w:sz w:val="18"/>
        </w:rPr>
        <w:t>.</w:t>
      </w:r>
    </w:p>
    <w:p>
      <w:pPr>
        <w:pStyle w:val="Heading3"/>
      </w:pPr>
      <w:r>
        <w:t>1.2 Technology and Product Description</w:t>
      </w:r>
    </w:p>
    <w:p>
      <w:r>
        <w:rPr>
          <w:sz w:val="18"/>
        </w:rPr>
        <w:t xml:space="preserve">The plant produces battery-grade LiFePO4/C composite powder -- a cathode active material with an olivine crystal structure (space group Pnma) that delivers high safety, long cycle life (&gt;2,000 cycles), and competitive cost for EV standard-range and stationary ESS applications </w:t>
      </w:r>
      <w:r>
        <w:rPr>
          <w:color w:val="0066CC"/>
          <w:sz w:val="16"/>
        </w:rPr>
        <w:t>[SRC-011, SRC-015]</w:t>
      </w:r>
      <w:r>
        <w:rPr>
          <w:sz w:val="18"/>
        </w:rPr>
        <w:t>.</w:t>
      </w:r>
    </w:p>
    <w:p>
      <w:r>
        <w:rPr>
          <w:sz w:val="18"/>
        </w:rPr>
        <w:t xml:space="preserve">The product meets the following Critical Quality Attribute (CQA) specifications, established through a Quality-by-Design (QbD) framework adapted from pharmaceutical manufacturing (ICH Q8) </w:t>
      </w:r>
      <w:r>
        <w:rPr>
          <w:color w:val="0066CC"/>
          <w:sz w:val="16"/>
        </w:rPr>
        <w:t>[CLM-009, SRC-DT-REPORT]</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CQA</w:t>
            </w:r>
          </w:p>
        </w:tc>
        <w:tc>
          <w:tcPr>
            <w:tcW w:type="dxa" w:w="2635"/>
          </w:tcPr>
          <w:p>
            <w:r>
              <w:rPr>
                <w:b/>
                <w:sz w:val="16"/>
              </w:rPr>
              <w:t>Target</w:t>
            </w:r>
          </w:p>
        </w:tc>
        <w:tc>
          <w:tcPr>
            <w:tcW w:type="dxa" w:w="2635"/>
          </w:tcPr>
          <w:p>
            <w:r>
              <w:rPr>
                <w:b/>
                <w:sz w:val="16"/>
              </w:rPr>
              <w:t>Specification</w:t>
            </w:r>
          </w:p>
        </w:tc>
        <w:tc>
          <w:tcPr>
            <w:tcW w:type="dxa" w:w="2635"/>
          </w:tcPr>
          <w:p>
            <w:r>
              <w:rPr>
                <w:b/>
                <w:sz w:val="16"/>
              </w:rPr>
              <w:t>Test Method</w:t>
            </w:r>
          </w:p>
        </w:tc>
      </w:tr>
      <w:tr>
        <w:tc>
          <w:tcPr>
            <w:tcW w:type="dxa" w:w="2635"/>
          </w:tcPr>
          <w:p>
            <w:r>
              <w:rPr>
                <w:sz w:val="16"/>
              </w:rPr>
              <w:t>D10 particle size</w:t>
            </w:r>
          </w:p>
        </w:tc>
        <w:tc>
          <w:tcPr>
            <w:tcW w:type="dxa" w:w="2635"/>
          </w:tcPr>
          <w:p>
            <w:r>
              <w:rPr>
                <w:sz w:val="16"/>
              </w:rPr>
              <w:t>0.3-1.0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D50 particle size</w:t>
            </w:r>
          </w:p>
        </w:tc>
        <w:tc>
          <w:tcPr>
            <w:tcW w:type="dxa" w:w="2635"/>
          </w:tcPr>
          <w:p>
            <w:r>
              <w:rPr>
                <w:sz w:val="16"/>
              </w:rPr>
              <w:t>0.7-2.5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D90 particle size</w:t>
            </w:r>
          </w:p>
        </w:tc>
        <w:tc>
          <w:tcPr>
            <w:tcW w:type="dxa" w:w="2635"/>
          </w:tcPr>
          <w:p>
            <w:r>
              <w:rPr>
                <w:sz w:val="16"/>
              </w:rPr>
              <w:t>2.5-12.0 um</w:t>
            </w:r>
          </w:p>
        </w:tc>
        <w:tc>
          <w:tcPr>
            <w:tcW w:type="dxa" w:w="2635"/>
          </w:tcPr>
          <w:p>
            <w:r>
              <w:rPr>
                <w:sz w:val="16"/>
              </w:rPr>
              <w:t>Range</w:t>
            </w:r>
          </w:p>
        </w:tc>
        <w:tc>
          <w:tcPr>
            <w:tcW w:type="dxa" w:w="2635"/>
          </w:tcPr>
          <w:p>
            <w:r>
              <w:rPr>
                <w:sz w:val="16"/>
              </w:rPr>
              <w:t>Laser diffraction (ISO 13320)</w:t>
            </w:r>
          </w:p>
        </w:tc>
      </w:tr>
      <w:tr>
        <w:tc>
          <w:tcPr>
            <w:tcW w:type="dxa" w:w="2635"/>
          </w:tcPr>
          <w:p>
            <w:r>
              <w:rPr>
                <w:sz w:val="16"/>
              </w:rPr>
              <w:t>Specific surface area (SSA)</w:t>
            </w:r>
          </w:p>
        </w:tc>
        <w:tc>
          <w:tcPr>
            <w:tcW w:type="dxa" w:w="2635"/>
          </w:tcPr>
          <w:p>
            <w:r>
              <w:rPr>
                <w:sz w:val="16"/>
              </w:rPr>
              <w:t>10-14 m2/g</w:t>
            </w:r>
          </w:p>
        </w:tc>
        <w:tc>
          <w:tcPr>
            <w:tcW w:type="dxa" w:w="2635"/>
          </w:tcPr>
          <w:p>
            <w:r>
              <w:rPr>
                <w:sz w:val="16"/>
              </w:rPr>
              <w:t>Range</w:t>
            </w:r>
          </w:p>
        </w:tc>
        <w:tc>
          <w:tcPr>
            <w:tcW w:type="dxa" w:w="2635"/>
          </w:tcPr>
          <w:p>
            <w:r>
              <w:rPr>
                <w:sz w:val="16"/>
              </w:rPr>
              <w:t>N2 adsorption/BET (ISO 9277)</w:t>
            </w:r>
          </w:p>
        </w:tc>
      </w:tr>
      <w:tr>
        <w:tc>
          <w:tcPr>
            <w:tcW w:type="dxa" w:w="2635"/>
          </w:tcPr>
          <w:p>
            <w:r>
              <w:rPr>
                <w:sz w:val="16"/>
              </w:rPr>
              <w:t>Tap density</w:t>
            </w:r>
          </w:p>
        </w:tc>
        <w:tc>
          <w:tcPr>
            <w:tcW w:type="dxa" w:w="2635"/>
          </w:tcPr>
          <w:p>
            <w:r>
              <w:rPr>
                <w:sz w:val="16"/>
              </w:rPr>
              <w:t>1.0-1.4 g/cm3</w:t>
            </w:r>
          </w:p>
        </w:tc>
        <w:tc>
          <w:tcPr>
            <w:tcW w:type="dxa" w:w="2635"/>
          </w:tcPr>
          <w:p>
            <w:r>
              <w:rPr>
                <w:sz w:val="16"/>
              </w:rPr>
              <w:t>&gt;1.0 g/cm3</w:t>
            </w:r>
          </w:p>
        </w:tc>
        <w:tc>
          <w:tcPr>
            <w:tcW w:type="dxa" w:w="2635"/>
          </w:tcPr>
          <w:p>
            <w:r>
              <w:rPr>
                <w:sz w:val="16"/>
              </w:rPr>
              <w:t>ASTM B527</w:t>
            </w:r>
          </w:p>
        </w:tc>
      </w:tr>
      <w:tr>
        <w:tc>
          <w:tcPr>
            <w:tcW w:type="dxa" w:w="2635"/>
          </w:tcPr>
          <w:p>
            <w:r>
              <w:rPr>
                <w:sz w:val="16"/>
              </w:rPr>
              <w:t>Pellet density</w:t>
            </w:r>
          </w:p>
        </w:tc>
        <w:tc>
          <w:tcPr>
            <w:tcW w:type="dxa" w:w="2635"/>
          </w:tcPr>
          <w:p>
            <w:r>
              <w:rPr>
                <w:sz w:val="16"/>
              </w:rPr>
              <w:t>&gt;=2.40 g/cm3</w:t>
            </w:r>
          </w:p>
        </w:tc>
        <w:tc>
          <w:tcPr>
            <w:tcW w:type="dxa" w:w="2635"/>
          </w:tcPr>
          <w:p>
            <w:r>
              <w:rPr>
                <w:sz w:val="16"/>
              </w:rPr>
              <w:t>Min 2.40 g/cm3</w:t>
            </w:r>
          </w:p>
        </w:tc>
        <w:tc>
          <w:tcPr>
            <w:tcW w:type="dxa" w:w="2635"/>
          </w:tcPr>
          <w:p>
            <w:r>
              <w:rPr>
                <w:sz w:val="16"/>
              </w:rPr>
              <w:t>Compaction measurement</w:t>
            </w:r>
          </w:p>
        </w:tc>
      </w:tr>
      <w:tr>
        <w:tc>
          <w:tcPr>
            <w:tcW w:type="dxa" w:w="2635"/>
          </w:tcPr>
          <w:p>
            <w:r>
              <w:rPr>
                <w:sz w:val="16"/>
              </w:rPr>
              <w:t>Electrode press density</w:t>
            </w:r>
          </w:p>
        </w:tc>
        <w:tc>
          <w:tcPr>
            <w:tcW w:type="dxa" w:w="2635"/>
          </w:tcPr>
          <w:p>
            <w:r>
              <w:rPr>
                <w:sz w:val="16"/>
              </w:rPr>
              <w:t>&gt;=2.30 g/cm3</w:t>
            </w:r>
          </w:p>
        </w:tc>
        <w:tc>
          <w:tcPr>
            <w:tcW w:type="dxa" w:w="2635"/>
          </w:tcPr>
          <w:p>
            <w:r>
              <w:rPr>
                <w:sz w:val="16"/>
              </w:rPr>
              <w:t>Min 2.30 g/cm3</w:t>
            </w:r>
          </w:p>
        </w:tc>
        <w:tc>
          <w:tcPr>
            <w:tcW w:type="dxa" w:w="2635"/>
          </w:tcPr>
          <w:p>
            <w:r>
              <w:rPr>
                <w:sz w:val="16"/>
              </w:rPr>
              <w:t>Press density measurement</w:t>
            </w:r>
          </w:p>
        </w:tc>
      </w:tr>
      <w:tr>
        <w:tc>
          <w:tcPr>
            <w:tcW w:type="dxa" w:w="2635"/>
          </w:tcPr>
          <w:p>
            <w:r>
              <w:rPr>
                <w:sz w:val="16"/>
              </w:rPr>
              <w:t>Phase purity (olivine)</w:t>
            </w:r>
          </w:p>
        </w:tc>
        <w:tc>
          <w:tcPr>
            <w:tcW w:type="dxa" w:w="2635"/>
          </w:tcPr>
          <w:p>
            <w:r>
              <w:rPr>
                <w:sz w:val="16"/>
              </w:rPr>
              <w:t>&gt;98%</w:t>
            </w:r>
          </w:p>
        </w:tc>
        <w:tc>
          <w:tcPr>
            <w:tcW w:type="dxa" w:w="2635"/>
          </w:tcPr>
          <w:p>
            <w:r>
              <w:rPr>
                <w:sz w:val="16"/>
              </w:rPr>
              <w:t>Min 97%</w:t>
            </w:r>
          </w:p>
        </w:tc>
        <w:tc>
          <w:tcPr>
            <w:tcW w:type="dxa" w:w="2635"/>
          </w:tcPr>
          <w:p>
            <w:r>
              <w:rPr>
                <w:sz w:val="16"/>
              </w:rPr>
              <w:t>XRD Rietveld refinement</w:t>
            </w:r>
          </w:p>
        </w:tc>
      </w:tr>
      <w:tr>
        <w:tc>
          <w:tcPr>
            <w:tcW w:type="dxa" w:w="2635"/>
          </w:tcPr>
          <w:p>
            <w:r>
              <w:rPr>
                <w:sz w:val="16"/>
              </w:rPr>
              <w:t>Carbon content</w:t>
            </w:r>
          </w:p>
        </w:tc>
        <w:tc>
          <w:tcPr>
            <w:tcW w:type="dxa" w:w="2635"/>
          </w:tcPr>
          <w:p>
            <w:r>
              <w:rPr>
                <w:sz w:val="16"/>
              </w:rPr>
              <w:t>1.0-1.8 wt%</w:t>
            </w:r>
          </w:p>
        </w:tc>
        <w:tc>
          <w:tcPr>
            <w:tcW w:type="dxa" w:w="2635"/>
          </w:tcPr>
          <w:p>
            <w:r>
              <w:rPr>
                <w:sz w:val="16"/>
              </w:rPr>
              <w:t>Range</w:t>
            </w:r>
          </w:p>
        </w:tc>
        <w:tc>
          <w:tcPr>
            <w:tcW w:type="dxa" w:w="2635"/>
          </w:tcPr>
          <w:p>
            <w:r>
              <w:rPr>
                <w:sz w:val="16"/>
              </w:rPr>
              <w:t>TGA / combustion analysis</w:t>
            </w:r>
          </w:p>
        </w:tc>
      </w:tr>
      <w:tr>
        <w:tc>
          <w:tcPr>
            <w:tcW w:type="dxa" w:w="2635"/>
          </w:tcPr>
          <w:p>
            <w:r>
              <w:rPr>
                <w:sz w:val="16"/>
              </w:rPr>
              <w:t>Fe2+/Fe3+ ratio</w:t>
            </w:r>
          </w:p>
        </w:tc>
        <w:tc>
          <w:tcPr>
            <w:tcW w:type="dxa" w:w="2635"/>
          </w:tcPr>
          <w:p>
            <w:r>
              <w:rPr>
                <w:sz w:val="16"/>
              </w:rPr>
              <w:t>&gt;0.95</w:t>
            </w:r>
          </w:p>
        </w:tc>
        <w:tc>
          <w:tcPr>
            <w:tcW w:type="dxa" w:w="2635"/>
          </w:tcPr>
          <w:p>
            <w:r>
              <w:rPr>
                <w:sz w:val="16"/>
              </w:rPr>
              <w:t>Min 0.90</w:t>
            </w:r>
          </w:p>
        </w:tc>
        <w:tc>
          <w:tcPr>
            <w:tcW w:type="dxa" w:w="2635"/>
          </w:tcPr>
          <w:p>
            <w:r>
              <w:rPr>
                <w:sz w:val="16"/>
              </w:rPr>
              <w:t>Mossbauer spectroscopy / XPS</w:t>
            </w:r>
          </w:p>
        </w:tc>
      </w:tr>
      <w:tr>
        <w:tc>
          <w:tcPr>
            <w:tcW w:type="dxa" w:w="2635"/>
          </w:tcPr>
          <w:p>
            <w:r>
              <w:rPr>
                <w:sz w:val="16"/>
              </w:rPr>
              <w:t>Discharge capacity (0.1C)</w:t>
            </w:r>
          </w:p>
        </w:tc>
        <w:tc>
          <w:tcPr>
            <w:tcW w:type="dxa" w:w="2635"/>
          </w:tcPr>
          <w:p>
            <w:r>
              <w:rPr>
                <w:sz w:val="16"/>
              </w:rPr>
              <w:t>&gt;=155 mAh/g</w:t>
            </w:r>
          </w:p>
        </w:tc>
        <w:tc>
          <w:tcPr>
            <w:tcW w:type="dxa" w:w="2635"/>
          </w:tcPr>
          <w:p>
            <w:r>
              <w:rPr>
                <w:sz w:val="16"/>
              </w:rPr>
              <w:t>Min 150 mAh/g</w:t>
            </w:r>
          </w:p>
        </w:tc>
        <w:tc>
          <w:tcPr>
            <w:tcW w:type="dxa" w:w="2635"/>
          </w:tcPr>
          <w:p>
            <w:r>
              <w:rPr>
                <w:sz w:val="16"/>
              </w:rPr>
              <w:t>Half-cell electrochemical test</w:t>
            </w:r>
          </w:p>
        </w:tc>
      </w:tr>
      <w:tr>
        <w:tc>
          <w:tcPr>
            <w:tcW w:type="dxa" w:w="2635"/>
          </w:tcPr>
          <w:p>
            <w:r>
              <w:rPr>
                <w:sz w:val="16"/>
              </w:rPr>
              <w:t>Discharge capacity (1C)</w:t>
            </w:r>
          </w:p>
        </w:tc>
        <w:tc>
          <w:tcPr>
            <w:tcW w:type="dxa" w:w="2635"/>
          </w:tcPr>
          <w:p>
            <w:r>
              <w:rPr>
                <w:sz w:val="16"/>
              </w:rPr>
              <w:t>&gt;=140 mAh/g</w:t>
            </w:r>
          </w:p>
        </w:tc>
        <w:tc>
          <w:tcPr>
            <w:tcW w:type="dxa" w:w="2635"/>
          </w:tcPr>
          <w:p>
            <w:r>
              <w:rPr>
                <w:sz w:val="16"/>
              </w:rPr>
              <w:t>Min 135 mAh/g</w:t>
            </w:r>
          </w:p>
        </w:tc>
        <w:tc>
          <w:tcPr>
            <w:tcW w:type="dxa" w:w="2635"/>
          </w:tcPr>
          <w:p>
            <w:r>
              <w:rPr>
                <w:sz w:val="16"/>
              </w:rPr>
              <w:t>Half-cell electrochemical test</w:t>
            </w:r>
          </w:p>
        </w:tc>
      </w:tr>
      <w:tr>
        <w:tc>
          <w:tcPr>
            <w:tcW w:type="dxa" w:w="2635"/>
          </w:tcPr>
          <w:p>
            <w:r>
              <w:rPr>
                <w:sz w:val="16"/>
              </w:rPr>
              <w:t>Initial Coulombic Efficiency</w:t>
            </w:r>
          </w:p>
        </w:tc>
        <w:tc>
          <w:tcPr>
            <w:tcW w:type="dxa" w:w="2635"/>
          </w:tcPr>
          <w:p>
            <w:r>
              <w:rPr>
                <w:sz w:val="16"/>
              </w:rPr>
              <w:t>~98%</w:t>
            </w:r>
          </w:p>
        </w:tc>
        <w:tc>
          <w:tcPr>
            <w:tcW w:type="dxa" w:w="2635"/>
          </w:tcPr>
          <w:p>
            <w:r>
              <w:rPr>
                <w:sz w:val="16"/>
              </w:rPr>
              <w:t>Min 96%</w:t>
            </w:r>
          </w:p>
        </w:tc>
        <w:tc>
          <w:tcPr>
            <w:tcW w:type="dxa" w:w="2635"/>
          </w:tcPr>
          <w:p>
            <w:r>
              <w:rPr>
                <w:sz w:val="16"/>
              </w:rPr>
              <w:t>Half-cell electrochemical test</w:t>
            </w:r>
          </w:p>
        </w:tc>
      </w:tr>
      <w:tr>
        <w:tc>
          <w:tcPr>
            <w:tcW w:type="dxa" w:w="2635"/>
          </w:tcPr>
          <w:p>
            <w:r>
              <w:rPr>
                <w:sz w:val="16"/>
              </w:rPr>
              <w:t>Moisture</w:t>
            </w:r>
          </w:p>
        </w:tc>
        <w:tc>
          <w:tcPr>
            <w:tcW w:type="dxa" w:w="2635"/>
          </w:tcPr>
          <w:p>
            <w:r>
              <w:rPr>
                <w:sz w:val="16"/>
              </w:rPr>
              <w:t>&lt;750 ppm</w:t>
            </w:r>
          </w:p>
        </w:tc>
        <w:tc>
          <w:tcPr>
            <w:tcW w:type="dxa" w:w="2635"/>
          </w:tcPr>
          <w:p>
            <w:r>
              <w:rPr>
                <w:sz w:val="16"/>
              </w:rPr>
              <w:t>Max 750 ppm</w:t>
            </w:r>
          </w:p>
        </w:tc>
        <w:tc>
          <w:tcPr>
            <w:tcW w:type="dxa" w:w="2635"/>
          </w:tcPr>
          <w:p>
            <w:r>
              <w:rPr>
                <w:sz w:val="16"/>
              </w:rPr>
              <w:t>Karl Fischer titration</w:t>
            </w:r>
          </w:p>
        </w:tc>
      </w:tr>
      <w:tr>
        <w:tc>
          <w:tcPr>
            <w:tcW w:type="dxa" w:w="2635"/>
          </w:tcPr>
          <w:p>
            <w:r>
              <w:rPr>
                <w:sz w:val="16"/>
              </w:rPr>
              <w:t>Magnetic impurities</w:t>
            </w:r>
          </w:p>
        </w:tc>
        <w:tc>
          <w:tcPr>
            <w:tcW w:type="dxa" w:w="2635"/>
          </w:tcPr>
          <w:p>
            <w:r>
              <w:rPr>
                <w:sz w:val="16"/>
              </w:rPr>
              <w:t>&lt;=1000 ppb</w:t>
            </w:r>
          </w:p>
        </w:tc>
        <w:tc>
          <w:tcPr>
            <w:tcW w:type="dxa" w:w="2635"/>
          </w:tcPr>
          <w:p>
            <w:r>
              <w:rPr>
                <w:sz w:val="16"/>
              </w:rPr>
              <w:t>Max 1000 ppb</w:t>
            </w:r>
          </w:p>
        </w:tc>
        <w:tc>
          <w:tcPr>
            <w:tcW w:type="dxa" w:w="2635"/>
          </w:tcPr>
          <w:p>
            <w:r>
              <w:rPr>
                <w:sz w:val="16"/>
              </w:rPr>
              <w:t>Magnetic susceptibility</w:t>
            </w:r>
          </w:p>
        </w:tc>
      </w:tr>
    </w:tbl>
    <w:p>
      <w:r>
        <w:rPr>
          <w:sz w:val="18"/>
        </w:rPr>
        <w:t>These specifications target Tier-1 European cell manufacturers (e.g., PowerCo, Verkor, Northvolt, ACC) who require consistent, battery-grade LFP CAM with full traceability -- a requirement that will be mandated by the EU Battery Regulation (2023/1542) Battery Passport from 2027.</w:t>
      </w:r>
    </w:p>
    <w:p>
      <w:pPr>
        <w:pStyle w:val="Heading3"/>
      </w:pPr>
      <w:r>
        <w:t>1.3 Innovation Pillars</w:t>
      </w:r>
    </w:p>
    <w:p>
      <w:r>
        <w:rPr>
          <w:sz w:val="18"/>
        </w:rPr>
        <w:t>The project rests on three mutually reinforcing innovation pillars:</w:t>
      </w:r>
    </w:p>
    <w:p>
      <w:r>
        <w:rPr>
          <w:b/>
          <w:sz w:val="18"/>
        </w:rPr>
        <w:t>Pillar 1 -- Electrification of process heat</w:t>
      </w:r>
      <w:r>
        <w:rPr>
          <w:sz w:val="18"/>
        </w:rPr>
        <w:t xml:space="preserve">: Replacing natural gas with electricity for spray drying and calcination eliminates Scope 1 combustion emissions, provides superior temperature control precision (+/-1 C vs +/-5-10 C for gas burners) </w:t>
      </w:r>
      <w:r>
        <w:rPr>
          <w:color w:val="0066CC"/>
          <w:sz w:val="16"/>
        </w:rPr>
        <w:t>[SRC-ED-018]</w:t>
      </w:r>
      <w:r>
        <w:rPr>
          <w:sz w:val="18"/>
        </w:rPr>
        <w:t xml:space="preserve">, and locks in a future-proof infrastructure design that avoids stranded fossil fuel assets </w:t>
      </w:r>
      <w:r>
        <w:rPr>
          <w:color w:val="0066CC"/>
          <w:sz w:val="16"/>
        </w:rPr>
        <w:t>[CLM-030]</w:t>
      </w:r>
      <w:r>
        <w:rPr>
          <w:sz w:val="18"/>
        </w:rPr>
        <w:t>.</w:t>
      </w:r>
    </w:p>
    <w:p>
      <w:r>
        <w:rPr>
          <w:b/>
          <w:sz w:val="18"/>
        </w:rPr>
        <w:t>Pillar 2 -- Integrated digital twin</w:t>
      </w:r>
      <w:r>
        <w:rPr>
          <w:sz w:val="18"/>
        </w:rPr>
        <w:t xml:space="preserve">: The first digital twin for upstream CAM powder synthesis fills a documented gap between electrode-level DTs (ARTISTIC platform </w:t>
      </w:r>
      <w:r>
        <w:rPr>
          <w:color w:val="0066CC"/>
          <w:sz w:val="16"/>
        </w:rPr>
        <w:t>[SRC-004]</w:t>
      </w:r>
      <w:r>
        <w:rPr>
          <w:sz w:val="18"/>
        </w:rPr>
        <w:t xml:space="preserve">) and cell-level DTs (Fraunhofer DiBaZ) </w:t>
      </w:r>
      <w:r>
        <w:rPr>
          <w:color w:val="0066CC"/>
          <w:sz w:val="16"/>
        </w:rPr>
        <w:t>[CLM-005]</w:t>
      </w:r>
      <w:r>
        <w:rPr>
          <w:sz w:val="18"/>
        </w:rPr>
        <w:t>. The DT enables real-time quality prediction, closed-loop MPC, predictive maintenance, and accelerated process optimisation during ramp-up.</w:t>
      </w:r>
    </w:p>
    <w:p>
      <w:r>
        <w:rPr>
          <w:b/>
          <w:sz w:val="18"/>
        </w:rPr>
        <w:t>Pillar 3 -- EU strategic autonomy</w:t>
      </w:r>
      <w:r>
        <w:rPr>
          <w:sz w:val="18"/>
        </w:rPr>
        <w:t xml:space="preserve">: The plant establishes domestic LFP CAM supply for European cell manufacturers, reducing single-source dependency on China </w:t>
      </w:r>
      <w:r>
        <w:rPr>
          <w:color w:val="0066CC"/>
          <w:sz w:val="16"/>
        </w:rPr>
        <w:t>[CLM-001]</w:t>
      </w:r>
      <w:r>
        <w:rPr>
          <w:sz w:val="18"/>
        </w:rPr>
        <w:t xml:space="preserve"> and contributing to NZIA manufacturing benchmarks.</w:t>
      </w:r>
    </w:p>
    <w:p>
      <w:pPr>
        <w:pStyle w:val="Heading3"/>
      </w:pPr>
      <w:r>
        <w:t>1.4 Block Flow Diagram</w:t>
      </w:r>
    </w:p>
    <w:p>
      <w:r>
        <w:rPr>
          <w:sz w:val="18"/>
        </w:rPr>
        <w:t xml:space="preserve">The production process comprises seven sequential unit operations. </w:t>
      </w:r>
      <w:r>
        <w:rPr>
          <w:i/>
          <w:sz w:val="18"/>
        </w:rPr>
        <w:t>See Figure 1 in the Word document for the graphical block flow diagram.</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Step</w:t>
            </w:r>
          </w:p>
        </w:tc>
        <w:tc>
          <w:tcPr>
            <w:tcW w:type="dxa" w:w="2635"/>
          </w:tcPr>
          <w:p>
            <w:r>
              <w:rPr>
                <w:b/>
                <w:sz w:val="16"/>
              </w:rPr>
              <w:t>Unit Operation</w:t>
            </w:r>
          </w:p>
        </w:tc>
        <w:tc>
          <w:tcPr>
            <w:tcW w:type="dxa" w:w="2635"/>
          </w:tcPr>
          <w:p>
            <w:r>
              <w:rPr>
                <w:b/>
                <w:sz w:val="16"/>
              </w:rPr>
              <w:t>Key Equipment</w:t>
            </w:r>
          </w:p>
        </w:tc>
        <w:tc>
          <w:tcPr>
            <w:tcW w:type="dxa" w:w="2635"/>
          </w:tcPr>
          <w:p>
            <w:r>
              <w:rPr>
                <w:b/>
                <w:sz w:val="16"/>
              </w:rPr>
              <w:t>Innovation Element</w:t>
            </w:r>
          </w:p>
        </w:tc>
      </w:tr>
      <w:tr>
        <w:tc>
          <w:tcPr>
            <w:tcW w:type="dxa" w:w="2635"/>
          </w:tcPr>
          <w:p>
            <w:r>
              <w:rPr>
                <w:sz w:val="16"/>
              </w:rPr>
              <w:t>1</w:t>
            </w:r>
          </w:p>
        </w:tc>
        <w:tc>
          <w:tcPr>
            <w:tcW w:type="dxa" w:w="2635"/>
          </w:tcPr>
          <w:p>
            <w:r>
              <w:rPr>
                <w:sz w:val="16"/>
              </w:rPr>
              <w:t>Raw material dosing and dispersion</w:t>
            </w:r>
          </w:p>
        </w:tc>
        <w:tc>
          <w:tcPr>
            <w:tcW w:type="dxa" w:w="2635"/>
          </w:tcPr>
          <w:p>
            <w:r>
              <w:rPr>
                <w:sz w:val="16"/>
              </w:rPr>
              <w:t>Gravimetric feeders, stirred dispersion tank</w:t>
            </w:r>
          </w:p>
        </w:tc>
        <w:tc>
          <w:tcPr>
            <w:tcW w:type="dxa" w:w="2635"/>
          </w:tcPr>
          <w:p>
            <w:r>
              <w:rPr>
                <w:sz w:val="16"/>
              </w:rPr>
              <w:t>DT-monitored stoichiometry</w:t>
            </w:r>
          </w:p>
        </w:tc>
      </w:tr>
      <w:tr>
        <w:tc>
          <w:tcPr>
            <w:tcW w:type="dxa" w:w="2635"/>
          </w:tcPr>
          <w:p>
            <w:r>
              <w:rPr>
                <w:sz w:val="16"/>
              </w:rPr>
              <w:t>2</w:t>
            </w:r>
          </w:p>
        </w:tc>
        <w:tc>
          <w:tcPr>
            <w:tcW w:type="dxa" w:w="2635"/>
          </w:tcPr>
          <w:p>
            <w:r>
              <w:rPr>
                <w:sz w:val="16"/>
              </w:rPr>
              <w:t>Sand milling + magnetic particle removal</w:t>
            </w:r>
          </w:p>
        </w:tc>
        <w:tc>
          <w:tcPr>
            <w:tcW w:type="dxa" w:w="2635"/>
          </w:tcPr>
          <w:p>
            <w:r>
              <w:rPr>
                <w:sz w:val="16"/>
              </w:rPr>
              <w:t>Horizontal bead mill, electromagnetic demagnetiser</w:t>
            </w:r>
          </w:p>
        </w:tc>
        <w:tc>
          <w:tcPr>
            <w:tcW w:type="dxa" w:w="2635"/>
          </w:tcPr>
          <w:p>
            <w:r>
              <w:rPr>
                <w:sz w:val="16"/>
              </w:rPr>
              <w:t>In-line FBRM particle size monitoring</w:t>
            </w:r>
          </w:p>
        </w:tc>
      </w:tr>
      <w:tr>
        <w:tc>
          <w:tcPr>
            <w:tcW w:type="dxa" w:w="2635"/>
          </w:tcPr>
          <w:p>
            <w:r>
              <w:rPr>
                <w:sz w:val="16"/>
              </w:rPr>
              <w:t>3</w:t>
            </w:r>
          </w:p>
        </w:tc>
        <w:tc>
          <w:tcPr>
            <w:tcW w:type="dxa" w:w="2635"/>
          </w:tcPr>
          <w:p>
            <w:r>
              <w:rPr>
                <w:sz w:val="16"/>
              </w:rPr>
              <w:t>Spray drying (ELECTRIFIED)</w:t>
            </w:r>
          </w:p>
        </w:tc>
        <w:tc>
          <w:tcPr>
            <w:tcW w:type="dxa" w:w="2635"/>
          </w:tcPr>
          <w:p>
            <w:r>
              <w:rPr>
                <w:sz w:val="16"/>
              </w:rPr>
              <w:t>Electric spray dryer with HTHP air pre-heating</w:t>
            </w:r>
          </w:p>
        </w:tc>
        <w:tc>
          <w:tcPr>
            <w:tcW w:type="dxa" w:w="2635"/>
          </w:tcPr>
          <w:p>
            <w:r>
              <w:rPr>
                <w:sz w:val="16"/>
              </w:rPr>
              <w:t>Electrified thermal processing; DT-controlled drying parameters</w:t>
            </w:r>
          </w:p>
        </w:tc>
      </w:tr>
      <w:tr>
        <w:tc>
          <w:tcPr>
            <w:tcW w:type="dxa" w:w="2635"/>
          </w:tcPr>
          <w:p>
            <w:r>
              <w:rPr>
                <w:sz w:val="16"/>
              </w:rPr>
              <w:t>4</w:t>
            </w:r>
          </w:p>
        </w:tc>
        <w:tc>
          <w:tcPr>
            <w:tcW w:type="dxa" w:w="2635"/>
          </w:tcPr>
          <w:p>
            <w:r>
              <w:rPr>
                <w:sz w:val="16"/>
              </w:rPr>
              <w:t>Calcination (ELECTRIFIED)</w:t>
            </w:r>
          </w:p>
        </w:tc>
        <w:tc>
          <w:tcPr>
            <w:tcW w:type="dxa" w:w="2635"/>
          </w:tcPr>
          <w:p>
            <w:r>
              <w:rPr>
                <w:sz w:val="16"/>
              </w:rPr>
              <w:t>Electric roller hearth kiln, N2 atmosphere</w:t>
            </w:r>
          </w:p>
        </w:tc>
        <w:tc>
          <w:tcPr>
            <w:tcW w:type="dxa" w:w="2635"/>
          </w:tcPr>
          <w:p>
            <w:r>
              <w:rPr>
                <w:sz w:val="16"/>
              </w:rPr>
              <w:t>Electrified calcination; DT-driven temperature profile MPC</w:t>
            </w:r>
          </w:p>
        </w:tc>
      </w:tr>
      <w:tr>
        <w:tc>
          <w:tcPr>
            <w:tcW w:type="dxa" w:w="2635"/>
          </w:tcPr>
          <w:p>
            <w:r>
              <w:rPr>
                <w:sz w:val="16"/>
              </w:rPr>
              <w:t>5</w:t>
            </w:r>
          </w:p>
        </w:tc>
        <w:tc>
          <w:tcPr>
            <w:tcW w:type="dxa" w:w="2635"/>
          </w:tcPr>
          <w:p>
            <w:r>
              <w:rPr>
                <w:sz w:val="16"/>
              </w:rPr>
              <w:t>Jet milling</w:t>
            </w:r>
          </w:p>
        </w:tc>
        <w:tc>
          <w:tcPr>
            <w:tcW w:type="dxa" w:w="2635"/>
          </w:tcPr>
          <w:p>
            <w:r>
              <w:rPr>
                <w:sz w:val="16"/>
              </w:rPr>
              <w:t>Air-flow jet mill</w:t>
            </w:r>
          </w:p>
        </w:tc>
        <w:tc>
          <w:tcPr>
            <w:tcW w:type="dxa" w:w="2635"/>
          </w:tcPr>
          <w:p>
            <w:r>
              <w:rPr>
                <w:sz w:val="16"/>
              </w:rPr>
              <w:t>DEM-based DT model for milling optimisation</w:t>
            </w:r>
          </w:p>
        </w:tc>
      </w:tr>
      <w:tr>
        <w:tc>
          <w:tcPr>
            <w:tcW w:type="dxa" w:w="2635"/>
          </w:tcPr>
          <w:p>
            <w:r>
              <w:rPr>
                <w:sz w:val="16"/>
              </w:rPr>
              <w:t>6</w:t>
            </w:r>
          </w:p>
        </w:tc>
        <w:tc>
          <w:tcPr>
            <w:tcW w:type="dxa" w:w="2635"/>
          </w:tcPr>
          <w:p>
            <w:r>
              <w:rPr>
                <w:sz w:val="16"/>
              </w:rPr>
              <w:t>Classification + demagnetisation</w:t>
            </w:r>
          </w:p>
        </w:tc>
        <w:tc>
          <w:tcPr>
            <w:tcW w:type="dxa" w:w="2635"/>
          </w:tcPr>
          <w:p>
            <w:r>
              <w:rPr>
                <w:sz w:val="16"/>
              </w:rPr>
              <w:t>Ultrasonic vibrating sieve, electromagnetic separator</w:t>
            </w:r>
          </w:p>
        </w:tc>
        <w:tc>
          <w:tcPr>
            <w:tcW w:type="dxa" w:w="2635"/>
          </w:tcPr>
          <w:p>
            <w:r>
              <w:rPr>
                <w:sz w:val="16"/>
              </w:rPr>
              <w:t>At-line quality verification integrated with DT</w:t>
            </w:r>
          </w:p>
        </w:tc>
      </w:tr>
      <w:tr>
        <w:tc>
          <w:tcPr>
            <w:tcW w:type="dxa" w:w="2635"/>
          </w:tcPr>
          <w:p>
            <w:r>
              <w:rPr>
                <w:sz w:val="16"/>
              </w:rPr>
              <w:t>7</w:t>
            </w:r>
          </w:p>
        </w:tc>
        <w:tc>
          <w:tcPr>
            <w:tcW w:type="dxa" w:w="2635"/>
          </w:tcPr>
          <w:p>
            <w:r>
              <w:rPr>
                <w:sz w:val="16"/>
              </w:rPr>
              <w:t>Automated packaging</w:t>
            </w:r>
          </w:p>
        </w:tc>
        <w:tc>
          <w:tcPr>
            <w:tcW w:type="dxa" w:w="2635"/>
          </w:tcPr>
          <w:p>
            <w:r>
              <w:rPr>
                <w:sz w:val="16"/>
              </w:rPr>
              <w:t>N2-blanketed packaging line</w:t>
            </w:r>
          </w:p>
        </w:tc>
        <w:tc>
          <w:tcPr>
            <w:tcW w:type="dxa" w:w="2635"/>
          </w:tcPr>
          <w:p>
            <w:r>
              <w:rPr>
                <w:sz w:val="16"/>
              </w:rPr>
              <w:t>Full traceability, Battery Passport data capture</w:t>
            </w:r>
          </w:p>
        </w:tc>
      </w:tr>
    </w:tbl>
    <w:p>
      <w:r>
        <w:rPr>
          <w:sz w:val="18"/>
        </w:rPr>
        <w:t xml:space="preserve">The process flow is: raw materials (FePO4 + Li2CO3 + glucose) enter at Step 1, water is removed at Step 3 (spray drying), the solid-state reaction occurs at Step 4 (calcination at 650-700 C under N2), particle size is refined at Steps 5-6, and finished LiFePO4/C powder exits at Step 7. DT integration points exist at every step, with the most critical being Steps 3 (spray drying) and 4 (calcination), where process parameters directly determine final product quality </w:t>
      </w:r>
      <w:r>
        <w:rPr>
          <w:color w:val="0066CC"/>
          <w:sz w:val="16"/>
        </w:rPr>
        <w:t>[CLM-009]</w:t>
      </w:r>
      <w:r>
        <w:rPr>
          <w:sz w:val="18"/>
        </w:rPr>
        <w:t>.</w:t>
      </w:r>
    </w:p>
    <w:p>
      <w:r>
        <w:rPr>
          <w:sz w:val="18"/>
        </w:rPr>
        <w:t>---</w:t>
      </w:r>
    </w:p>
    <w:p>
      <w:pPr>
        <w:pStyle w:val="Heading2"/>
      </w:pPr>
      <w:r>
        <w:t>2. Background Information (Existing Situation)</w:t>
      </w:r>
    </w:p>
    <w:p>
      <w:pPr>
        <w:pStyle w:val="Heading3"/>
      </w:pPr>
      <w:r>
        <w:t>2.1 Eni Brindisi Brownfield Site</w:t>
      </w:r>
    </w:p>
    <w:p>
      <w:r>
        <w:rPr>
          <w:sz w:val="18"/>
        </w:rPr>
        <w:t>The project is sited on an existing industrial property owned by Eni S.p.A. in Brindisi, Puglia, southern Italy. The Brindisi complex has operated as an Eni petrochemical and energy site for several decades, providing established industrial infrastructure including:</w:t>
      </w:r>
    </w:p>
    <w:p>
      <w:pPr>
        <w:pStyle w:val="ListBullet"/>
      </w:pPr>
      <w:r>
        <w:rPr>
          <w:sz w:val="18"/>
        </w:rPr>
        <w:t>High-voltage grid connection and electrical distribution capacity</w:t>
      </w:r>
    </w:p>
    <w:p>
      <w:pPr>
        <w:pStyle w:val="ListBullet"/>
      </w:pPr>
      <w:r>
        <w:rPr>
          <w:sz w:val="18"/>
        </w:rPr>
        <w:t>Industrial water supply and wastewater treatment facilities</w:t>
      </w:r>
    </w:p>
    <w:p>
      <w:pPr>
        <w:pStyle w:val="ListBullet"/>
      </w:pPr>
      <w:r>
        <w:rPr>
          <w:sz w:val="18"/>
        </w:rPr>
        <w:t>Road and rail access for logistics</w:t>
      </w:r>
    </w:p>
    <w:p>
      <w:pPr>
        <w:pStyle w:val="ListBullet"/>
      </w:pPr>
      <w:r>
        <w:rPr>
          <w:sz w:val="18"/>
        </w:rPr>
        <w:t>Proximity to Brindisi port for maritime raw material supply</w:t>
      </w:r>
    </w:p>
    <w:p>
      <w:pPr>
        <w:pStyle w:val="ListBullet"/>
      </w:pPr>
      <w:r>
        <w:rPr>
          <w:sz w:val="18"/>
        </w:rPr>
        <w:t>Established relationships with local regulatory authorities (Regione Puglia, ARPA Puglia)</w:t>
      </w:r>
    </w:p>
    <w:p>
      <w:pPr>
        <w:pStyle w:val="ListBullet"/>
      </w:pPr>
      <w:r>
        <w:rPr>
          <w:sz w:val="18"/>
        </w:rPr>
        <w:t>Existing environmental baseline data and monitoring systems</w:t>
      </w:r>
    </w:p>
    <w:p>
      <w:pPr>
        <w:pStyle w:val="ListBullet"/>
      </w:pPr>
      <w:r>
        <w:rPr>
          <w:sz w:val="18"/>
        </w:rPr>
        <w:t>Industrial zoning classification eliminating residential proximity concerns</w:t>
      </w:r>
    </w:p>
    <w:p>
      <w:r>
        <w:rPr>
          <w:sz w:val="18"/>
        </w:rPr>
        <w:t xml:space="preserve">The FACE plant workshop footprint is approximately 161.1 m x 106 m (~17,100 m2), housing 4 modular production lines. The Brindisi site is currently undergoing brownfield remediation (cleanup in progress), confirming its transition from prior industrial operations to new clean-tech manufacturing use. </w:t>
      </w:r>
      <w:r>
        <w:rPr>
          <w:b/>
          <w:color w:val="CC0000"/>
          <w:sz w:val="18"/>
        </w:rPr>
        <w:t>[TO BE COMPLETED: specific area allocation within the Eni Brindisi complex, existing structures to be repurposed vs demolished, to be confirmed by site engineering team.]</w:t>
      </w:r>
    </w:p>
    <w:p>
      <w:r>
        <w:rPr>
          <w:sz w:val="18"/>
        </w:rPr>
        <w:t>The brownfield nature of the site offers material advantages: reduced civil works scope compared to greenfield construction, accelerated permitting based on existing industrial zoning and environmental authorisation precedent, and existing utility connections that reduce infrastructure CAPEX and lead time.</w:t>
      </w:r>
    </w:p>
    <w:p>
      <w:pPr>
        <w:pStyle w:val="Heading3"/>
      </w:pPr>
      <w:r>
        <w:t>2.2 Global LFP CAM Market Context</w:t>
      </w:r>
    </w:p>
    <w:p>
      <w:r>
        <w:rPr>
          <w:sz w:val="18"/>
        </w:rPr>
        <w:t xml:space="preserve">The global LFP CAM market presents a stark geographic concentration. China controls over 99% of global LFP CAM production capacity </w:t>
      </w:r>
      <w:r>
        <w:rPr>
          <w:color w:val="0066CC"/>
          <w:sz w:val="16"/>
        </w:rPr>
        <w:t>[CLM-001, SRC-022, SRC-023]</w:t>
      </w:r>
      <w:r>
        <w:rPr>
          <w:sz w:val="18"/>
        </w:rPr>
        <w:t xml:space="preserve">. The dominant producers -- CATL, BYD, Gotion High-Tech, and Dynanonic -- operate exclusively gas-fired production facilities using natural gas rotary kilns for calcination and gas-heated spray dryers </w:t>
      </w:r>
      <w:r>
        <w:rPr>
          <w:color w:val="0066CC"/>
          <w:sz w:val="16"/>
        </w:rPr>
        <w:t>[SRC-022, SRC-PAT-005]</w:t>
      </w:r>
      <w:r>
        <w:rPr>
          <w:sz w:val="18"/>
        </w:rPr>
        <w:t>.</w:t>
      </w:r>
    </w:p>
    <w:p>
      <w:r>
        <w:rPr>
          <w:sz w:val="18"/>
        </w:rPr>
        <w:t xml:space="preserve">This concentration has become an acute supply chain risk following China's imposition of export licensing requirements on 4th-generation LFP cathode technology in July 2025 and the broadening of these controls to battery cells, precursors, anode materials, and production equipment in October 2025 </w:t>
      </w:r>
      <w:r>
        <w:rPr>
          <w:color w:val="0066CC"/>
          <w:sz w:val="16"/>
        </w:rPr>
        <w:t>[CLM-002, SRC-024]</w:t>
      </w:r>
      <w:r>
        <w:rPr>
          <w:sz w:val="18"/>
        </w:rPr>
        <w:t xml:space="preserve">. The German Council on Foreign Relations (DGAP) has identified EU LFP CAM manufacturing as a critical strategic gap </w:t>
      </w:r>
      <w:r>
        <w:rPr>
          <w:color w:val="0066CC"/>
          <w:sz w:val="16"/>
        </w:rPr>
        <w:t>[SRC-024]</w:t>
      </w:r>
      <w:r>
        <w:rPr>
          <w:sz w:val="18"/>
        </w:rPr>
        <w:t xml:space="preserve">, and the European Parliament Research Service has recommended urgent domestic production capacity development </w:t>
      </w:r>
      <w:r>
        <w:rPr>
          <w:color w:val="0066CC"/>
          <w:sz w:val="16"/>
        </w:rPr>
        <w:t>[SRC-023]</w:t>
      </w:r>
      <w:r>
        <w:rPr>
          <w:sz w:val="18"/>
        </w:rPr>
        <w:t>.</w:t>
      </w:r>
    </w:p>
    <w:p>
      <w:pPr>
        <w:pStyle w:val="Heading3"/>
      </w:pPr>
      <w:r>
        <w:t>2.3 European LFP CAM Production Status</w:t>
      </w:r>
    </w:p>
    <w:p>
      <w:r>
        <w:rPr>
          <w:sz w:val="18"/>
        </w:rPr>
        <w:t xml:space="preserve">As of late 2025, no European company operates a commercial LFP CAM production line </w:t>
      </w:r>
      <w:r>
        <w:rPr>
          <w:color w:val="0066CC"/>
          <w:sz w:val="16"/>
        </w:rPr>
        <w:t>[CLM-003]</w:t>
      </w:r>
      <w:r>
        <w:rPr>
          <w:sz w:val="18"/>
        </w:rPr>
        <w:t>. The landscape comprises:</w:t>
      </w:r>
    </w:p>
    <w:p>
      <w:pPr>
        <w:pStyle w:val="ListBullet"/>
      </w:pPr>
      <w:r>
        <w:rPr>
          <w:b/>
          <w:sz w:val="18"/>
        </w:rPr>
        <w:t>FREYR Battery (Finland)</w:t>
      </w:r>
      <w:r>
        <w:rPr>
          <w:sz w:val="18"/>
        </w:rPr>
        <w:t xml:space="preserve">: Received a EUR 122M Innovation Fund grant (October 2024) for a planned 30,000 t/yr LFP CAM facility in Vaasa, Finland </w:t>
      </w:r>
      <w:r>
        <w:rPr>
          <w:color w:val="0066CC"/>
          <w:sz w:val="16"/>
        </w:rPr>
        <w:t>[SRC-025]</w:t>
      </w:r>
      <w:r>
        <w:rPr>
          <w:sz w:val="18"/>
        </w:rPr>
        <w:t xml:space="preserve">. However, FREYR has not reached Final Investment Decision (FID) for Vaasa and is currently prioritising its US Giga America facility </w:t>
      </w:r>
      <w:r>
        <w:rPr>
          <w:color w:val="0066CC"/>
          <w:sz w:val="16"/>
        </w:rPr>
        <w:t>[CLM-029]</w:t>
      </w:r>
      <w:r>
        <w:rPr>
          <w:sz w:val="18"/>
        </w:rPr>
        <w:t>. The Vaasa project should be treated as a medium-term option with non-trivial schedule and financing risk.</w:t>
      </w:r>
    </w:p>
    <w:p>
      <w:pPr>
        <w:pStyle w:val="ListBullet"/>
      </w:pPr>
      <w:r>
        <w:rPr>
          <w:b/>
          <w:sz w:val="18"/>
        </w:rPr>
        <w:t>CATL</w:t>
      </w:r>
      <w:r>
        <w:rPr>
          <w:sz w:val="18"/>
        </w:rPr>
        <w:t xml:space="preserve">: Expanding cell production within Europe but LFP CAM production status in Europe is unclear </w:t>
      </w:r>
      <w:r>
        <w:rPr>
          <w:color w:val="0066CC"/>
          <w:sz w:val="16"/>
        </w:rPr>
        <w:t>[SRC-023]</w:t>
      </w:r>
      <w:r>
        <w:rPr>
          <w:sz w:val="18"/>
        </w:rPr>
        <w:t>. CATL's European operations primarily involve cell assembly using imported Chinese CAM.</w:t>
      </w:r>
    </w:p>
    <w:p>
      <w:pPr>
        <w:pStyle w:val="ListBullet"/>
      </w:pPr>
      <w:r>
        <w:rPr>
          <w:b/>
          <w:sz w:val="18"/>
        </w:rPr>
        <w:t>Umicore</w:t>
      </w:r>
      <w:r>
        <w:rPr>
          <w:sz w:val="18"/>
        </w:rPr>
        <w:t xml:space="preserve">: Produces NMC cathode materials in Poland but does not manufacture LFP CAM </w:t>
      </w:r>
      <w:r>
        <w:rPr>
          <w:color w:val="0066CC"/>
          <w:sz w:val="16"/>
        </w:rPr>
        <w:t>[SRC-023]</w:t>
      </w:r>
      <w:r>
        <w:rPr>
          <w:sz w:val="18"/>
        </w:rPr>
        <w:t>.</w:t>
      </w:r>
    </w:p>
    <w:p>
      <w:pPr>
        <w:pStyle w:val="ListBullet"/>
      </w:pPr>
      <w:r>
        <w:rPr>
          <w:b/>
          <w:sz w:val="18"/>
        </w:rPr>
        <w:t>PowerCo, Verkor, ACC, Northvolt</w:t>
      </w:r>
      <w:r>
        <w:rPr>
          <w:sz w:val="18"/>
        </w:rPr>
        <w:t>: European cell manufacturers that require domestic LFP CAM supply but do not produce their own CAM.</w:t>
      </w:r>
    </w:p>
    <w:p>
      <w:r>
        <w:rPr>
          <w:sz w:val="18"/>
        </w:rPr>
        <w:t xml:space="preserve">The FACE project addresses this gap as the first LFP CAM production facility in Italy and Southern Europe </w:t>
      </w:r>
      <w:r>
        <w:rPr>
          <w:color w:val="0066CC"/>
          <w:sz w:val="16"/>
        </w:rPr>
        <w:t>[CLM-022]</w:t>
      </w:r>
      <w:r>
        <w:rPr>
          <w:sz w:val="18"/>
        </w:rPr>
        <w:t>, providing geographic diversification within the EU LFP supply landscape alongside FREYR's Northern European site.</w:t>
      </w:r>
    </w:p>
    <w:p>
      <w:pPr>
        <w:pStyle w:val="Heading3"/>
      </w:pPr>
      <w:r>
        <w:t>2.4 FIB/FAAM Capabilities</w:t>
      </w:r>
    </w:p>
    <w:p>
      <w:r>
        <w:rPr>
          <w:sz w:val="18"/>
        </w:rPr>
        <w:t>FIB (Fabbrica Italiana Batterie, incorporating the FAAM brand) is an established Italian battery manufacturer with expertise in lead-acid and lithium-ion battery production, including cell assembly, module integration, and battery management systems. FIB's existing manufacturing infrastructure and quality management systems provide the organisational foundation for upstream expansion into CAM production.</w:t>
      </w:r>
    </w:p>
    <w:p>
      <w:r>
        <w:rPr>
          <w:sz w:val="18"/>
        </w:rPr>
        <w:t xml:space="preserve">FIB/FAAM was founded in 1974 in Monterubbiano (FM), Italy, and is a subsidiary of Seri Industrial S.p.A. (acquired in 2013). With approximately 354 employees, FIB produces lithium-ion batteries for traction, industrial, storage, and military applications, as well as lead-acid batteries and fuel cells, with a strategic focus on green batteries with low environmental impact. FIB holds ISO 9001, ISO 14001, and ISO 45001 certifications. FIB has recently contracted an 8 GWh lithium battery facility with Lead Intelligent Equipment. FIB has an established track record of supporting university research through PhD studentships and MSc degree collaborations. </w:t>
      </w:r>
      <w:r>
        <w:rPr>
          <w:b/>
          <w:color w:val="CC0000"/>
          <w:sz w:val="18"/>
        </w:rPr>
        <w:t>[TO BE COMPLETED: specific current MWh/year manufacturing capacity and number of manufacturing sites to be confirmed by project team.]</w:t>
      </w:r>
    </w:p>
    <w:p>
      <w:r>
        <w:rPr>
          <w:sz w:val="18"/>
        </w:rPr>
        <w:t>---</w:t>
      </w:r>
    </w:p>
    <w:p>
      <w:pPr>
        <w:pStyle w:val="Heading2"/>
      </w:pPr>
      <w:r>
        <w:t>3. Location Analysis and Strategic Approach</w:t>
      </w:r>
    </w:p>
    <w:p>
      <w:pPr>
        <w:pStyle w:val="Heading3"/>
      </w:pPr>
      <w:r>
        <w:t>3.1 Site Location</w:t>
      </w:r>
    </w:p>
    <w:p>
      <w:r>
        <w:rPr>
          <w:b/>
          <w:sz w:val="18"/>
        </w:rPr>
        <w:t>Brindisi, Puglia, Italy</w:t>
      </w:r>
      <w:r>
        <w:rPr>
          <w:sz w:val="18"/>
        </w:rPr>
        <w:t xml:space="preserve"> -- The FACE plant is located within Eni's existing industrial complex in the Brindisi industrial zone. Key site attributes:</w:t>
      </w:r>
    </w:p>
    <w:tbl>
      <w:tblPr>
        <w:tblStyle w:val="LightGrid-Accent1"/>
        <w:tblW w:type="auto" w:w="0"/>
        <w:tblLook w:firstColumn="1" w:firstRow="1" w:lastColumn="0" w:lastRow="0" w:noHBand="0" w:noVBand="1" w:val="04A0"/>
      </w:tblPr>
      <w:tblGrid>
        <w:gridCol w:w="5270"/>
        <w:gridCol w:w="5270"/>
      </w:tblGrid>
      <w:tr>
        <w:tc>
          <w:tcPr>
            <w:tcW w:type="dxa" w:w="5270"/>
          </w:tcPr>
          <w:p>
            <w:r>
              <w:rPr>
                <w:b/>
                <w:sz w:val="16"/>
              </w:rPr>
              <w:t>Factor</w:t>
            </w:r>
          </w:p>
        </w:tc>
        <w:tc>
          <w:tcPr>
            <w:tcW w:type="dxa" w:w="5270"/>
          </w:tcPr>
          <w:p>
            <w:r>
              <w:rPr>
                <w:b/>
                <w:sz w:val="16"/>
              </w:rPr>
              <w:t>Description</w:t>
            </w:r>
          </w:p>
        </w:tc>
      </w:tr>
      <w:tr>
        <w:tc>
          <w:tcPr>
            <w:tcW w:type="dxa" w:w="5270"/>
          </w:tcPr>
          <w:p>
            <w:r>
              <w:rPr>
                <w:sz w:val="16"/>
              </w:rPr>
              <w:t>**Geographic coordinates**</w:t>
            </w:r>
          </w:p>
        </w:tc>
        <w:tc>
          <w:tcPr>
            <w:tcW w:type="dxa" w:w="5270"/>
          </w:tcPr>
          <w:p>
            <w:r>
              <w:rPr>
                <w:sz w:val="16"/>
              </w:rPr>
              <w:t>[TO BE COMPLETED: Exact coordinates to be provided by site engineering]</w:t>
            </w:r>
          </w:p>
        </w:tc>
      </w:tr>
      <w:tr>
        <w:tc>
          <w:tcPr>
            <w:tcW w:type="dxa" w:w="5270"/>
          </w:tcPr>
          <w:p>
            <w:r>
              <w:rPr>
                <w:sz w:val="16"/>
              </w:rPr>
              <w:t>**Industrial zone**</w:t>
            </w:r>
          </w:p>
        </w:tc>
        <w:tc>
          <w:tcPr>
            <w:tcW w:type="dxa" w:w="5270"/>
          </w:tcPr>
          <w:p>
            <w:r>
              <w:rPr>
                <w:sz w:val="16"/>
              </w:rPr>
              <w:t>Established industrial area with appropriate zoning</w:t>
            </w:r>
          </w:p>
        </w:tc>
      </w:tr>
      <w:tr>
        <w:tc>
          <w:tcPr>
            <w:tcW w:type="dxa" w:w="5270"/>
          </w:tcPr>
          <w:p>
            <w:r>
              <w:rPr>
                <w:sz w:val="16"/>
              </w:rPr>
              <w:t>**Port access**</w:t>
            </w:r>
          </w:p>
        </w:tc>
        <w:tc>
          <w:tcPr>
            <w:tcW w:type="dxa" w:w="5270"/>
          </w:tcPr>
          <w:p>
            <w:r>
              <w:rPr>
                <w:sz w:val="16"/>
              </w:rPr>
              <w:t>Brindisi port -- Mediterranean maritime hub for raw material import (FePO4, Li2CO3 from global suppliers) and product export</w:t>
            </w:r>
          </w:p>
        </w:tc>
      </w:tr>
      <w:tr>
        <w:tc>
          <w:tcPr>
            <w:tcW w:type="dxa" w:w="5270"/>
          </w:tcPr>
          <w:p>
            <w:r>
              <w:rPr>
                <w:sz w:val="16"/>
              </w:rPr>
              <w:t>**Grid connection**</w:t>
            </w:r>
          </w:p>
        </w:tc>
        <w:tc>
          <w:tcPr>
            <w:tcW w:type="dxa" w:w="5270"/>
          </w:tcPr>
          <w:p>
            <w:r>
              <w:rPr>
                <w:sz w:val="16"/>
              </w:rPr>
              <w:t>High-voltage connection to Terna (Italian TSO) grid; Puglia region has excellent renewable energy potential</w:t>
            </w:r>
          </w:p>
        </w:tc>
      </w:tr>
      <w:tr>
        <w:tc>
          <w:tcPr>
            <w:tcW w:type="dxa" w:w="5270"/>
          </w:tcPr>
          <w:p>
            <w:r>
              <w:rPr>
                <w:sz w:val="16"/>
              </w:rPr>
              <w:t>**Solar irradiance**</w:t>
            </w:r>
          </w:p>
        </w:tc>
        <w:tc>
          <w:tcPr>
            <w:tcW w:type="dxa" w:w="5270"/>
          </w:tcPr>
          <w:p>
            <w:r>
              <w:rPr>
                <w:sz w:val="16"/>
              </w:rPr>
              <w:t>~1,700 kWh/m2/yr -- among the highest in Italy, favourable for on-site PV or regional PPA</w:t>
            </w:r>
          </w:p>
        </w:tc>
      </w:tr>
      <w:tr>
        <w:tc>
          <w:tcPr>
            <w:tcW w:type="dxa" w:w="5270"/>
          </w:tcPr>
          <w:p>
            <w:r>
              <w:rPr>
                <w:sz w:val="16"/>
              </w:rPr>
              <w:t>**Road/rail**</w:t>
            </w:r>
          </w:p>
        </w:tc>
        <w:tc>
          <w:tcPr>
            <w:tcW w:type="dxa" w:w="5270"/>
          </w:tcPr>
          <w:p>
            <w:r>
              <w:rPr>
                <w:sz w:val="16"/>
              </w:rPr>
              <w:t>Connected to A14 motorway and national rail network for domestic logistics</w:t>
            </w:r>
          </w:p>
        </w:tc>
      </w:tr>
      <w:tr>
        <w:tc>
          <w:tcPr>
            <w:tcW w:type="dxa" w:w="5270"/>
          </w:tcPr>
          <w:p>
            <w:r>
              <w:rPr>
                <w:sz w:val="16"/>
              </w:rPr>
              <w:t>**Labour market**</w:t>
            </w:r>
          </w:p>
        </w:tc>
        <w:tc>
          <w:tcPr>
            <w:tcW w:type="dxa" w:w="5270"/>
          </w:tcPr>
          <w:p>
            <w:r>
              <w:rPr>
                <w:sz w:val="16"/>
              </w:rPr>
              <w:t>Puglia convergence region with skilled industrial workforce and proximity to Politecnico di Bari and Universita del Salento</w:t>
            </w:r>
          </w:p>
        </w:tc>
      </w:tr>
      <w:tr>
        <w:tc>
          <w:tcPr>
            <w:tcW w:type="dxa" w:w="5270"/>
          </w:tcPr>
          <w:p>
            <w:r>
              <w:rPr>
                <w:sz w:val="16"/>
              </w:rPr>
              <w:t>**Climate**</w:t>
            </w:r>
          </w:p>
        </w:tc>
        <w:tc>
          <w:tcPr>
            <w:tcW w:type="dxa" w:w="5270"/>
          </w:tcPr>
          <w:p>
            <w:r>
              <w:rPr>
                <w:sz w:val="16"/>
              </w:rPr>
              <w:t>Mediterranean climate; minimal freeze-thaw impact on construction scheduling</w:t>
            </w:r>
          </w:p>
        </w:tc>
      </w:tr>
    </w:tbl>
    <w:p>
      <w:r>
        <w:rPr>
          <w:sz w:val="18"/>
        </w:rPr>
        <w:t>The Brindisi location provides strategic advantages for serving Southern European and Mediterranean battery cell manufacturers. The plant's proximity to potential customers in Italy (e.g., ITALVOLT, Eni-FIB internal demand), Spain, and Southern France reduces logistics costs and carbon footprint compared to Northern European or Asian supply.</w:t>
      </w:r>
    </w:p>
    <w:p>
      <w:pPr>
        <w:pStyle w:val="Heading3"/>
      </w:pPr>
      <w:r>
        <w:t>3.2 Links to Other Projects</w:t>
      </w:r>
    </w:p>
    <w:p>
      <w:r>
        <w:rPr>
          <w:sz w:val="18"/>
        </w:rPr>
        <w:t>The FACE project is positioned within a broader ecosystem of EU battery supply chain initiatives:</w:t>
      </w:r>
    </w:p>
    <w:p>
      <w:pPr>
        <w:pStyle w:val="ListBullet"/>
      </w:pPr>
      <w:r>
        <w:rPr>
          <w:b/>
          <w:sz w:val="18"/>
        </w:rPr>
        <w:t>EU Battery Alliance</w:t>
      </w:r>
      <w:r>
        <w:rPr>
          <w:sz w:val="18"/>
        </w:rPr>
        <w:t>: The project contributes to the Alliance's objective of establishing a complete domestic battery value chain within the EU, specifically addressing the upstream CAM production gap.</w:t>
      </w:r>
    </w:p>
    <w:p>
      <w:pPr>
        <w:pStyle w:val="ListBullet"/>
      </w:pPr>
      <w:r>
        <w:rPr>
          <w:b/>
          <w:sz w:val="18"/>
        </w:rPr>
        <w:t>IPCEI on Batteries (Hy2Use, EuBatIn)</w:t>
      </w:r>
      <w:r>
        <w:rPr>
          <w:sz w:val="18"/>
        </w:rPr>
        <w:t>: While FACE is not an IPCEI project, it complements IPCEI-funded cell manufacturing facilities by providing a domestic CAM supply source.</w:t>
      </w:r>
    </w:p>
    <w:p>
      <w:pPr>
        <w:pStyle w:val="ListBullet"/>
      </w:pPr>
      <w:r>
        <w:rPr>
          <w:b/>
          <w:sz w:val="18"/>
        </w:rPr>
        <w:t>FIB-Eni JV Battery Cell and BESS Factory (Brindisi)</w:t>
      </w:r>
      <w:r>
        <w:rPr>
          <w:sz w:val="18"/>
        </w:rPr>
        <w:t>: The FACE LFP CAM plant is the direct upstream supplier to the co-located FIB-Eni joint venture battery cell and BESS manufacturing facility on the same Brindisi site. The JV factory converts FACE LFP CAM into cells and grid-scale BESS systems. Eni deploys the BESS on the Italian electricity grid. This creates a vertically integrated value chain where the FACE project's output is consumed internally, eliminating offtake risk and providing immediate quality feedback from cell manufacturing to CAM optimisation.</w:t>
      </w:r>
    </w:p>
    <w:p>
      <w:pPr>
        <w:pStyle w:val="ListBullet"/>
      </w:pPr>
      <w:r>
        <w:rPr>
          <w:b/>
          <w:sz w:val="18"/>
        </w:rPr>
        <w:t>Eni's Energy Transition Strategy</w:t>
      </w:r>
      <w:r>
        <w:rPr>
          <w:sz w:val="18"/>
        </w:rPr>
        <w:t>: The Brindisi site conversion from fossil fuel operations to an integrated clean energy manufacturing hub directly implements Eni's strategic pivot toward decarbonisation. Eni's investment provides co-financing leverage and demonstrates energy company commitment to the complete battery value chain — from cathode material production through grid deployment.</w:t>
      </w:r>
    </w:p>
    <w:p>
      <w:pPr>
        <w:pStyle w:val="ListBullet"/>
      </w:pPr>
      <w:r>
        <w:rPr>
          <w:b/>
          <w:sz w:val="18"/>
        </w:rPr>
        <w:t>FREYR Battery (Finland)</w:t>
      </w:r>
      <w:r>
        <w:rPr>
          <w:sz w:val="18"/>
        </w:rPr>
        <w:t>: FACE and FREYR together would establish a two-node European LFP CAM supply base with geographic diversification (Nordic + Mediterranean), reducing single-point-of-failure risk in EU supply chains.</w:t>
      </w:r>
    </w:p>
    <w:p>
      <w:pPr>
        <w:pStyle w:val="Heading3"/>
      </w:pPr>
      <w:r>
        <w:t>3.3 EU Legislation Compliance</w:t>
      </w:r>
    </w:p>
    <w:p>
      <w:r>
        <w:rPr>
          <w:b/>
          <w:sz w:val="18"/>
        </w:rPr>
        <w:t>EU Battery Regulation (2023/1542)</w:t>
      </w:r>
    </w:p>
    <w:p>
      <w:r>
        <w:rPr>
          <w:sz w:val="18"/>
        </w:rPr>
        <w:t>The FACE plant is designed for full compliance with the EU Battery Regulation, which introduces progressively stringent requirements: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Requirement</w:t>
            </w:r>
          </w:p>
        </w:tc>
        <w:tc>
          <w:tcPr>
            <w:tcW w:type="dxa" w:w="3513"/>
          </w:tcPr>
          <w:p>
            <w:r>
              <w:rPr>
                <w:b/>
                <w:sz w:val="16"/>
              </w:rPr>
              <w:t>Timeline</w:t>
            </w:r>
          </w:p>
        </w:tc>
        <w:tc>
          <w:tcPr>
            <w:tcW w:type="dxa" w:w="3513"/>
          </w:tcPr>
          <w:p>
            <w:r>
              <w:rPr>
                <w:b/>
                <w:sz w:val="16"/>
              </w:rPr>
              <w:t>FACE Compliance Approach</w:t>
            </w:r>
          </w:p>
        </w:tc>
      </w:tr>
      <w:tr>
        <w:tc>
          <w:tcPr>
            <w:tcW w:type="dxa" w:w="3513"/>
          </w:tcPr>
          <w:p>
            <w:r>
              <w:rPr>
                <w:sz w:val="16"/>
              </w:rPr>
              <w:t>Carbon footprint declaration</w:t>
            </w:r>
          </w:p>
        </w:tc>
        <w:tc>
          <w:tcPr>
            <w:tcW w:type="dxa" w:w="3513"/>
          </w:tcPr>
          <w:p>
            <w:r>
              <w:rPr>
                <w:sz w:val="16"/>
              </w:rPr>
              <w:t>2025 (EV batteries)</w:t>
            </w:r>
          </w:p>
        </w:tc>
        <w:tc>
          <w:tcPr>
            <w:tcW w:type="dxa" w:w="3513"/>
          </w:tcPr>
          <w:p>
            <w:r>
              <w:rPr>
                <w:sz w:val="16"/>
              </w:rPr>
              <w:t>DT provides complete process energy and material traceability; electrified production enables low carbon footprint</w:t>
            </w:r>
          </w:p>
        </w:tc>
      </w:tr>
      <w:tr>
        <w:tc>
          <w:tcPr>
            <w:tcW w:type="dxa" w:w="3513"/>
          </w:tcPr>
          <w:p>
            <w:r>
              <w:rPr>
                <w:sz w:val="16"/>
              </w:rPr>
              <w:t>Carbon footprint performance class</w:t>
            </w:r>
          </w:p>
        </w:tc>
        <w:tc>
          <w:tcPr>
            <w:tcW w:type="dxa" w:w="3513"/>
          </w:tcPr>
          <w:p>
            <w:r>
              <w:rPr>
                <w:sz w:val="16"/>
              </w:rPr>
              <w:t>2026</w:t>
            </w:r>
          </w:p>
        </w:tc>
        <w:tc>
          <w:tcPr>
            <w:tcW w:type="dxa" w:w="3513"/>
          </w:tcPr>
          <w:p>
            <w:r>
              <w:rPr>
                <w:sz w:val="16"/>
              </w:rPr>
              <w:t>Electrified production with Italian grid trajectory positions FACE product in top performance classes</w:t>
            </w:r>
          </w:p>
        </w:tc>
      </w:tr>
      <w:tr>
        <w:tc>
          <w:tcPr>
            <w:tcW w:type="dxa" w:w="3513"/>
          </w:tcPr>
          <w:p>
            <w:r>
              <w:rPr>
                <w:sz w:val="16"/>
              </w:rPr>
              <w:t>Battery Passport</w:t>
            </w:r>
          </w:p>
        </w:tc>
        <w:tc>
          <w:tcPr>
            <w:tcW w:type="dxa" w:w="3513"/>
          </w:tcPr>
          <w:p>
            <w:r>
              <w:rPr>
                <w:sz w:val="16"/>
              </w:rPr>
              <w:t>2027</w:t>
            </w:r>
          </w:p>
        </w:tc>
        <w:tc>
          <w:tcPr>
            <w:tcW w:type="dxa" w:w="3513"/>
          </w:tcPr>
          <w:p>
            <w:r>
              <w:rPr>
                <w:sz w:val="16"/>
              </w:rPr>
              <w:t>DT data infrastructure provides full batch traceability from precursor receipt to product shipment; compliant data model</w:t>
            </w:r>
          </w:p>
        </w:tc>
      </w:tr>
      <w:tr>
        <w:tc>
          <w:tcPr>
            <w:tcW w:type="dxa" w:w="3513"/>
          </w:tcPr>
          <w:p>
            <w:r>
              <w:rPr>
                <w:sz w:val="16"/>
              </w:rPr>
              <w:t>Recycled content targets</w:t>
            </w:r>
          </w:p>
        </w:tc>
        <w:tc>
          <w:tcPr>
            <w:tcW w:type="dxa" w:w="3513"/>
          </w:tcPr>
          <w:p>
            <w:r>
              <w:rPr>
                <w:sz w:val="16"/>
              </w:rPr>
              <w:t>2031 (Li 6%), 2036 (Li 12%)</w:t>
            </w:r>
          </w:p>
        </w:tc>
        <w:tc>
          <w:tcPr>
            <w:tcW w:type="dxa" w:w="3513"/>
          </w:tcPr>
          <w:p>
            <w:r>
              <w:rPr>
                <w:sz w:val="16"/>
              </w:rPr>
              <w:t>Plant design accommodates integration of recycled lithium precursors in future; modular process allows feedstock flexibility</w:t>
            </w:r>
          </w:p>
        </w:tc>
      </w:tr>
      <w:tr>
        <w:tc>
          <w:tcPr>
            <w:tcW w:type="dxa" w:w="3513"/>
          </w:tcPr>
          <w:p>
            <w:r>
              <w:rPr>
                <w:sz w:val="16"/>
              </w:rPr>
              <w:t>Due diligence (OECD)</w:t>
            </w:r>
          </w:p>
        </w:tc>
        <w:tc>
          <w:tcPr>
            <w:tcW w:type="dxa" w:w="3513"/>
          </w:tcPr>
          <w:p>
            <w:r>
              <w:rPr>
                <w:sz w:val="16"/>
              </w:rPr>
              <w:t>2025</w:t>
            </w:r>
          </w:p>
        </w:tc>
        <w:tc>
          <w:tcPr>
            <w:tcW w:type="dxa" w:w="3513"/>
          </w:tcPr>
          <w:p>
            <w:r>
              <w:rPr>
                <w:sz w:val="16"/>
              </w:rPr>
              <w:t>Responsible sourcing policy for all precursors; supplier audit programme</w:t>
            </w:r>
          </w:p>
        </w:tc>
      </w:tr>
    </w:tbl>
    <w:p>
      <w:r>
        <w:rPr>
          <w:b/>
          <w:sz w:val="18"/>
        </w:rPr>
        <w:t>Net-Zero Industry Act (NZIA)</w:t>
      </w:r>
    </w:p>
    <w:p>
      <w:r>
        <w:rPr>
          <w:sz w:val="18"/>
        </w:rPr>
        <w:t>The NZIA establishes EU manufacturing benchmarks for clean technologies, explicitly including battery and energy storage manufacturing. FACE directly contributes to the NZIA objective of ensuring at least 40% of EU demand for clean technologies is met by domestic manufacturing by 2030. LFP CAM is classified as a strategic net-zero technology component.</w:t>
      </w:r>
    </w:p>
    <w:p>
      <w:r>
        <w:rPr>
          <w:b/>
          <w:sz w:val="18"/>
        </w:rPr>
        <w:t>REACH</w:t>
      </w:r>
    </w:p>
    <w:p>
      <w:r>
        <w:rPr>
          <w:sz w:val="18"/>
        </w:rPr>
        <w:t>All chemical substances used in the production process (iron phosphate, lithium carbonate, glucose, nitrogen) are either pre-registered under REACH or are exempt (N2, glucose as food-grade commodity). No novel chemical substances requiring REACH registration are introduced by the FACE process.</w:t>
      </w:r>
    </w:p>
    <w:p>
      <w:pPr>
        <w:pStyle w:val="Heading3"/>
      </w:pPr>
      <w:r>
        <w:t>3.4 Regulatory Requirements and Permitting Strategy</w:t>
      </w:r>
    </w:p>
    <w:p>
      <w:r>
        <w:rPr>
          <w:sz w:val="18"/>
        </w:rPr>
        <w:t>The project requires the following regulatory authorisations under Italian law:</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Permit</w:t>
            </w:r>
          </w:p>
        </w:tc>
        <w:tc>
          <w:tcPr>
            <w:tcW w:type="dxa" w:w="2635"/>
          </w:tcPr>
          <w:p>
            <w:r>
              <w:rPr>
                <w:b/>
                <w:sz w:val="16"/>
              </w:rPr>
              <w:t>Authority</w:t>
            </w:r>
          </w:p>
        </w:tc>
        <w:tc>
          <w:tcPr>
            <w:tcW w:type="dxa" w:w="2635"/>
          </w:tcPr>
          <w:p>
            <w:r>
              <w:rPr>
                <w:b/>
                <w:sz w:val="16"/>
              </w:rPr>
              <w:t>Description</w:t>
            </w:r>
          </w:p>
        </w:tc>
        <w:tc>
          <w:tcPr>
            <w:tcW w:type="dxa" w:w="2635"/>
          </w:tcPr>
          <w:p>
            <w:r>
              <w:rPr>
                <w:b/>
                <w:sz w:val="16"/>
              </w:rPr>
              <w:t>Estimated Timeline</w:t>
            </w:r>
          </w:p>
        </w:tc>
      </w:tr>
      <w:tr>
        <w:tc>
          <w:tcPr>
            <w:tcW w:type="dxa" w:w="2635"/>
          </w:tcPr>
          <w:p>
            <w:r>
              <w:rPr>
                <w:sz w:val="16"/>
              </w:rPr>
              <w:t>VIA (Valutazione di Impatto Ambientale)</w:t>
            </w:r>
          </w:p>
        </w:tc>
        <w:tc>
          <w:tcPr>
            <w:tcW w:type="dxa" w:w="2635"/>
          </w:tcPr>
          <w:p>
            <w:r>
              <w:rPr>
                <w:sz w:val="16"/>
              </w:rPr>
              <w:t>Ministero dell'Ambiente e della Sicurezza Energetica (MASE) / Regione Puglia</w:t>
            </w:r>
          </w:p>
        </w:tc>
        <w:tc>
          <w:tcPr>
            <w:tcW w:type="dxa" w:w="2635"/>
          </w:tcPr>
          <w:p>
            <w:r>
              <w:rPr>
                <w:sz w:val="16"/>
              </w:rPr>
              <w:t>Environmental Impact Assessment for new industrial installation</w:t>
            </w:r>
          </w:p>
        </w:tc>
        <w:tc>
          <w:tcPr>
            <w:tcW w:type="dxa" w:w="2635"/>
          </w:tcPr>
          <w:p>
            <w:r>
              <w:rPr>
                <w:sz w:val="16"/>
              </w:rPr>
              <w:t>12-18 months</w:t>
            </w:r>
          </w:p>
        </w:tc>
      </w:tr>
      <w:tr>
        <w:tc>
          <w:tcPr>
            <w:tcW w:type="dxa" w:w="2635"/>
          </w:tcPr>
          <w:p>
            <w:r>
              <w:rPr>
                <w:sz w:val="16"/>
              </w:rPr>
              <w:t>AIA (Autorizzazione Integrata Ambientale)</w:t>
            </w:r>
          </w:p>
        </w:tc>
        <w:tc>
          <w:tcPr>
            <w:tcW w:type="dxa" w:w="2635"/>
          </w:tcPr>
          <w:p>
            <w:r>
              <w:rPr>
                <w:sz w:val="16"/>
              </w:rPr>
              <w:t>Regione Puglia</w:t>
            </w:r>
          </w:p>
        </w:tc>
        <w:tc>
          <w:tcPr>
            <w:tcW w:type="dxa" w:w="2635"/>
          </w:tcPr>
          <w:p>
            <w:r>
              <w:rPr>
                <w:sz w:val="16"/>
              </w:rPr>
              <w:t>Integrated Environmental Authorisation under Industrial Emissions Directive (IED)</w:t>
            </w:r>
          </w:p>
        </w:tc>
        <w:tc>
          <w:tcPr>
            <w:tcW w:type="dxa" w:w="2635"/>
          </w:tcPr>
          <w:p>
            <w:r>
              <w:rPr>
                <w:sz w:val="16"/>
              </w:rPr>
              <w:t>6-12 months (may run in parallel with VIA)</w:t>
            </w:r>
          </w:p>
        </w:tc>
      </w:tr>
      <w:tr>
        <w:tc>
          <w:tcPr>
            <w:tcW w:type="dxa" w:w="2635"/>
          </w:tcPr>
          <w:p>
            <w:r>
              <w:rPr>
                <w:sz w:val="16"/>
              </w:rPr>
              <w:t>Permesso di Costruire</w:t>
            </w:r>
          </w:p>
        </w:tc>
        <w:tc>
          <w:tcPr>
            <w:tcW w:type="dxa" w:w="2635"/>
          </w:tcPr>
          <w:p>
            <w:r>
              <w:rPr>
                <w:sz w:val="16"/>
              </w:rPr>
              <w:t>Comune di Brindisi</w:t>
            </w:r>
          </w:p>
        </w:tc>
        <w:tc>
          <w:tcPr>
            <w:tcW w:type="dxa" w:w="2635"/>
          </w:tcPr>
          <w:p>
            <w:r>
              <w:rPr>
                <w:sz w:val="16"/>
              </w:rPr>
              <w:t>Building permit for new construction and site modifications</w:t>
            </w:r>
          </w:p>
        </w:tc>
        <w:tc>
          <w:tcPr>
            <w:tcW w:type="dxa" w:w="2635"/>
          </w:tcPr>
          <w:p>
            <w:r>
              <w:rPr>
                <w:sz w:val="16"/>
              </w:rPr>
              <w:t>3-6 months</w:t>
            </w:r>
          </w:p>
        </w:tc>
      </w:tr>
      <w:tr>
        <w:tc>
          <w:tcPr>
            <w:tcW w:type="dxa" w:w="2635"/>
          </w:tcPr>
          <w:p>
            <w:r>
              <w:rPr>
                <w:sz w:val="16"/>
              </w:rPr>
              <w:t>Certificato di Prevenzione Incendi</w:t>
            </w:r>
          </w:p>
        </w:tc>
        <w:tc>
          <w:tcPr>
            <w:tcW w:type="dxa" w:w="2635"/>
          </w:tcPr>
          <w:p>
            <w:r>
              <w:rPr>
                <w:sz w:val="16"/>
              </w:rPr>
              <w:t>Vigili del Fuoco</w:t>
            </w:r>
          </w:p>
        </w:tc>
        <w:tc>
          <w:tcPr>
            <w:tcW w:type="dxa" w:w="2635"/>
          </w:tcPr>
          <w:p>
            <w:r>
              <w:rPr>
                <w:sz w:val="16"/>
              </w:rPr>
              <w:t>Fire safety certification</w:t>
            </w:r>
          </w:p>
        </w:tc>
        <w:tc>
          <w:tcPr>
            <w:tcW w:type="dxa" w:w="2635"/>
          </w:tcPr>
          <w:p>
            <w:r>
              <w:rPr>
                <w:sz w:val="16"/>
              </w:rPr>
              <w:t>2-4 months</w:t>
            </w:r>
          </w:p>
        </w:tc>
      </w:tr>
      <w:tr>
        <w:tc>
          <w:tcPr>
            <w:tcW w:type="dxa" w:w="2635"/>
          </w:tcPr>
          <w:p>
            <w:r>
              <w:rPr>
                <w:sz w:val="16"/>
              </w:rPr>
              <w:t>Autorizzazione emissioni in atmosfera</w:t>
            </w:r>
          </w:p>
        </w:tc>
        <w:tc>
          <w:tcPr>
            <w:tcW w:type="dxa" w:w="2635"/>
          </w:tcPr>
          <w:p>
            <w:r>
              <w:rPr>
                <w:sz w:val="16"/>
              </w:rPr>
              <w:t>Regione Puglia / ARPA</w:t>
            </w:r>
          </w:p>
        </w:tc>
        <w:tc>
          <w:tcPr>
            <w:tcW w:type="dxa" w:w="2635"/>
          </w:tcPr>
          <w:p>
            <w:r>
              <w:rPr>
                <w:sz w:val="16"/>
              </w:rPr>
              <w:t>Atmospheric emission permit (limited scope -- electrified plant has minimal process emissions)</w:t>
            </w:r>
          </w:p>
        </w:tc>
        <w:tc>
          <w:tcPr>
            <w:tcW w:type="dxa" w:w="2635"/>
          </w:tcPr>
          <w:p>
            <w:r>
              <w:rPr>
                <w:sz w:val="16"/>
              </w:rPr>
              <w:t>Included in AIA</w:t>
            </w:r>
          </w:p>
        </w:tc>
      </w:tr>
    </w:tbl>
    <w:p>
      <w:r>
        <w:rPr>
          <w:sz w:val="18"/>
        </w:rPr>
        <w:t>Permitting applications (VIA, AIA, building permits) have been filed and are in process. The brownfield site is undergoing remediation (cleanup in progress). Eni's established relationship with Brindisi local authorities, based on decades of industrial operations, supports the permitting timeline.</w:t>
      </w:r>
    </w:p>
    <w:p>
      <w:r>
        <w:rPr>
          <w:b/>
          <w:sz w:val="18"/>
        </w:rPr>
        <w:t>Permitting mitigation strategy</w:t>
      </w:r>
      <w:r>
        <w:rPr>
          <w:sz w:val="18"/>
        </w:rPr>
        <w:t>:</w:t>
      </w:r>
    </w:p>
    <w:p>
      <w:pPr>
        <w:pStyle w:val="ListBullet"/>
      </w:pPr>
      <w:r>
        <w:rPr>
          <w:sz w:val="18"/>
        </w:rPr>
        <w:t>Early engagement with Regione Puglia and MASE permitting authorities</w:t>
      </w:r>
    </w:p>
    <w:p>
      <w:pPr>
        <w:pStyle w:val="ListBullet"/>
      </w:pPr>
      <w:r>
        <w:rPr>
          <w:sz w:val="18"/>
        </w:rPr>
        <w:t>Leverage Eni's decades-long relationship with Brindisi local authorities</w:t>
      </w:r>
    </w:p>
    <w:p>
      <w:pPr>
        <w:pStyle w:val="ListBullet"/>
      </w:pPr>
      <w:r>
        <w:rPr>
          <w:sz w:val="18"/>
        </w:rPr>
        <w:t>Engage experienced Italian environmental permitting consultants (e.g., ERM, Arcadis)</w:t>
      </w:r>
    </w:p>
    <w:p>
      <w:pPr>
        <w:pStyle w:val="ListBullet"/>
      </w:pPr>
      <w:r>
        <w:rPr>
          <w:sz w:val="18"/>
        </w:rPr>
        <w:t>The electrified process significantly simplifies the atmospheric emissions component of the AIA (no combustion emissions, no NOx/SOx/particulate from gas firing)</w:t>
      </w:r>
    </w:p>
    <w:p>
      <w:pPr>
        <w:pStyle w:val="ListBullet"/>
      </w:pPr>
      <w:r>
        <w:rPr>
          <w:sz w:val="18"/>
        </w:rPr>
        <w:t>Schedule buffer of 3 months between expected permit receipt and construction start</w:t>
      </w:r>
    </w:p>
    <w:p>
      <w:pPr>
        <w:pStyle w:val="Heading3"/>
      </w:pPr>
      <w:r>
        <w:t>3.5 Intellectual Property Strategy</w:t>
      </w:r>
    </w:p>
    <w:p>
      <w:r>
        <w:rPr>
          <w:b/>
          <w:sz w:val="18"/>
        </w:rPr>
        <w:t>Background IP</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Partner</w:t>
            </w:r>
          </w:p>
        </w:tc>
        <w:tc>
          <w:tcPr>
            <w:tcW w:type="dxa" w:w="3513"/>
          </w:tcPr>
          <w:p>
            <w:r>
              <w:rPr>
                <w:b/>
                <w:sz w:val="16"/>
              </w:rPr>
              <w:t>Background IP</w:t>
            </w:r>
          </w:p>
        </w:tc>
        <w:tc>
          <w:tcPr>
            <w:tcW w:type="dxa" w:w="3513"/>
          </w:tcPr>
          <w:p>
            <w:r>
              <w:rPr>
                <w:b/>
                <w:sz w:val="16"/>
              </w:rPr>
              <w:t>Licensing</w:t>
            </w:r>
          </w:p>
        </w:tc>
      </w:tr>
      <w:tr>
        <w:tc>
          <w:tcPr>
            <w:tcW w:type="dxa" w:w="3513"/>
          </w:tcPr>
          <w:p>
            <w:r>
              <w:rPr>
                <w:sz w:val="16"/>
              </w:rPr>
              <w:t>FIB (FAAM)</w:t>
            </w:r>
          </w:p>
        </w:tc>
        <w:tc>
          <w:tcPr>
            <w:tcW w:type="dxa" w:w="3513"/>
          </w:tcPr>
          <w:p>
            <w:r>
              <w:rPr>
                <w:sz w:val="16"/>
              </w:rPr>
              <w:t>Battery manufacturing know-how; cell assembly and testing protocols; quality management systems</w:t>
            </w:r>
          </w:p>
        </w:tc>
        <w:tc>
          <w:tcPr>
            <w:tcW w:type="dxa" w:w="3513"/>
          </w:tcPr>
          <w:p>
            <w:r>
              <w:rPr>
                <w:sz w:val="16"/>
              </w:rPr>
              <w:t>Contributed to project under consortium agreement; no royalties</w:t>
            </w:r>
          </w:p>
        </w:tc>
      </w:tr>
      <w:tr>
        <w:tc>
          <w:tcPr>
            <w:tcW w:type="dxa" w:w="3513"/>
          </w:tcPr>
          <w:p>
            <w:r>
              <w:rPr>
                <w:sz w:val="16"/>
              </w:rPr>
              <w:t>Eni</w:t>
            </w:r>
          </w:p>
        </w:tc>
        <w:tc>
          <w:tcPr>
            <w:tcW w:type="dxa" w:w="3513"/>
          </w:tcPr>
          <w:p>
            <w:r>
              <w:rPr>
                <w:sz w:val="16"/>
              </w:rPr>
              <w:t>Process engineering expertise; brownfield site engineering; energy systems design; industrial digitalisation capabilities</w:t>
            </w:r>
          </w:p>
        </w:tc>
        <w:tc>
          <w:tcPr>
            <w:tcW w:type="dxa" w:w="3513"/>
          </w:tcPr>
          <w:p>
            <w:r>
              <w:rPr>
                <w:sz w:val="16"/>
              </w:rPr>
              <w:t>Contributed to project under consortium agreement; no royalties</w:t>
            </w:r>
          </w:p>
        </w:tc>
      </w:tr>
    </w:tbl>
    <w:p>
      <w:r>
        <w:rPr>
          <w:sz w:val="18"/>
        </w:rPr>
        <w:t xml:space="preserve">Neither FIB/FAAM nor Eni holds active patents in LFP CAM synthesis, process equipment, or digital twin manufacturing </w:t>
      </w:r>
      <w:r>
        <w:rPr>
          <w:color w:val="0066CC"/>
          <w:sz w:val="16"/>
        </w:rPr>
        <w:t>[CLM-015]</w:t>
      </w:r>
      <w:r>
        <w:rPr>
          <w:sz w:val="18"/>
        </w:rPr>
        <w:t xml:space="preserve">. FIB has secured a technology licensor — </w:t>
      </w:r>
      <w:r>
        <w:rPr>
          <w:b/>
          <w:color w:val="CC0000"/>
          <w:sz w:val="18"/>
        </w:rPr>
        <w:t>[TO BE COMPLETED: technology licensor name]</w:t>
      </w:r>
      <w:r>
        <w:rPr>
          <w:sz w:val="18"/>
        </w:rPr>
        <w:t xml:space="preserve"> — for the LFP CAM solid-state synthesis process, providing process know-how, recipe optimisation, and equipment specification support under a technology licence agreement. The licensor provides the process knowledge bridge from established industrial practice to the specific Brindisi plant configuration. Both consortium partners are technology acquirers in the CAM synthesis domain, which eliminates intra-consortium IP conflicts.</w:t>
      </w:r>
    </w:p>
    <w:p>
      <w:r>
        <w:rPr>
          <w:b/>
          <w:sz w:val="18"/>
        </w:rPr>
        <w:t>Foreground IP</w:t>
      </w:r>
      <w:r>
        <w:rPr>
          <w:sz w:val="18"/>
        </w:rPr>
        <w:t>:</w:t>
      </w:r>
    </w:p>
    <w:p>
      <w:r>
        <w:rPr>
          <w:sz w:val="18"/>
        </w:rPr>
        <w:t>The project will generate foreground IP in three domains:</w:t>
      </w:r>
    </w:p>
    <w:p>
      <w:pPr>
        <w:pStyle w:val="ListNumber"/>
      </w:pPr>
      <w:r>
        <w:rPr>
          <w:b/>
          <w:sz w:val="18"/>
        </w:rPr>
        <w:t>DT framework for CAM manufacturing (NOV-001)</w:t>
      </w:r>
      <w:r>
        <w:rPr>
          <w:sz w:val="18"/>
        </w:rPr>
        <w:t xml:space="preserve">: The ISO 23247-compliant DT architecture, multi-scale model library, sensor fusion algorithms, and MPC control strategies. This represents the core patent-filing opportunity. A patent application covering the novel combination of ISO 23247 architecture with multi-scale physics-based modelling for real-time process control in chemical powder manufacturing is planned </w:t>
      </w:r>
      <w:r>
        <w:rPr>
          <w:color w:val="0066CC"/>
          <w:sz w:val="16"/>
        </w:rPr>
        <w:t>[CLM-014]</w:t>
      </w:r>
      <w:r>
        <w:rPr>
          <w:sz w:val="18"/>
        </w:rPr>
        <w:t>.</w:t>
      </w:r>
    </w:p>
    <w:p>
      <w:pPr>
        <w:pStyle w:val="ListNumber"/>
      </w:pPr>
      <w:r>
        <w:rPr>
          <w:b/>
          <w:sz w:val="18"/>
        </w:rPr>
        <w:t>Electrified LFP CAM process parameters (NOV-002)</w:t>
      </w:r>
      <w:r>
        <w:rPr>
          <w:sz w:val="18"/>
        </w:rPr>
        <w:t>: The specific process parameter sets (temperature profiles, atmosphere control, spray drying conditions) optimised for electrified equipment. These constitute trade secrets rather than patentable inventions, protected through confidentiality agreements.</w:t>
      </w:r>
    </w:p>
    <w:p>
      <w:pPr>
        <w:pStyle w:val="ListNumber"/>
      </w:pPr>
      <w:r>
        <w:rPr>
          <w:b/>
          <w:sz w:val="18"/>
        </w:rPr>
        <w:t>PAT methodology for LFP (NOV-005)</w:t>
      </w:r>
      <w:r>
        <w:rPr>
          <w:sz w:val="18"/>
        </w:rPr>
        <w:t>: The CQA-CPP mapping, sensor deployment strategy, and design space definition for LFP CAM manufacturing. Publication strategy: peer-reviewed papers in journals such as Journal of Power Sources and Batteries to establish scientific priority, with key implementation details retained as know-how.</w:t>
      </w:r>
    </w:p>
    <w:p>
      <w:r>
        <w:rPr>
          <w:b/>
          <w:sz w:val="18"/>
        </w:rPr>
        <w:t>Freedom-to-operate assessment</w:t>
      </w:r>
      <w:r>
        <w:rPr>
          <w:sz w:val="18"/>
        </w:rPr>
        <w:t xml:space="preserve">: Medium overall </w:t>
      </w:r>
      <w:r>
        <w:rPr>
          <w:color w:val="0066CC"/>
          <w:sz w:val="16"/>
        </w:rPr>
        <w:t>[CLM-014]</w:t>
      </w:r>
      <w:r>
        <w:rPr>
          <w:sz w:val="18"/>
        </w:rPr>
        <w:t>. The core DT + electrification combination occupies a patent white space with no blocking IP identified. Manageable risks include: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Patent</w:t>
            </w:r>
          </w:p>
        </w:tc>
        <w:tc>
          <w:tcPr>
            <w:tcW w:type="dxa" w:w="2635"/>
          </w:tcPr>
          <w:p>
            <w:r>
              <w:rPr>
                <w:b/>
                <w:sz w:val="16"/>
              </w:rPr>
              <w:t>Assignee</w:t>
            </w:r>
          </w:p>
        </w:tc>
        <w:tc>
          <w:tcPr>
            <w:tcW w:type="dxa" w:w="2635"/>
          </w:tcPr>
          <w:p>
            <w:r>
              <w:rPr>
                <w:b/>
                <w:sz w:val="16"/>
              </w:rPr>
              <w:t>Risk Level</w:t>
            </w:r>
          </w:p>
        </w:tc>
        <w:tc>
          <w:tcPr>
            <w:tcW w:type="dxa" w:w="2635"/>
          </w:tcPr>
          <w:p>
            <w:r>
              <w:rPr>
                <w:b/>
                <w:sz w:val="16"/>
              </w:rPr>
              <w:t>Mitigation</w:t>
            </w:r>
          </w:p>
        </w:tc>
      </w:tr>
      <w:tr>
        <w:tc>
          <w:tcPr>
            <w:tcW w:type="dxa" w:w="2635"/>
          </w:tcPr>
          <w:p>
            <w:r>
              <w:rPr>
                <w:sz w:val="16"/>
              </w:rPr>
              <w:t>EP2360117B1</w:t>
            </w:r>
          </w:p>
        </w:tc>
        <w:tc>
          <w:tcPr>
            <w:tcW w:type="dxa" w:w="2635"/>
          </w:tcPr>
          <w:p>
            <w:r>
              <w:rPr>
                <w:sz w:val="16"/>
              </w:rPr>
              <w:t>LG Chem</w:t>
            </w:r>
          </w:p>
        </w:tc>
        <w:tc>
          <w:tcPr>
            <w:tcW w:type="dxa" w:w="2635"/>
          </w:tcPr>
          <w:p>
            <w:r>
              <w:rPr>
                <w:sz w:val="16"/>
              </w:rPr>
              <w:t>Medium</w:t>
            </w:r>
          </w:p>
        </w:tc>
        <w:tc>
          <w:tcPr>
            <w:tcW w:type="dxa" w:w="2635"/>
          </w:tcPr>
          <w:p>
            <w:r>
              <w:rPr>
                <w:sz w:val="16"/>
              </w:rPr>
              <w:t>Active EU patent on LFP morphology (D50 5-100 um). Expires ~2029. Product specification review to ensure non-infringement.</w:t>
            </w:r>
          </w:p>
        </w:tc>
      </w:tr>
      <w:tr>
        <w:tc>
          <w:tcPr>
            <w:tcW w:type="dxa" w:w="2635"/>
          </w:tcPr>
          <w:p>
            <w:r>
              <w:rPr>
                <w:sz w:val="16"/>
              </w:rPr>
              <w:t>EP4222563A4</w:t>
            </w:r>
          </w:p>
        </w:tc>
        <w:tc>
          <w:tcPr>
            <w:tcW w:type="dxa" w:w="2635"/>
          </w:tcPr>
          <w:p>
            <w:r>
              <w:rPr>
                <w:sz w:val="16"/>
              </w:rPr>
              <w:t>AspenTech</w:t>
            </w:r>
          </w:p>
        </w:tc>
        <w:tc>
          <w:tcPr>
            <w:tcW w:type="dxa" w:w="2635"/>
          </w:tcPr>
          <w:p>
            <w:r>
              <w:rPr>
                <w:sz w:val="16"/>
              </w:rPr>
              <w:t>Medium</w:t>
            </w:r>
          </w:p>
        </w:tc>
        <w:tc>
          <w:tcPr>
            <w:tcW w:type="dxa" w:w="2635"/>
          </w:tcPr>
          <w:p>
            <w:r>
              <w:rPr>
                <w:sz w:val="16"/>
              </w:rPr>
              <w:t>Industrial DT architecture patent. If AspenTech platform is used, licensed automatically.</w:t>
            </w:r>
          </w:p>
        </w:tc>
      </w:tr>
      <w:tr>
        <w:tc>
          <w:tcPr>
            <w:tcW w:type="dxa" w:w="2635"/>
          </w:tcPr>
          <w:p>
            <w:r>
              <w:rPr>
                <w:sz w:val="16"/>
              </w:rPr>
              <w:t>US20230261188</w:t>
            </w:r>
          </w:p>
        </w:tc>
        <w:tc>
          <w:tcPr>
            <w:tcW w:type="dxa" w:w="2635"/>
          </w:tcPr>
          <w:p>
            <w:r>
              <w:rPr>
                <w:sz w:val="16"/>
              </w:rPr>
              <w:t>Mitra Future Tech</w:t>
            </w:r>
          </w:p>
        </w:tc>
        <w:tc>
          <w:tcPr>
            <w:tcW w:type="dxa" w:w="2635"/>
          </w:tcPr>
          <w:p>
            <w:r>
              <w:rPr>
                <w:sz w:val="16"/>
              </w:rPr>
              <w:t>Low</w:t>
            </w:r>
          </w:p>
        </w:tc>
        <w:tc>
          <w:tcPr>
            <w:tcW w:type="dxa" w:w="2635"/>
          </w:tcPr>
          <w:p>
            <w:r>
              <w:rPr>
                <w:sz w:val="16"/>
              </w:rPr>
              <w:t>Pending, covers R&amp;D workflow not in-line process control.</w:t>
            </w:r>
          </w:p>
        </w:tc>
      </w:tr>
    </w:tbl>
    <w:p>
      <w:r>
        <w:rPr>
          <w:b/>
          <w:color w:val="CC0000"/>
          <w:sz w:val="18"/>
        </w:rPr>
        <w:t>[TO BE COMPLETED: A comprehensive Chinese-language CNIPA patent search is recommended to assess the IP position of CATL, BYD, Gotion, and Dynanonic. English-language searches do not adequately cover Chinese patent filings in this domain.]</w:t>
      </w:r>
    </w:p>
    <w:p>
      <w:r>
        <w:rPr>
          <w:b/>
          <w:sz w:val="18"/>
        </w:rPr>
        <w:t>Confidentiality provisions</w:t>
      </w:r>
      <w:r>
        <w:rPr>
          <w:sz w:val="18"/>
        </w:rPr>
        <w:t>: The consortium agreement establishes mutual NDA obligations between FIB and Eni, with specific provisions for: (i) background IP protection; (ii) foreground IP ownership (inventor institution owns, partner receives royalty-free licence for project purposes); (iii) publication approval process (30-day review period for patentability assessment); and (iv) post-project exploitation rights.</w:t>
      </w:r>
    </w:p>
    <w:p>
      <w:pPr>
        <w:pStyle w:val="Heading3"/>
      </w:pPr>
      <w:r>
        <w:t>3.6 Public Acceptance</w:t>
      </w:r>
    </w:p>
    <w:p>
      <w:r>
        <w:rPr>
          <w:sz w:val="18"/>
        </w:rPr>
        <w:t>The project benefits from strong public acceptance conditions:</w:t>
      </w:r>
    </w:p>
    <w:p>
      <w:pPr>
        <w:pStyle w:val="ListBullet"/>
      </w:pPr>
      <w:r>
        <w:rPr>
          <w:b/>
          <w:sz w:val="18"/>
        </w:rPr>
        <w:t>Industrial zoning</w:t>
      </w:r>
      <w:r>
        <w:rPr>
          <w:sz w:val="18"/>
        </w:rPr>
        <w:t>: The Brindisi site is located in an established industrial zone, remote from residential areas, eliminating NIMBY concerns.</w:t>
      </w:r>
    </w:p>
    <w:p>
      <w:pPr>
        <w:pStyle w:val="ListBullet"/>
      </w:pPr>
      <w:r>
        <w:rPr>
          <w:b/>
          <w:sz w:val="18"/>
        </w:rPr>
        <w:t>Job creation</w:t>
      </w:r>
      <w:r>
        <w:rPr>
          <w:sz w:val="18"/>
        </w:rPr>
        <w:t>: The plant creates direct manufacturing employment in a Puglia convergence region with above-average unemployment, aligned with EU Cohesion Policy objectives.</w:t>
      </w:r>
    </w:p>
    <w:p>
      <w:pPr>
        <w:pStyle w:val="ListBullet"/>
      </w:pPr>
      <w:r>
        <w:rPr>
          <w:b/>
          <w:sz w:val="18"/>
        </w:rPr>
        <w:t>Clean-tech narrative</w:t>
      </w:r>
      <w:r>
        <w:rPr>
          <w:sz w:val="18"/>
        </w:rPr>
        <w:t>: The conversion of a fossil fuel site to clean-tech battery material manufacturing is positively received by local and regional stakeholders as a tangible example of just energy transition.</w:t>
      </w:r>
    </w:p>
    <w:p>
      <w:pPr>
        <w:pStyle w:val="ListBullet"/>
      </w:pPr>
      <w:r>
        <w:rPr>
          <w:b/>
          <w:sz w:val="18"/>
        </w:rPr>
        <w:t>No hazardous emissions</w:t>
      </w:r>
      <w:r>
        <w:rPr>
          <w:sz w:val="18"/>
        </w:rPr>
        <w:t>: The electrified process eliminates combustion-related emissions (NOx, SOx, PM). Process off-gases (CO2 from carbonate decomposition, water vapour) are captured and treated through standard industrial scrubbing.</w:t>
      </w:r>
    </w:p>
    <w:p>
      <w:pPr>
        <w:pStyle w:val="Heading3"/>
      </w:pPr>
      <w:r>
        <w:t>3.7 Environmental Impacts Throughout the Lifecycle</w:t>
      </w:r>
    </w:p>
    <w:p>
      <w:r>
        <w:rPr>
          <w:b/>
          <w:sz w:val="18"/>
        </w:rPr>
        <w:t>Construction phase</w:t>
      </w:r>
      <w:r>
        <w:rPr>
          <w:sz w:val="18"/>
        </w:rPr>
        <w:t>: Standard industrial construction impacts (noise, dust, vehicle movements) mitigated through construction management plan. Brownfield site reduces land-use change impact.</w:t>
      </w:r>
    </w:p>
    <w:p>
      <w:r>
        <w:rPr>
          <w:b/>
          <w:sz w:val="18"/>
        </w:rPr>
        <w:t>Operational phase</w:t>
      </w:r>
      <w:r>
        <w:rPr>
          <w:sz w:val="18"/>
        </w:rPr>
        <w:t>:</w:t>
      </w:r>
    </w:p>
    <w:p>
      <w:pPr>
        <w:pStyle w:val="ListBullet"/>
      </w:pPr>
      <w:r>
        <w:rPr>
          <w:sz w:val="18"/>
        </w:rPr>
        <w:t>No on-site combustion emissions (electrified process)</w:t>
      </w:r>
    </w:p>
    <w:p>
      <w:pPr>
        <w:pStyle w:val="ListBullet"/>
      </w:pPr>
      <w:r>
        <w:rPr>
          <w:sz w:val="18"/>
        </w:rPr>
        <w:t>Process CO2 from Li2CO3 decomposition during calcination (stoichiometric, ~0.28 t CO2 per t LFP CAM)</w:t>
      </w:r>
    </w:p>
    <w:p>
      <w:pPr>
        <w:pStyle w:val="ListBullet"/>
      </w:pPr>
      <w:r>
        <w:rPr>
          <w:sz w:val="18"/>
        </w:rPr>
        <w:t>N2 gas consumption for inert atmosphere (recycled via closed-loop system with scrubbing)</w:t>
      </w:r>
    </w:p>
    <w:p>
      <w:pPr>
        <w:pStyle w:val="ListBullet"/>
      </w:pPr>
      <w:r>
        <w:rPr>
          <w:sz w:val="18"/>
        </w:rPr>
        <w:t>Water consumption for slurry preparation (recycled via spray dryer condensate recovery)</w:t>
      </w:r>
    </w:p>
    <w:p>
      <w:pPr>
        <w:pStyle w:val="ListBullet"/>
      </w:pPr>
      <w:r>
        <w:rPr>
          <w:sz w:val="18"/>
        </w:rPr>
        <w:t>Solid waste: off-specification product (recycled to precursor stage), spent grinding media (metal recycling), filter media (industrial waste disposal)</w:t>
      </w:r>
    </w:p>
    <w:p>
      <w:r>
        <w:rPr>
          <w:b/>
          <w:sz w:val="18"/>
        </w:rPr>
        <w:t>End-of-life phase</w:t>
      </w:r>
      <w:r>
        <w:rPr>
          <w:sz w:val="18"/>
        </w:rPr>
        <w:t>: Plant equipment is standard industrial equipment with established decommissioning and recycling pathways. No hazardous legacy comparable to petrochemical operations.</w:t>
      </w:r>
    </w:p>
    <w:p>
      <w:r>
        <w:rPr>
          <w:sz w:val="18"/>
        </w:rPr>
        <w:t>---</w:t>
      </w:r>
    </w:p>
    <w:p>
      <w:pPr>
        <w:pStyle w:val="Heading2"/>
      </w:pPr>
      <w:r>
        <w:t>4. Objectives</w:t>
      </w:r>
    </w:p>
    <w:p>
      <w:r>
        <w:rPr>
          <w:sz w:val="18"/>
        </w:rPr>
        <w:t>The FACE project pursues five SMART objectives that collectively define the technical, environmental, and commercial success criteria:</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Objective</w:t>
            </w:r>
          </w:p>
        </w:tc>
        <w:tc>
          <w:tcPr>
            <w:tcW w:type="dxa" w:w="1757"/>
          </w:tcPr>
          <w:p>
            <w:r>
              <w:rPr>
                <w:b/>
                <w:sz w:val="16"/>
              </w:rPr>
              <w:t>Metric</w:t>
            </w:r>
          </w:p>
        </w:tc>
        <w:tc>
          <w:tcPr>
            <w:tcW w:type="dxa" w:w="1757"/>
          </w:tcPr>
          <w:p>
            <w:r>
              <w:rPr>
                <w:b/>
                <w:sz w:val="16"/>
              </w:rPr>
              <w:t>Target</w:t>
            </w:r>
          </w:p>
        </w:tc>
        <w:tc>
          <w:tcPr>
            <w:tcW w:type="dxa" w:w="1757"/>
          </w:tcPr>
          <w:p>
            <w:r>
              <w:rPr>
                <w:b/>
                <w:sz w:val="16"/>
              </w:rPr>
              <w:t>Timeline</w:t>
            </w:r>
          </w:p>
        </w:tc>
        <w:tc>
          <w:tcPr>
            <w:tcW w:type="dxa" w:w="1757"/>
          </w:tcPr>
          <w:p>
            <w:r>
              <w:rPr>
                <w:b/>
                <w:sz w:val="16"/>
              </w:rPr>
              <w:t>Verification</w:t>
            </w:r>
          </w:p>
        </w:tc>
      </w:tr>
      <w:tr>
        <w:tc>
          <w:tcPr>
            <w:tcW w:type="dxa" w:w="1757"/>
          </w:tcPr>
          <w:p>
            <w:r>
              <w:rPr>
                <w:sz w:val="16"/>
              </w:rPr>
              <w:t>O1</w:t>
            </w:r>
          </w:p>
        </w:tc>
        <w:tc>
          <w:tcPr>
            <w:tcW w:type="dxa" w:w="1757"/>
          </w:tcPr>
          <w:p>
            <w:r>
              <w:rPr>
                <w:sz w:val="16"/>
              </w:rPr>
              <w:t>Commission the first electrified LFP CAM production line in Italy</w:t>
            </w:r>
          </w:p>
        </w:tc>
        <w:tc>
          <w:tcPr>
            <w:tcW w:type="dxa" w:w="1757"/>
          </w:tcPr>
          <w:p>
            <w:r>
              <w:rPr>
                <w:sz w:val="16"/>
              </w:rPr>
              <w:t>Entry into Operation (EiO)</w:t>
            </w:r>
          </w:p>
        </w:tc>
        <w:tc>
          <w:tcPr>
            <w:tcW w:type="dxa" w:w="1757"/>
          </w:tcPr>
          <w:p>
            <w:r>
              <w:rPr>
                <w:sz w:val="16"/>
              </w:rPr>
              <w:t>Operational plant producing saleable product</w:t>
            </w:r>
          </w:p>
        </w:tc>
        <w:tc>
          <w:tcPr>
            <w:tcW w:type="dxa" w:w="1757"/>
          </w:tcPr>
          <w:p>
            <w:r>
              <w:rPr>
                <w:sz w:val="16"/>
              </w:rPr>
              <w:t>M48 (4 years from grant agreement)</w:t>
            </w:r>
          </w:p>
        </w:tc>
        <w:tc>
          <w:tcPr>
            <w:tcW w:type="dxa" w:w="1757"/>
          </w:tcPr>
          <w:p>
            <w:r>
              <w:rPr>
                <w:sz w:val="16"/>
              </w:rPr>
              <w:t>Independent third-party commissioning verification</w:t>
            </w:r>
          </w:p>
        </w:tc>
      </w:tr>
      <w:tr>
        <w:tc>
          <w:tcPr>
            <w:tcW w:type="dxa" w:w="1757"/>
          </w:tcPr>
          <w:p>
            <w:r>
              <w:rPr>
                <w:sz w:val="16"/>
              </w:rPr>
              <w:t>O2</w:t>
            </w:r>
          </w:p>
        </w:tc>
        <w:tc>
          <w:tcPr>
            <w:tcW w:type="dxa" w:w="1757"/>
          </w:tcPr>
          <w:p>
            <w:r>
              <w:rPr>
                <w:sz w:val="16"/>
              </w:rPr>
              <w:t>Deploy an ISO 23247-compliant digital twin achieving real-time process control</w:t>
            </w:r>
          </w:p>
        </w:tc>
        <w:tc>
          <w:tcPr>
            <w:tcW w:type="dxa" w:w="1757"/>
          </w:tcPr>
          <w:p>
            <w:r>
              <w:rPr>
                <w:sz w:val="16"/>
              </w:rPr>
              <w:t>DT latency: sensor-to-prediction</w:t>
            </w:r>
          </w:p>
        </w:tc>
        <w:tc>
          <w:tcPr>
            <w:tcW w:type="dxa" w:w="1757"/>
          </w:tcPr>
          <w:p>
            <w:r>
              <w:rPr>
                <w:sz w:val="16"/>
              </w:rPr>
              <w:t>&lt;1 second at edge nodes; &lt;5 second prediction-to-actuation for all MPC loops</w:t>
            </w:r>
          </w:p>
        </w:tc>
        <w:tc>
          <w:tcPr>
            <w:tcW w:type="dxa" w:w="1757"/>
          </w:tcPr>
          <w:p>
            <w:r>
              <w:rPr>
                <w:sz w:val="16"/>
              </w:rPr>
              <w:t>M42 (DT operational before full plant EiO)</w:t>
            </w:r>
          </w:p>
        </w:tc>
        <w:tc>
          <w:tcPr>
            <w:tcW w:type="dxa" w:w="1757"/>
          </w:tcPr>
          <w:p>
            <w:r>
              <w:rPr>
                <w:sz w:val="16"/>
              </w:rPr>
              <w:t>Performance testing against ISO 23247 conformance criteria</w:t>
            </w:r>
          </w:p>
        </w:tc>
      </w:tr>
      <w:tr>
        <w:tc>
          <w:tcPr>
            <w:tcW w:type="dxa" w:w="1757"/>
          </w:tcPr>
          <w:p>
            <w:r>
              <w:rPr>
                <w:sz w:val="16"/>
              </w:rPr>
              <w:t>O3</w:t>
            </w:r>
          </w:p>
        </w:tc>
        <w:tc>
          <w:tcPr>
            <w:tcW w:type="dxa" w:w="1757"/>
          </w:tcPr>
          <w:p>
            <w:r>
              <w:rPr>
                <w:sz w:val="16"/>
              </w:rPr>
              <w:t>Demonstrate &gt;=50% relative GHG emission avoidance versus gas-fired reference</w:t>
            </w:r>
          </w:p>
        </w:tc>
        <w:tc>
          <w:tcPr>
            <w:tcW w:type="dxa" w:w="1757"/>
          </w:tcPr>
          <w:p>
            <w:r>
              <w:rPr>
                <w:sz w:val="16"/>
              </w:rPr>
              <w:t>Relative GHG avoidance (Innovation Fund methodology)</w:t>
            </w:r>
          </w:p>
        </w:tc>
        <w:tc>
          <w:tcPr>
            <w:tcW w:type="dxa" w:w="1757"/>
          </w:tcPr>
          <w:p>
            <w:r>
              <w:rPr>
                <w:sz w:val="16"/>
              </w:rPr>
              <w:t>&gt;=50% by Year 1 of operation (using projected grid intensity at EiO)</w:t>
            </w:r>
          </w:p>
        </w:tc>
        <w:tc>
          <w:tcPr>
            <w:tcW w:type="dxa" w:w="1757"/>
          </w:tcPr>
          <w:p>
            <w:r>
              <w:rPr>
                <w:sz w:val="16"/>
              </w:rPr>
              <w:t>Year 1 post-EiO (verified annually)</w:t>
            </w:r>
          </w:p>
        </w:tc>
        <w:tc>
          <w:tcPr>
            <w:tcW w:type="dxa" w:w="1757"/>
          </w:tcPr>
          <w:p>
            <w:r>
              <w:rPr>
                <w:sz w:val="16"/>
              </w:rPr>
              <w:t>Innovation Fund GHG calculator; third-party LCA verification</w:t>
            </w:r>
          </w:p>
        </w:tc>
      </w:tr>
      <w:tr>
        <w:tc>
          <w:tcPr>
            <w:tcW w:type="dxa" w:w="1757"/>
          </w:tcPr>
          <w:p>
            <w:r>
              <w:rPr>
                <w:sz w:val="16"/>
              </w:rPr>
              <w:t>O4</w:t>
            </w:r>
          </w:p>
        </w:tc>
        <w:tc>
          <w:tcPr>
            <w:tcW w:type="dxa" w:w="1757"/>
          </w:tcPr>
          <w:p>
            <w:r>
              <w:rPr>
                <w:sz w:val="16"/>
              </w:rPr>
              <w:t>Achieve product quality meeting battery-grade CQA specifications</w:t>
            </w:r>
          </w:p>
        </w:tc>
        <w:tc>
          <w:tcPr>
            <w:tcW w:type="dxa" w:w="1757"/>
          </w:tcPr>
          <w:p>
            <w:r>
              <w:rPr>
                <w:sz w:val="16"/>
              </w:rPr>
              <w:t>CQA compliance rate</w:t>
            </w:r>
          </w:p>
        </w:tc>
        <w:tc>
          <w:tcPr>
            <w:tcW w:type="dxa" w:w="1757"/>
          </w:tcPr>
          <w:p>
            <w:r>
              <w:rPr>
                <w:sz w:val="16"/>
              </w:rPr>
              <w:t>D50 0.7-2.5 um, capacity &gt;155 mAh/g, phase purity &gt;98% -- &gt;=95% batch compliance</w:t>
            </w:r>
          </w:p>
        </w:tc>
        <w:tc>
          <w:tcPr>
            <w:tcW w:type="dxa" w:w="1757"/>
          </w:tcPr>
          <w:p>
            <w:r>
              <w:rPr>
                <w:sz w:val="16"/>
              </w:rPr>
              <w:t>M54 (6 months post-EiO)</w:t>
            </w:r>
          </w:p>
        </w:tc>
        <w:tc>
          <w:tcPr>
            <w:tcW w:type="dxa" w:w="1757"/>
          </w:tcPr>
          <w:p>
            <w:r>
              <w:rPr>
                <w:sz w:val="16"/>
              </w:rPr>
              <w:t>Statistical process capability analysis (Cpk &gt; 1.33 for all CQAs)</w:t>
            </w:r>
          </w:p>
        </w:tc>
      </w:tr>
      <w:tr>
        <w:tc>
          <w:tcPr>
            <w:tcW w:type="dxa" w:w="1757"/>
          </w:tcPr>
          <w:p>
            <w:r>
              <w:rPr>
                <w:sz w:val="16"/>
              </w:rPr>
              <w:t>O5</w:t>
            </w:r>
          </w:p>
        </w:tc>
        <w:tc>
          <w:tcPr>
            <w:tcW w:type="dxa" w:w="1757"/>
          </w:tcPr>
          <w:p>
            <w:r>
              <w:rPr>
                <w:sz w:val="16"/>
              </w:rPr>
              <w:t>Reduce batch-to-batch variability by &gt;=40% through DT-enabled closed-loop control</w:t>
            </w:r>
          </w:p>
        </w:tc>
        <w:tc>
          <w:tcPr>
            <w:tcW w:type="dxa" w:w="1757"/>
          </w:tcPr>
          <w:p>
            <w:r>
              <w:rPr>
                <w:sz w:val="16"/>
              </w:rPr>
              <w:t>Coefficient of variation (CV) of key CQAs (D50, capacity, phase purity)</w:t>
            </w:r>
          </w:p>
        </w:tc>
        <w:tc>
          <w:tcPr>
            <w:tcW w:type="dxa" w:w="1757"/>
          </w:tcPr>
          <w:p>
            <w:r>
              <w:rPr>
                <w:sz w:val="16"/>
              </w:rPr>
              <w:t>CV reduction &gt;=40% versus open-loop baseline</w:t>
            </w:r>
          </w:p>
        </w:tc>
        <w:tc>
          <w:tcPr>
            <w:tcW w:type="dxa" w:w="1757"/>
          </w:tcPr>
          <w:p>
            <w:r>
              <w:rPr>
                <w:sz w:val="16"/>
              </w:rPr>
              <w:t>Year 2 of operation</w:t>
            </w:r>
          </w:p>
        </w:tc>
        <w:tc>
          <w:tcPr>
            <w:tcW w:type="dxa" w:w="1757"/>
          </w:tcPr>
          <w:p>
            <w:r>
              <w:rPr>
                <w:sz w:val="16"/>
              </w:rPr>
              <w:t>Statistical comparison: first 6 months (open-loop baseline) vs Year 2 (DT-optimised)</w:t>
            </w:r>
          </w:p>
        </w:tc>
      </w:tr>
    </w:tbl>
    <w:p>
      <w:r>
        <w:rPr>
          <w:sz w:val="18"/>
        </w:rPr>
        <w:t>These objectives are consistent with the Innovation Fund scoring criteria: O1 addresses project maturity (EiO within 4 years for bonus points); O3 directly addresses the GHG emission avoidance criterion (&gt;=50% minimum); O4 and O5 address innovation impact and product quality; and O2 provides the technical enabler for O4 and O5.</w:t>
      </w:r>
    </w:p>
    <w:p>
      <w:r>
        <w:rPr>
          <w:sz w:val="18"/>
        </w:rPr>
        <w:t>---</w:t>
      </w:r>
    </w:p>
    <w:p>
      <w:pPr>
        <w:pStyle w:val="Heading2"/>
      </w:pPr>
      <w:r>
        <w:t>5. Resources and Feedstock Availability</w:t>
      </w:r>
    </w:p>
    <w:p>
      <w:pPr>
        <w:pStyle w:val="Heading3"/>
      </w:pPr>
      <w:r>
        <w:t>5.1 Supply Chain Analysis</w:t>
      </w:r>
    </w:p>
    <w:p>
      <w:pPr>
        <w:pStyle w:val="Heading4"/>
      </w:pPr>
      <w:r>
        <w:t>5.1.1 Raw Material Requirements</w:t>
      </w:r>
    </w:p>
    <w:p>
      <w:r>
        <w:rPr>
          <w:sz w:val="18"/>
        </w:rPr>
        <w:t>The solid-state LFP synthesis route requires three primary precursors plus process utilities: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Material</w:t>
            </w:r>
          </w:p>
        </w:tc>
        <w:tc>
          <w:tcPr>
            <w:tcW w:type="dxa" w:w="2108"/>
          </w:tcPr>
          <w:p>
            <w:r>
              <w:rPr>
                <w:b/>
                <w:sz w:val="16"/>
              </w:rPr>
              <w:t>Function</w:t>
            </w:r>
          </w:p>
        </w:tc>
        <w:tc>
          <w:tcPr>
            <w:tcW w:type="dxa" w:w="2108"/>
          </w:tcPr>
          <w:p>
            <w:r>
              <w:rPr>
                <w:b/>
                <w:sz w:val="16"/>
              </w:rPr>
              <w:t>Quantity per t LFP CAM</w:t>
            </w:r>
          </w:p>
        </w:tc>
        <w:tc>
          <w:tcPr>
            <w:tcW w:type="dxa" w:w="2108"/>
          </w:tcPr>
          <w:p>
            <w:r>
              <w:rPr>
                <w:b/>
                <w:sz w:val="16"/>
              </w:rPr>
              <w:t>Annual at 50 kton/yr</w:t>
            </w:r>
          </w:p>
        </w:tc>
        <w:tc>
          <w:tcPr>
            <w:tcW w:type="dxa" w:w="2108"/>
          </w:tcPr>
          <w:p>
            <w:r>
              <w:rPr>
                <w:b/>
                <w:sz w:val="16"/>
              </w:rPr>
              <w:t>Supply Category</w:t>
            </w:r>
          </w:p>
        </w:tc>
      </w:tr>
      <w:tr>
        <w:tc>
          <w:tcPr>
            <w:tcW w:type="dxa" w:w="2108"/>
          </w:tcPr>
          <w:p>
            <w:r>
              <w:rPr>
                <w:sz w:val="16"/>
              </w:rPr>
              <w:t>Iron phosphate (FePO4)</w:t>
            </w:r>
          </w:p>
        </w:tc>
        <w:tc>
          <w:tcPr>
            <w:tcW w:type="dxa" w:w="2108"/>
          </w:tcPr>
          <w:p>
            <w:r>
              <w:rPr>
                <w:sz w:val="16"/>
              </w:rPr>
              <w:t>Iron and phosphorus source</w:t>
            </w:r>
          </w:p>
        </w:tc>
        <w:tc>
          <w:tcPr>
            <w:tcW w:type="dxa" w:w="2108"/>
          </w:tcPr>
          <w:p>
            <w:r>
              <w:rPr>
                <w:sz w:val="16"/>
              </w:rPr>
              <w:t>0.98 t</w:t>
            </w:r>
          </w:p>
        </w:tc>
        <w:tc>
          <w:tcPr>
            <w:tcW w:type="dxa" w:w="2108"/>
          </w:tcPr>
          <w:p>
            <w:r>
              <w:rPr>
                <w:sz w:val="16"/>
              </w:rPr>
              <w:t>49,000 t</w:t>
            </w:r>
          </w:p>
        </w:tc>
        <w:tc>
          <w:tcPr>
            <w:tcW w:type="dxa" w:w="2108"/>
          </w:tcPr>
          <w:p>
            <w:r>
              <w:rPr>
                <w:sz w:val="16"/>
              </w:rPr>
              <w:t>Commodity industrial chemical</w:t>
            </w:r>
          </w:p>
        </w:tc>
      </w:tr>
      <w:tr>
        <w:tc>
          <w:tcPr>
            <w:tcW w:type="dxa" w:w="2108"/>
          </w:tcPr>
          <w:p>
            <w:r>
              <w:rPr>
                <w:sz w:val="16"/>
              </w:rPr>
              <w:t>Lithium carbonate (Li2CO3)</w:t>
            </w:r>
          </w:p>
        </w:tc>
        <w:tc>
          <w:tcPr>
            <w:tcW w:type="dxa" w:w="2108"/>
          </w:tcPr>
          <w:p>
            <w:r>
              <w:rPr>
                <w:sz w:val="16"/>
              </w:rPr>
              <w:t>Lithium source</w:t>
            </w:r>
          </w:p>
        </w:tc>
        <w:tc>
          <w:tcPr>
            <w:tcW w:type="dxa" w:w="2108"/>
          </w:tcPr>
          <w:p>
            <w:r>
              <w:rPr>
                <w:sz w:val="16"/>
              </w:rPr>
              <w:t>0.25 t</w:t>
            </w:r>
          </w:p>
        </w:tc>
        <w:tc>
          <w:tcPr>
            <w:tcW w:type="dxa" w:w="2108"/>
          </w:tcPr>
          <w:p>
            <w:r>
              <w:rPr>
                <w:sz w:val="16"/>
              </w:rPr>
              <w:t>12,500 t</w:t>
            </w:r>
          </w:p>
        </w:tc>
        <w:tc>
          <w:tcPr>
            <w:tcW w:type="dxa" w:w="2108"/>
          </w:tcPr>
          <w:p>
            <w:r>
              <w:rPr>
                <w:sz w:val="16"/>
              </w:rPr>
              <w:t>Critical raw material</w:t>
            </w:r>
          </w:p>
        </w:tc>
      </w:tr>
      <w:tr>
        <w:tc>
          <w:tcPr>
            <w:tcW w:type="dxa" w:w="2108"/>
          </w:tcPr>
          <w:p>
            <w:r>
              <w:rPr>
                <w:sz w:val="16"/>
              </w:rPr>
              <w:t>Glucose (C6H12O6)</w:t>
            </w:r>
          </w:p>
        </w:tc>
        <w:tc>
          <w:tcPr>
            <w:tcW w:type="dxa" w:w="2108"/>
          </w:tcPr>
          <w:p>
            <w:r>
              <w:rPr>
                <w:sz w:val="16"/>
              </w:rPr>
              <w:t>Carbon source for in-situ coating</w:t>
            </w:r>
          </w:p>
        </w:tc>
        <w:tc>
          <w:tcPr>
            <w:tcW w:type="dxa" w:w="2108"/>
          </w:tcPr>
          <w:p>
            <w:r>
              <w:rPr>
                <w:sz w:val="16"/>
              </w:rPr>
              <w:t>0.010 t (10 kg)</w:t>
            </w:r>
          </w:p>
        </w:tc>
        <w:tc>
          <w:tcPr>
            <w:tcW w:type="dxa" w:w="2108"/>
          </w:tcPr>
          <w:p>
            <w:r>
              <w:rPr>
                <w:sz w:val="16"/>
              </w:rPr>
              <w:t>500 t</w:t>
            </w:r>
          </w:p>
        </w:tc>
        <w:tc>
          <w:tcPr>
            <w:tcW w:type="dxa" w:w="2108"/>
          </w:tcPr>
          <w:p>
            <w:r>
              <w:rPr>
                <w:sz w:val="16"/>
              </w:rPr>
              <w:t>Food-grade commodity</w:t>
            </w:r>
          </w:p>
        </w:tc>
      </w:tr>
      <w:tr>
        <w:tc>
          <w:tcPr>
            <w:tcW w:type="dxa" w:w="2108"/>
          </w:tcPr>
          <w:p>
            <w:r>
              <w:rPr>
                <w:sz w:val="16"/>
              </w:rPr>
              <w:t>TiO2</w:t>
            </w:r>
          </w:p>
        </w:tc>
        <w:tc>
          <w:tcPr>
            <w:tcW w:type="dxa" w:w="2108"/>
          </w:tcPr>
          <w:p>
            <w:r>
              <w:rPr>
                <w:sz w:val="16"/>
              </w:rPr>
              <w:t>Doping/coating additive</w:t>
            </w:r>
          </w:p>
        </w:tc>
        <w:tc>
          <w:tcPr>
            <w:tcW w:type="dxa" w:w="2108"/>
          </w:tcPr>
          <w:p>
            <w:r>
              <w:rPr>
                <w:sz w:val="16"/>
              </w:rPr>
              <w:t>0.008 t (8 kg)</w:t>
            </w:r>
          </w:p>
        </w:tc>
        <w:tc>
          <w:tcPr>
            <w:tcW w:type="dxa" w:w="2108"/>
          </w:tcPr>
          <w:p>
            <w:r>
              <w:rPr>
                <w:sz w:val="16"/>
              </w:rPr>
              <w:t>400 t</w:t>
            </w:r>
          </w:p>
        </w:tc>
        <w:tc>
          <w:tcPr>
            <w:tcW w:type="dxa" w:w="2108"/>
          </w:tcPr>
          <w:p>
            <w:r>
              <w:rPr>
                <w:sz w:val="16"/>
              </w:rPr>
              <w:t>Commodity chemical</w:t>
            </w:r>
          </w:p>
        </w:tc>
      </w:tr>
      <w:tr>
        <w:tc>
          <w:tcPr>
            <w:tcW w:type="dxa" w:w="2108"/>
          </w:tcPr>
          <w:p>
            <w:r>
              <w:rPr>
                <w:sz w:val="16"/>
              </w:rPr>
              <w:t>H3PO4</w:t>
            </w:r>
          </w:p>
        </w:tc>
        <w:tc>
          <w:tcPr>
            <w:tcW w:type="dxa" w:w="2108"/>
          </w:tcPr>
          <w:p>
            <w:r>
              <w:rPr>
                <w:sz w:val="16"/>
              </w:rPr>
              <w:t>Supplementary phosphorus source</w:t>
            </w:r>
          </w:p>
        </w:tc>
        <w:tc>
          <w:tcPr>
            <w:tcW w:type="dxa" w:w="2108"/>
          </w:tcPr>
          <w:p>
            <w:r>
              <w:rPr>
                <w:sz w:val="16"/>
              </w:rPr>
              <w:t>0.006 t (6 kg)</w:t>
            </w:r>
          </w:p>
        </w:tc>
        <w:tc>
          <w:tcPr>
            <w:tcW w:type="dxa" w:w="2108"/>
          </w:tcPr>
          <w:p>
            <w:r>
              <w:rPr>
                <w:sz w:val="16"/>
              </w:rPr>
              <w:t>300 t</w:t>
            </w:r>
          </w:p>
        </w:tc>
        <w:tc>
          <w:tcPr>
            <w:tcW w:type="dxa" w:w="2108"/>
          </w:tcPr>
          <w:p>
            <w:r>
              <w:rPr>
                <w:sz w:val="16"/>
              </w:rPr>
              <w:t>Commodity chemical</w:t>
            </w:r>
          </w:p>
        </w:tc>
      </w:tr>
      <w:tr>
        <w:tc>
          <w:tcPr>
            <w:tcW w:type="dxa" w:w="2108"/>
          </w:tcPr>
          <w:p>
            <w:r>
              <w:rPr>
                <w:sz w:val="16"/>
              </w:rPr>
              <w:t>Nitrogen gas (N2)</w:t>
            </w:r>
          </w:p>
        </w:tc>
        <w:tc>
          <w:tcPr>
            <w:tcW w:type="dxa" w:w="2108"/>
          </w:tcPr>
          <w:p>
            <w:r>
              <w:rPr>
                <w:sz w:val="16"/>
              </w:rPr>
              <w:t>Inert atmosphere for calcination</w:t>
            </w:r>
          </w:p>
        </w:tc>
        <w:tc>
          <w:tcPr>
            <w:tcW w:type="dxa" w:w="2108"/>
          </w:tcPr>
          <w:p>
            <w:r>
              <w:rPr>
                <w:sz w:val="16"/>
              </w:rPr>
              <w:t>850 m3</w:t>
            </w:r>
          </w:p>
        </w:tc>
        <w:tc>
          <w:tcPr>
            <w:tcW w:type="dxa" w:w="2108"/>
          </w:tcPr>
          <w:p>
            <w:r>
              <w:rPr>
                <w:sz w:val="16"/>
              </w:rPr>
              <w:t>42,500,000 m3</w:t>
            </w:r>
          </w:p>
        </w:tc>
        <w:tc>
          <w:tcPr>
            <w:tcW w:type="dxa" w:w="2108"/>
          </w:tcPr>
          <w:p>
            <w:r>
              <w:rPr>
                <w:sz w:val="16"/>
              </w:rPr>
              <w:t>Industrial gas</w:t>
            </w:r>
          </w:p>
        </w:tc>
      </w:tr>
      <w:tr>
        <w:tc>
          <w:tcPr>
            <w:tcW w:type="dxa" w:w="2108"/>
          </w:tcPr>
          <w:p>
            <w:r>
              <w:rPr>
                <w:sz w:val="16"/>
              </w:rPr>
              <w:t>Production water</w:t>
            </w:r>
          </w:p>
        </w:tc>
        <w:tc>
          <w:tcPr>
            <w:tcW w:type="dxa" w:w="2108"/>
          </w:tcPr>
          <w:p>
            <w:r>
              <w:rPr>
                <w:sz w:val="16"/>
              </w:rPr>
              <w:t>Slurry preparation and process</w:t>
            </w:r>
          </w:p>
        </w:tc>
        <w:tc>
          <w:tcPr>
            <w:tcW w:type="dxa" w:w="2108"/>
          </w:tcPr>
          <w:p>
            <w:r>
              <w:rPr>
                <w:sz w:val="16"/>
              </w:rPr>
              <w:t>4 t</w:t>
            </w:r>
          </w:p>
        </w:tc>
        <w:tc>
          <w:tcPr>
            <w:tcW w:type="dxa" w:w="2108"/>
          </w:tcPr>
          <w:p>
            <w:r>
              <w:rPr>
                <w:sz w:val="16"/>
              </w:rPr>
              <w:t>200,000 t</w:t>
            </w:r>
          </w:p>
        </w:tc>
        <w:tc>
          <w:tcPr>
            <w:tcW w:type="dxa" w:w="2108"/>
          </w:tcPr>
          <w:p>
            <w:r>
              <w:rPr>
                <w:sz w:val="16"/>
              </w:rPr>
              <w:t>On-site treatment</w:t>
            </w:r>
          </w:p>
        </w:tc>
      </w:tr>
      <w:tr>
        <w:tc>
          <w:tcPr>
            <w:tcW w:type="dxa" w:w="2108"/>
          </w:tcPr>
          <w:p>
            <w:r>
              <w:rPr>
                <w:sz w:val="16"/>
              </w:rPr>
              <w:t>Pure water</w:t>
            </w:r>
          </w:p>
        </w:tc>
        <w:tc>
          <w:tcPr>
            <w:tcW w:type="dxa" w:w="2108"/>
          </w:tcPr>
          <w:p>
            <w:r>
              <w:rPr>
                <w:sz w:val="16"/>
              </w:rPr>
              <w:t>High-purity process applications</w:t>
            </w:r>
          </w:p>
        </w:tc>
        <w:tc>
          <w:tcPr>
            <w:tcW w:type="dxa" w:w="2108"/>
          </w:tcPr>
          <w:p>
            <w:r>
              <w:rPr>
                <w:sz w:val="16"/>
              </w:rPr>
              <w:t>5 t</w:t>
            </w:r>
          </w:p>
        </w:tc>
        <w:tc>
          <w:tcPr>
            <w:tcW w:type="dxa" w:w="2108"/>
          </w:tcPr>
          <w:p>
            <w:r>
              <w:rPr>
                <w:sz w:val="16"/>
              </w:rPr>
              <w:t>250,000 t</w:t>
            </w:r>
          </w:p>
        </w:tc>
        <w:tc>
          <w:tcPr>
            <w:tcW w:type="dxa" w:w="2108"/>
          </w:tcPr>
          <w:p>
            <w:r>
              <w:rPr>
                <w:sz w:val="16"/>
              </w:rPr>
              <w:t>On-site treatment</w:t>
            </w:r>
          </w:p>
        </w:tc>
      </w:tr>
      <w:tr>
        <w:tc>
          <w:tcPr>
            <w:tcW w:type="dxa" w:w="2108"/>
          </w:tcPr>
          <w:p>
            <w:r>
              <w:rPr>
                <w:sz w:val="16"/>
              </w:rPr>
              <w:t>Electricity</w:t>
            </w:r>
          </w:p>
        </w:tc>
        <w:tc>
          <w:tcPr>
            <w:tcW w:type="dxa" w:w="2108"/>
          </w:tcPr>
          <w:p>
            <w:r>
              <w:rPr>
                <w:sz w:val="16"/>
              </w:rPr>
              <w:t>Process heat + milling + utilities</w:t>
            </w:r>
          </w:p>
        </w:tc>
        <w:tc>
          <w:tcPr>
            <w:tcW w:type="dxa" w:w="2108"/>
          </w:tcPr>
          <w:p>
            <w:r>
              <w:rPr>
                <w:sz w:val="16"/>
              </w:rPr>
              <w:t>3,580 kWh</w:t>
            </w:r>
          </w:p>
        </w:tc>
        <w:tc>
          <w:tcPr>
            <w:tcW w:type="dxa" w:w="2108"/>
          </w:tcPr>
          <w:p>
            <w:r>
              <w:rPr>
                <w:sz w:val="16"/>
              </w:rPr>
              <w:t>179,000 MWh</w:t>
            </w:r>
          </w:p>
        </w:tc>
        <w:tc>
          <w:tcPr>
            <w:tcW w:type="dxa" w:w="2108"/>
          </w:tcPr>
          <w:p>
            <w:r>
              <w:rPr>
                <w:sz w:val="16"/>
              </w:rPr>
              <w:t>Grid + PPA</w:t>
            </w:r>
          </w:p>
        </w:tc>
      </w:tr>
      <w:tr>
        <w:tc>
          <w:tcPr>
            <w:tcW w:type="dxa" w:w="2108"/>
          </w:tcPr>
          <w:p>
            <w:r>
              <w:rPr>
                <w:sz w:val="16"/>
              </w:rPr>
              <w:t>Natural gas</w:t>
            </w:r>
          </w:p>
        </w:tc>
        <w:tc>
          <w:tcPr>
            <w:tcW w:type="dxa" w:w="2108"/>
          </w:tcPr>
          <w:p>
            <w:r>
              <w:rPr>
                <w:sz w:val="16"/>
              </w:rPr>
              <w:t>Auxiliary heating (spray drying, calcination)</w:t>
            </w:r>
          </w:p>
        </w:tc>
        <w:tc>
          <w:tcPr>
            <w:tcW w:type="dxa" w:w="2108"/>
          </w:tcPr>
          <w:p>
            <w:r>
              <w:rPr>
                <w:sz w:val="16"/>
              </w:rPr>
              <w:t>189 m3</w:t>
            </w:r>
          </w:p>
        </w:tc>
        <w:tc>
          <w:tcPr>
            <w:tcW w:type="dxa" w:w="2108"/>
          </w:tcPr>
          <w:p>
            <w:r>
              <w:rPr>
                <w:sz w:val="16"/>
              </w:rPr>
              <w:t>9,450,000 m3</w:t>
            </w:r>
          </w:p>
        </w:tc>
        <w:tc>
          <w:tcPr>
            <w:tcW w:type="dxa" w:w="2108"/>
          </w:tcPr>
          <w:p>
            <w:r>
              <w:rPr>
                <w:sz w:val="16"/>
              </w:rPr>
              <w:t>Pipeline/LNG</w:t>
            </w:r>
          </w:p>
        </w:tc>
      </w:tr>
    </w:tbl>
    <w:p>
      <w:pPr>
        <w:pStyle w:val="Heading4"/>
      </w:pPr>
      <w:r>
        <w:t>5.1.2 Iron Phosphate (FePO4) Supply</w:t>
      </w:r>
    </w:p>
    <w:p>
      <w:r>
        <w:rPr>
          <w:sz w:val="18"/>
        </w:rPr>
        <w:t>Iron phosphate is produced globally through the reaction of iron salts (FeSO4, FeCl2) with phosphoric acid or sodium phosphate. The supply base is concentrated in China but with growing non-Chinese capacity:</w:t>
      </w:r>
    </w:p>
    <w:p>
      <w:pPr>
        <w:pStyle w:val="ListBullet"/>
      </w:pPr>
      <w:r>
        <w:rPr>
          <w:b/>
          <w:sz w:val="18"/>
        </w:rPr>
        <w:t>Chinese suppliers</w:t>
      </w:r>
      <w:r>
        <w:rPr>
          <w:sz w:val="18"/>
        </w:rPr>
        <w:t>: Largest global capacity. Multiple Tier-1 suppliers (Guizhou Anda, Yunnan Copper) with established export channels.</w:t>
      </w:r>
    </w:p>
    <w:p>
      <w:pPr>
        <w:pStyle w:val="ListBullet"/>
      </w:pPr>
      <w:r>
        <w:rPr>
          <w:b/>
          <w:sz w:val="18"/>
        </w:rPr>
        <w:t>European suppliers</w:t>
      </w:r>
      <w:r>
        <w:rPr>
          <w:sz w:val="18"/>
        </w:rPr>
        <w:t>: Limited current capacity. Chemical companies such as Budenheim (Germany) and Prayon (Belgium) produce iron phosphate for food and pharmaceutical applications; battery-grade specifications may require qualification.</w:t>
      </w:r>
    </w:p>
    <w:p>
      <w:pPr>
        <w:pStyle w:val="ListBullet"/>
      </w:pPr>
      <w:r>
        <w:rPr>
          <w:b/>
          <w:sz w:val="18"/>
        </w:rPr>
        <w:t>Diversification strategy</w:t>
      </w:r>
      <w:r>
        <w:rPr>
          <w:sz w:val="18"/>
        </w:rPr>
        <w:t>: Dual-sourcing from at least one Chinese and one non-Chinese supplier, with strategic inventory buffer (minimum 3 months).</w:t>
      </w:r>
    </w:p>
    <w:p>
      <w:r>
        <w:rPr>
          <w:b/>
          <w:color w:val="CC0000"/>
          <w:sz w:val="18"/>
        </w:rPr>
        <w:t>[TO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r>
    </w:p>
    <w:p>
      <w:pPr>
        <w:pStyle w:val="Heading4"/>
      </w:pPr>
      <w:r>
        <w:t>5.1.3 Lithium Carbonate (Li2CO3) Supply</w:t>
      </w:r>
    </w:p>
    <w:p>
      <w:r>
        <w:rPr>
          <w:sz w:val="18"/>
        </w:rPr>
        <w:t>Lithium carbonate is classified as a critical raw material under the EU Critical Raw Materials Act (CRMA). The global supply is dominated by Australia (spodumene mining) and South America (brine extraction), with Chinese conversion capacity controlling a large share of refined lithium carbonate production.</w:t>
      </w:r>
    </w:p>
    <w:p>
      <w:r>
        <w:rPr>
          <w:b/>
          <w:sz w:val="18"/>
        </w:rPr>
        <w:t>Procurement strategy</w:t>
      </w:r>
      <w:r>
        <w:rPr>
          <w:sz w:val="18"/>
        </w:rPr>
        <w:t>:</w:t>
      </w:r>
    </w:p>
    <w:p>
      <w:pPr>
        <w:pStyle w:val="ListBullet"/>
      </w:pPr>
      <w:r>
        <w:rPr>
          <w:sz w:val="18"/>
        </w:rPr>
        <w:t>Primary sourcing from established lithium producers with European trading operations (Albemarle, SQM, Pilbara Minerals via offtake)</w:t>
      </w:r>
    </w:p>
    <w:p>
      <w:pPr>
        <w:pStyle w:val="ListBullet"/>
      </w:pPr>
      <w:r>
        <w:rPr>
          <w:sz w:val="18"/>
        </w:rPr>
        <w:t>EU sourcing option: European lithium projects in development (Vulcan Energy in Germany, Imerys in France, Savannah Resources in Portugal) may provide domestic supply by 2028-2030</w:t>
      </w:r>
    </w:p>
    <w:p>
      <w:pPr>
        <w:pStyle w:val="ListBullet"/>
      </w:pPr>
      <w:r>
        <w:rPr>
          <w:sz w:val="18"/>
        </w:rPr>
        <w:t>Spot market access as backup through LME lithium carbonate contract (launched 2023)</w:t>
      </w:r>
    </w:p>
    <w:p>
      <w:pPr>
        <w:pStyle w:val="ListBullet"/>
      </w:pPr>
      <w:r>
        <w:rPr>
          <w:sz w:val="18"/>
        </w:rPr>
        <w:t>Strategic inventory: minimum 3 months of lithium carbonate buffer stock</w:t>
      </w:r>
    </w:p>
    <w:p>
      <w:pPr>
        <w:pStyle w:val="ListBullet"/>
      </w:pPr>
      <w:r>
        <w:rPr>
          <w:sz w:val="18"/>
        </w:rPr>
        <w:t>Price hedging: forward contracts or financial hedging where commercially available</w:t>
      </w:r>
    </w:p>
    <w:p>
      <w:r>
        <w:rPr>
          <w:b/>
          <w:color w:val="CC0000"/>
          <w:sz w:val="18"/>
        </w:rPr>
        <w:t>[TO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r>
    </w:p>
    <w:p>
      <w:pPr>
        <w:pStyle w:val="Heading4"/>
      </w:pPr>
      <w:r>
        <w:t>5.1.4 Glucose</w:t>
      </w:r>
    </w:p>
    <w:p>
      <w:r>
        <w:rPr>
          <w:sz w:val="18"/>
        </w:rPr>
        <w:t>Glucose is a food-grade commodity chemical produced from corn or wheat starch hydrolysis. Supply is abundant, globally diversified, and price-stable. European suppliers include Cargill, Roquette, and Tereos. No supply chain risk is identified.</w:t>
      </w:r>
    </w:p>
    <w:p>
      <w:pPr>
        <w:pStyle w:val="Heading4"/>
      </w:pPr>
      <w:r>
        <w:t>5.1.5 Nitrogen Gas</w:t>
      </w:r>
    </w:p>
    <w:p>
      <w:r>
        <w:rPr>
          <w:sz w:val="18"/>
        </w:rPr>
        <w:t>High-purity nitrogen (&gt;99.99%) is required for the inert calcination atmosphere. Supply options:</w:t>
      </w:r>
    </w:p>
    <w:p>
      <w:pPr>
        <w:pStyle w:val="ListBullet"/>
      </w:pPr>
      <w:r>
        <w:rPr>
          <w:b/>
          <w:sz w:val="18"/>
        </w:rPr>
        <w:t>On-site PSA (Pressure Swing Adsorption) generator</w:t>
      </w:r>
      <w:r>
        <w:rPr>
          <w:sz w:val="18"/>
        </w:rPr>
        <w:t>: Produces N2 from compressed air at &gt;99.5% purity. Preferred for large-volume continuous demand. CAPEX ~EUR 200-500k depending on capacity. Operating cost ~EUR 0.03-0.05/Nm3.</w:t>
      </w:r>
    </w:p>
    <w:p>
      <w:pPr>
        <w:pStyle w:val="ListBullet"/>
      </w:pPr>
      <w:r>
        <w:rPr>
          <w:b/>
          <w:sz w:val="18"/>
        </w:rPr>
        <w:t>Bulk liquid N2 delivery</w:t>
      </w:r>
      <w:r>
        <w:rPr>
          <w:sz w:val="18"/>
        </w:rPr>
        <w:t>: From industrial gas suppliers (Air Liquide, Linde, SOL Group -- all with operations in southern Italy). Higher purity (&gt;99.999%) but higher operating cost (~EUR 0.10-0.20/Nm3).</w:t>
      </w:r>
    </w:p>
    <w:p>
      <w:pPr>
        <w:pStyle w:val="ListBullet"/>
      </w:pPr>
      <w:r>
        <w:rPr>
          <w:b/>
          <w:sz w:val="18"/>
        </w:rPr>
        <w:t>Hybrid approach</w:t>
      </w:r>
      <w:r>
        <w:rPr>
          <w:sz w:val="18"/>
        </w:rPr>
        <w:t>: On-site PSA for base load with bulk liquid top-up for peak demand and ultra-high-purity applications.</w:t>
      </w:r>
    </w:p>
    <w:p>
      <w:r>
        <w:rPr>
          <w:sz w:val="18"/>
        </w:rPr>
        <w:t xml:space="preserve">The production document specifies nitrogen consumption of 850 m3 per tonne of LFP CAM product (42,500,000 m3/yr at full 50 kton/yr capacity). </w:t>
      </w:r>
      <w:r>
        <w:rPr>
          <w:b/>
          <w:color w:val="CC0000"/>
          <w:sz w:val="18"/>
        </w:rPr>
        <w:t>[TO BE COMPLETED: The specific N2 supply configuration (on-site PSA vs bulk liquid vs hybrid) and cost must be confirmed by process engineering.]</w:t>
      </w:r>
    </w:p>
    <w:p>
      <w:pPr>
        <w:pStyle w:val="Heading4"/>
      </w:pPr>
      <w:r>
        <w:t>5.1.6 Electricity</w:t>
      </w:r>
    </w:p>
    <w:p>
      <w:r>
        <w:rPr>
          <w:sz w:val="18"/>
        </w:rPr>
        <w:t>Electricity is the primary energy input for the electrified plant, consumed across spray drying (~30-40% of total), calcination (~40-50%), milling (~10-15%), and auxiliaries (~5-10%).</w:t>
      </w:r>
    </w:p>
    <w:p>
      <w:r>
        <w:rPr>
          <w:b/>
          <w:sz w:val="18"/>
        </w:rPr>
        <w:t>Supply strategy</w:t>
      </w:r>
      <w:r>
        <w:rPr>
          <w:sz w:val="18"/>
        </w:rPr>
        <w:t>:</w:t>
      </w:r>
    </w:p>
    <w:p>
      <w:pPr>
        <w:pStyle w:val="ListBullet"/>
      </w:pPr>
      <w:r>
        <w:rPr>
          <w:sz w:val="18"/>
        </w:rPr>
        <w:t>Grid connection via Terna (Italian TSO) at high voltage. Existing grid infrastructure at the Eni Brindisi site provides adequate capacity.</w:t>
      </w:r>
    </w:p>
    <w:p>
      <w:pPr>
        <w:pStyle w:val="ListBullet"/>
      </w:pPr>
      <w:r>
        <w:rPr>
          <w:sz w:val="18"/>
        </w:rPr>
        <w:t>Long-term Power Purchase Agreement (PPA) with a renewable electricity provider to lock in costs and ensure low-carbon supply. Puglia's excellent solar irradiance (~1,700 kWh/m2/yr) supports competitive solar PPA pricing.</w:t>
      </w:r>
    </w:p>
    <w:p>
      <w:pPr>
        <w:pStyle w:val="ListBullet"/>
      </w:pPr>
      <w:r>
        <w:rPr>
          <w:sz w:val="18"/>
        </w:rPr>
        <w:t>Option for on-site photovoltaic capacity to partially self-supply and hedge against grid price volatility.</w:t>
      </w:r>
    </w:p>
    <w:p>
      <w:pPr>
        <w:pStyle w:val="ListBullet"/>
      </w:pPr>
      <w:r>
        <w:rPr>
          <w:sz w:val="18"/>
        </w:rPr>
        <w:t xml:space="preserve">The Italian grid carbon intensity is projected to decline from ~310 gCO2/kWh (2025) to ~146 gCO2/kWh (2030) under Italy's NECP targets </w:t>
      </w:r>
      <w:r>
        <w:rPr>
          <w:color w:val="0066CC"/>
          <w:sz w:val="16"/>
        </w:rPr>
        <w:t>[SRC-ED-016, SRC-ED-017]</w:t>
      </w:r>
      <w:r>
        <w:rPr>
          <w:sz w:val="18"/>
        </w:rPr>
        <w:t>. A PPA with certified renewable electricity (Guarantees of Origin) would reduce the Scope 2 emission factor to near zero.</w:t>
      </w:r>
    </w:p>
    <w:p>
      <w:pPr>
        <w:pStyle w:val="Heading3"/>
      </w:pPr>
      <w:r>
        <w:t>5.2 Value Chain Analysis</w:t>
      </w:r>
    </w:p>
    <w:p>
      <w:pPr>
        <w:pStyle w:val="Heading4"/>
      </w:pPr>
      <w:r>
        <w:t>5.2.1 Vertically Integrated Value Chain</w:t>
      </w:r>
    </w:p>
    <w:p>
      <w:r>
        <w:rPr>
          <w:sz w:val="18"/>
        </w:rPr>
        <w:t xml:space="preserve">The FACE project is the anchor of a </w:t>
      </w:r>
      <w:r>
        <w:rPr>
          <w:b/>
          <w:sz w:val="18"/>
        </w:rPr>
        <w:t>vertically integrated clean energy value chain</w:t>
      </w:r>
      <w:r>
        <w:rPr>
          <w:sz w:val="18"/>
        </w:rPr>
        <w:t xml:space="preserve"> that extends from raw material processing to grid-deployed energy storage within a single consortium and industrial site: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Stage</w:t>
            </w:r>
          </w:p>
        </w:tc>
        <w:tc>
          <w:tcPr>
            <w:tcW w:type="dxa" w:w="2635"/>
          </w:tcPr>
          <w:p>
            <w:r>
              <w:rPr>
                <w:b/>
                <w:sz w:val="16"/>
              </w:rPr>
              <w:t>Activity</w:t>
            </w:r>
          </w:p>
        </w:tc>
        <w:tc>
          <w:tcPr>
            <w:tcW w:type="dxa" w:w="2635"/>
          </w:tcPr>
          <w:p>
            <w:r>
              <w:rPr>
                <w:b/>
                <w:sz w:val="16"/>
              </w:rPr>
              <w:t>Entity</w:t>
            </w:r>
          </w:p>
        </w:tc>
        <w:tc>
          <w:tcPr>
            <w:tcW w:type="dxa" w:w="2635"/>
          </w:tcPr>
          <w:p>
            <w:r>
              <w:rPr>
                <w:b/>
                <w:sz w:val="16"/>
              </w:rPr>
              <w:t>Location</w:t>
            </w:r>
          </w:p>
        </w:tc>
      </w:tr>
      <w:tr>
        <w:tc>
          <w:tcPr>
            <w:tcW w:type="dxa" w:w="2635"/>
          </w:tcPr>
          <w:p>
            <w:r>
              <w:rPr>
                <w:sz w:val="16"/>
              </w:rPr>
              <w:t>**Raw materials**</w:t>
            </w:r>
          </w:p>
        </w:tc>
        <w:tc>
          <w:tcPr>
            <w:tcW w:type="dxa" w:w="2635"/>
          </w:tcPr>
          <w:p>
            <w:r>
              <w:rPr>
                <w:sz w:val="16"/>
              </w:rPr>
              <w:t>Precursor procurement (FePO4, Li2CO3, glucose) from EU and allied suppliers</w:t>
            </w:r>
          </w:p>
        </w:tc>
        <w:tc>
          <w:tcPr>
            <w:tcW w:type="dxa" w:w="2635"/>
          </w:tcPr>
          <w:p>
            <w:r>
              <w:rPr>
                <w:sz w:val="16"/>
              </w:rPr>
              <w:t>FIB procurement</w:t>
            </w:r>
          </w:p>
        </w:tc>
        <w:tc>
          <w:tcPr>
            <w:tcW w:type="dxa" w:w="2635"/>
          </w:tcPr>
          <w:p>
            <w:r>
              <w:rPr>
                <w:sz w:val="16"/>
              </w:rPr>
              <w:t>Global sourcing to Brindisi</w:t>
            </w:r>
          </w:p>
        </w:tc>
      </w:tr>
      <w:tr>
        <w:tc>
          <w:tcPr>
            <w:tcW w:type="dxa" w:w="2635"/>
          </w:tcPr>
          <w:p>
            <w:r>
              <w:rPr>
                <w:sz w:val="16"/>
              </w:rPr>
              <w:t>**CAM production**</w:t>
            </w:r>
          </w:p>
        </w:tc>
        <w:tc>
          <w:tcPr>
            <w:tcW w:type="dxa" w:w="2635"/>
          </w:tcPr>
          <w:p>
            <w:r>
              <w:rPr>
                <w:sz w:val="16"/>
              </w:rPr>
              <w:t>7-step solid-state LFP CAM synthesis (this project)</w:t>
            </w:r>
          </w:p>
        </w:tc>
        <w:tc>
          <w:tcPr>
            <w:tcW w:type="dxa" w:w="2635"/>
          </w:tcPr>
          <w:p>
            <w:r>
              <w:rPr>
                <w:sz w:val="16"/>
              </w:rPr>
              <w:t>FIB (FAAM)</w:t>
            </w:r>
          </w:p>
        </w:tc>
        <w:tc>
          <w:tcPr>
            <w:tcW w:type="dxa" w:w="2635"/>
          </w:tcPr>
          <w:p>
            <w:r>
              <w:rPr>
                <w:sz w:val="16"/>
              </w:rPr>
              <w:t>Brindisi, Eni site</w:t>
            </w:r>
          </w:p>
        </w:tc>
      </w:tr>
      <w:tr>
        <w:tc>
          <w:tcPr>
            <w:tcW w:type="dxa" w:w="2635"/>
          </w:tcPr>
          <w:p>
            <w:r>
              <w:rPr>
                <w:sz w:val="16"/>
              </w:rPr>
              <w:t>**Cell manufacturing**</w:t>
            </w:r>
          </w:p>
        </w:tc>
        <w:tc>
          <w:tcPr>
            <w:tcW w:type="dxa" w:w="2635"/>
          </w:tcPr>
          <w:p>
            <w:r>
              <w:rPr>
                <w:sz w:val="16"/>
              </w:rPr>
              <w:t>LFP CAM converted to battery cells</w:t>
            </w:r>
          </w:p>
        </w:tc>
        <w:tc>
          <w:tcPr>
            <w:tcW w:type="dxa" w:w="2635"/>
          </w:tcPr>
          <w:p>
            <w:r>
              <w:rPr>
                <w:sz w:val="16"/>
              </w:rPr>
              <w:t>FIB-Eni JV factory</w:t>
            </w:r>
          </w:p>
        </w:tc>
        <w:tc>
          <w:tcPr>
            <w:tcW w:type="dxa" w:w="2635"/>
          </w:tcPr>
          <w:p>
            <w:r>
              <w:rPr>
                <w:sz w:val="16"/>
              </w:rPr>
              <w:t>Brindisi, Eni site (co-located)</w:t>
            </w:r>
          </w:p>
        </w:tc>
      </w:tr>
      <w:tr>
        <w:tc>
          <w:tcPr>
            <w:tcW w:type="dxa" w:w="2635"/>
          </w:tcPr>
          <w:p>
            <w:r>
              <w:rPr>
                <w:sz w:val="16"/>
              </w:rPr>
              <w:t>**BESS assembly**</w:t>
            </w:r>
          </w:p>
        </w:tc>
        <w:tc>
          <w:tcPr>
            <w:tcW w:type="dxa" w:w="2635"/>
          </w:tcPr>
          <w:p>
            <w:r>
              <w:rPr>
                <w:sz w:val="16"/>
              </w:rPr>
              <w:t>Battery cells assembled into grid-scale BESS systems</w:t>
            </w:r>
          </w:p>
        </w:tc>
        <w:tc>
          <w:tcPr>
            <w:tcW w:type="dxa" w:w="2635"/>
          </w:tcPr>
          <w:p>
            <w:r>
              <w:rPr>
                <w:sz w:val="16"/>
              </w:rPr>
              <w:t>FIB-Eni JV factory</w:t>
            </w:r>
          </w:p>
        </w:tc>
        <w:tc>
          <w:tcPr>
            <w:tcW w:type="dxa" w:w="2635"/>
          </w:tcPr>
          <w:p>
            <w:r>
              <w:rPr>
                <w:sz w:val="16"/>
              </w:rPr>
              <w:t>Brindisi, Eni site (co-located)</w:t>
            </w:r>
          </w:p>
        </w:tc>
      </w:tr>
      <w:tr>
        <w:tc>
          <w:tcPr>
            <w:tcW w:type="dxa" w:w="2635"/>
          </w:tcPr>
          <w:p>
            <w:r>
              <w:rPr>
                <w:sz w:val="16"/>
              </w:rPr>
              <w:t>**Grid deployment**</w:t>
            </w:r>
          </w:p>
        </w:tc>
        <w:tc>
          <w:tcPr>
            <w:tcW w:type="dxa" w:w="2635"/>
          </w:tcPr>
          <w:p>
            <w:r>
              <w:rPr>
                <w:sz w:val="16"/>
              </w:rPr>
              <w:t>BESS deployed for Italian grid stabilisation and decarbonisation</w:t>
            </w:r>
          </w:p>
        </w:tc>
        <w:tc>
          <w:tcPr>
            <w:tcW w:type="dxa" w:w="2635"/>
          </w:tcPr>
          <w:p>
            <w:r>
              <w:rPr>
                <w:sz w:val="16"/>
              </w:rPr>
              <w:t>Eni</w:t>
            </w:r>
          </w:p>
        </w:tc>
        <w:tc>
          <w:tcPr>
            <w:tcW w:type="dxa" w:w="2635"/>
          </w:tcPr>
          <w:p>
            <w:r>
              <w:rPr>
                <w:sz w:val="16"/>
              </w:rPr>
              <w:t>Italian electricity grid</w:t>
            </w:r>
          </w:p>
        </w:tc>
      </w:tr>
    </w:tbl>
    <w:p>
      <w:r>
        <w:rPr>
          <w:sz w:val="18"/>
        </w:rPr>
        <w:t>This vertically integrated structure is unprecedented in the European battery sector. The co-located JV factory is the direct and guaranteed internal customer for the LFP CAM output, eliminating offtake risk and providing immediate quality feedback from cell manufacturing to CAM process optimisation.</w:t>
      </w:r>
    </w:p>
    <w:p>
      <w:pPr>
        <w:pStyle w:val="Heading4"/>
      </w:pPr>
      <w:r>
        <w:t>5.2.2 Primary Activities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Activity</w:t>
            </w:r>
          </w:p>
        </w:tc>
        <w:tc>
          <w:tcPr>
            <w:tcW w:type="dxa" w:w="3513"/>
          </w:tcPr>
          <w:p>
            <w:r>
              <w:rPr>
                <w:b/>
                <w:sz w:val="16"/>
              </w:rPr>
              <w:t>Description</w:t>
            </w:r>
          </w:p>
        </w:tc>
        <w:tc>
          <w:tcPr>
            <w:tcW w:type="dxa" w:w="3513"/>
          </w:tcPr>
          <w:p>
            <w:r>
              <w:rPr>
                <w:b/>
                <w:sz w:val="16"/>
              </w:rPr>
              <w:t>Value Creation</w:t>
            </w:r>
          </w:p>
        </w:tc>
      </w:tr>
      <w:tr>
        <w:tc>
          <w:tcPr>
            <w:tcW w:type="dxa" w:w="3513"/>
          </w:tcPr>
          <w:p>
            <w:r>
              <w:rPr>
                <w:sz w:val="16"/>
              </w:rPr>
              <w:t>**Inbound logistics**</w:t>
            </w:r>
          </w:p>
        </w:tc>
        <w:tc>
          <w:tcPr>
            <w:tcW w:type="dxa" w:w="3513"/>
          </w:tcPr>
          <w:p>
            <w:r>
              <w:rPr>
                <w:sz w:val="16"/>
              </w:rPr>
              <w:t>Precursor procurement, maritime/land transport to Brindisi, warehouse management</w:t>
            </w:r>
          </w:p>
        </w:tc>
        <w:tc>
          <w:tcPr>
            <w:tcW w:type="dxa" w:w="3513"/>
          </w:tcPr>
          <w:p>
            <w:r>
              <w:rPr>
                <w:sz w:val="16"/>
              </w:rPr>
              <w:t>EU-sourced where possible; reduced transport carbon vs Asian supply</w:t>
            </w:r>
          </w:p>
        </w:tc>
      </w:tr>
      <w:tr>
        <w:tc>
          <w:tcPr>
            <w:tcW w:type="dxa" w:w="3513"/>
          </w:tcPr>
          <w:p>
            <w:r>
              <w:rPr>
                <w:sz w:val="16"/>
              </w:rPr>
              <w:t>**CAM production**</w:t>
            </w:r>
          </w:p>
        </w:tc>
        <w:tc>
          <w:tcPr>
            <w:tcW w:type="dxa" w:w="3513"/>
          </w:tcPr>
          <w:p>
            <w:r>
              <w:rPr>
                <w:sz w:val="16"/>
              </w:rPr>
              <w:t>7-step solid-state synthesis: dosing -&gt; milling -&gt; spray drying -&gt; calcination -&gt; jet milling -&gt; classification -&gt; packaging</w:t>
            </w:r>
          </w:p>
        </w:tc>
        <w:tc>
          <w:tcPr>
            <w:tcW w:type="dxa" w:w="3513"/>
          </w:tcPr>
          <w:p>
            <w:r>
              <w:rPr>
                <w:sz w:val="16"/>
              </w:rPr>
              <w:t>Electrified production with DT-optimised quality; battery-grade LFP CAM</w:t>
            </w:r>
          </w:p>
        </w:tc>
      </w:tr>
      <w:tr>
        <w:tc>
          <w:tcPr>
            <w:tcW w:type="dxa" w:w="3513"/>
          </w:tcPr>
          <w:p>
            <w:r>
              <w:rPr>
                <w:sz w:val="16"/>
              </w:rPr>
              <w:t>**Quality control**</w:t>
            </w:r>
          </w:p>
        </w:tc>
        <w:tc>
          <w:tcPr>
            <w:tcW w:type="dxa" w:w="3513"/>
          </w:tcPr>
          <w:p>
            <w:r>
              <w:rPr>
                <w:sz w:val="16"/>
              </w:rPr>
              <w:t>In-line PAT + at-line laboratory analysis + DT-predicted quality disposition</w:t>
            </w:r>
          </w:p>
        </w:tc>
        <w:tc>
          <w:tcPr>
            <w:tcW w:type="dxa" w:w="3513"/>
          </w:tcPr>
          <w:p>
            <w:r>
              <w:rPr>
                <w:sz w:val="16"/>
              </w:rPr>
              <w:t>Superior batch consistency; full CQA traceability</w:t>
            </w:r>
          </w:p>
        </w:tc>
      </w:tr>
      <w:tr>
        <w:tc>
          <w:tcPr>
            <w:tcW w:type="dxa" w:w="3513"/>
          </w:tcPr>
          <w:p>
            <w:r>
              <w:rPr>
                <w:sz w:val="16"/>
              </w:rPr>
              <w:t>**Internal offtake**</w:t>
            </w:r>
          </w:p>
        </w:tc>
        <w:tc>
          <w:tcPr>
            <w:tcW w:type="dxa" w:w="3513"/>
          </w:tcPr>
          <w:p>
            <w:r>
              <w:rPr>
                <w:sz w:val="16"/>
              </w:rPr>
              <w:t>LFP CAM delivered directly to co-located FIB-Eni JV battery cell and BESS factory</w:t>
            </w:r>
          </w:p>
        </w:tc>
        <w:tc>
          <w:tcPr>
            <w:tcW w:type="dxa" w:w="3513"/>
          </w:tcPr>
          <w:p>
            <w:r>
              <w:rPr>
                <w:sz w:val="16"/>
              </w:rPr>
              <w:t>Zero logistics cost for primary customer; immediate quality feedback loop</w:t>
            </w:r>
          </w:p>
        </w:tc>
      </w:tr>
      <w:tr>
        <w:tc>
          <w:tcPr>
            <w:tcW w:type="dxa" w:w="3513"/>
          </w:tcPr>
          <w:p>
            <w:r>
              <w:rPr>
                <w:sz w:val="16"/>
              </w:rPr>
              <w:t>**External sales**</w:t>
            </w:r>
          </w:p>
        </w:tc>
        <w:tc>
          <w:tcPr>
            <w:tcW w:type="dxa" w:w="3513"/>
          </w:tcPr>
          <w:p>
            <w:r>
              <w:rPr>
                <w:sz w:val="16"/>
              </w:rPr>
              <w:t>Packaged LFP CAM delivery to additional European cell manufacturers via road/rail</w:t>
            </w:r>
          </w:p>
        </w:tc>
        <w:tc>
          <w:tcPr>
            <w:tcW w:type="dxa" w:w="3513"/>
          </w:tcPr>
          <w:p>
            <w:r>
              <w:rPr>
                <w:sz w:val="16"/>
              </w:rPr>
              <w:t>Short supply chain to Southern/Central European customers (upside opportunity)</w:t>
            </w:r>
          </w:p>
        </w:tc>
      </w:tr>
      <w:tr>
        <w:tc>
          <w:tcPr>
            <w:tcW w:type="dxa" w:w="3513"/>
          </w:tcPr>
          <w:p>
            <w:r>
              <w:rPr>
                <w:sz w:val="16"/>
              </w:rPr>
              <w:t>**Customer service**</w:t>
            </w:r>
          </w:p>
        </w:tc>
        <w:tc>
          <w:tcPr>
            <w:tcW w:type="dxa" w:w="3513"/>
          </w:tcPr>
          <w:p>
            <w:r>
              <w:rPr>
                <w:sz w:val="16"/>
              </w:rPr>
              <w:t>Technical support for cell integration; custom product specifications; Battery Passport data provision</w:t>
            </w:r>
          </w:p>
        </w:tc>
        <w:tc>
          <w:tcPr>
            <w:tcW w:type="dxa" w:w="3513"/>
          </w:tcPr>
          <w:p>
            <w:r>
              <w:rPr>
                <w:sz w:val="16"/>
              </w:rPr>
              <w:t>Differentiated service vs commodity Chinese supply</w:t>
            </w:r>
          </w:p>
        </w:tc>
      </w:tr>
    </w:tbl>
    <w:p>
      <w:pPr>
        <w:pStyle w:val="Heading4"/>
      </w:pPr>
      <w:r>
        <w:t>5.2.3 Value Proposition</w:t>
      </w:r>
    </w:p>
    <w:p>
      <w:r>
        <w:rPr>
          <w:sz w:val="18"/>
        </w:rPr>
        <w:t>The FACE plant creates value across multiple dimensions:</w:t>
      </w:r>
    </w:p>
    <w:p>
      <w:pPr>
        <w:pStyle w:val="ListBullet"/>
      </w:pPr>
      <w:r>
        <w:rPr>
          <w:b/>
          <w:sz w:val="18"/>
        </w:rPr>
        <w:t>Guaranteed offtake and eliminated market risk</w:t>
      </w:r>
      <w:r>
        <w:rPr>
          <w:sz w:val="18"/>
        </w:rPr>
        <w:t>: Eni is the direct internal customer through the co-located JV factory, providing captive demand for the LFP CAM output. This eliminates the offtake risk that typically constrains new entrant CAM producers and provides revenue certainty from entry into operation.</w:t>
      </w:r>
    </w:p>
    <w:p>
      <w:pPr>
        <w:pStyle w:val="ListBullet"/>
      </w:pPr>
      <w:r>
        <w:rPr>
          <w:b/>
          <w:sz w:val="18"/>
        </w:rPr>
        <w:t>Supply chain security</w:t>
      </w:r>
      <w:r>
        <w:rPr>
          <w:sz w:val="18"/>
        </w:rPr>
        <w:t xml:space="preserve">: EU-produced LFP CAM eliminates single-source dependency on China </w:t>
      </w:r>
      <w:r>
        <w:rPr>
          <w:color w:val="0066CC"/>
          <w:sz w:val="16"/>
        </w:rPr>
        <w:t>[CLM-001]</w:t>
      </w:r>
      <w:r>
        <w:rPr>
          <w:sz w:val="18"/>
        </w:rPr>
        <w:t xml:space="preserve">. European cell manufacturers gain a domestic supply option resilient to Chinese export controls </w:t>
      </w:r>
      <w:r>
        <w:rPr>
          <w:color w:val="0066CC"/>
          <w:sz w:val="16"/>
        </w:rPr>
        <w:t>[CLM-002]</w:t>
      </w:r>
      <w:r>
        <w:rPr>
          <w:sz w:val="18"/>
        </w:rPr>
        <w:t>.</w:t>
      </w:r>
    </w:p>
    <w:p>
      <w:pPr>
        <w:pStyle w:val="ListBullet"/>
      </w:pPr>
      <w:r>
        <w:rPr>
          <w:b/>
          <w:sz w:val="18"/>
        </w:rPr>
        <w:t>Carbon footprint advantage</w:t>
      </w:r>
      <w:r>
        <w:rPr>
          <w:sz w:val="18"/>
        </w:rPr>
        <w:t>: Electrified production with Italian grid electricity delivers a materially lower product carbon footprint than gas-fired Chinese production, increasingly important under Battery Regulation carbon footprint performance class requirements.</w:t>
      </w:r>
    </w:p>
    <w:p>
      <w:pPr>
        <w:pStyle w:val="ListBullet"/>
      </w:pPr>
      <w:r>
        <w:rPr>
          <w:b/>
          <w:sz w:val="18"/>
        </w:rPr>
        <w:t>Quality consistency</w:t>
      </w:r>
      <w:r>
        <w:rPr>
          <w:sz w:val="18"/>
        </w:rPr>
        <w:t xml:space="preserve">: DT-driven process control delivers superior batch-to-batch consistency versus empirical Chinese production methods </w:t>
      </w:r>
      <w:r>
        <w:rPr>
          <w:color w:val="0066CC"/>
          <w:sz w:val="16"/>
        </w:rPr>
        <w:t>[CLM-007, CLM-013]</w:t>
      </w:r>
      <w:r>
        <w:rPr>
          <w:sz w:val="18"/>
        </w:rPr>
        <w:t>. The co-located JV factory provides immediate cell-level quality feedback, enabling rapid closed-loop optimisation.</w:t>
      </w:r>
    </w:p>
    <w:p>
      <w:pPr>
        <w:pStyle w:val="ListBullet"/>
      </w:pPr>
      <w:r>
        <w:rPr>
          <w:b/>
          <w:sz w:val="18"/>
        </w:rPr>
        <w:t>Traceability and compliance</w:t>
      </w:r>
      <w:r>
        <w:rPr>
          <w:sz w:val="18"/>
        </w:rPr>
        <w:t>: Full digital traceability from precursor receipt to product shipment, natively supporting Battery Passport and due diligence requirements.</w:t>
      </w:r>
    </w:p>
    <w:p>
      <w:pPr>
        <w:pStyle w:val="ListBullet"/>
      </w:pPr>
      <w:r>
        <w:rPr>
          <w:b/>
          <w:sz w:val="18"/>
        </w:rPr>
        <w:t>End-to-end GHG avoidance</w:t>
      </w:r>
      <w:r>
        <w:rPr>
          <w:sz w:val="18"/>
        </w:rPr>
        <w:t>: The vertically integrated value chain enables direct traceability from CAM production to grid-deployed BESS displacing fossil peakers — maximising the GHG avoidance claim under the Innovation Fund methodology.</w:t>
      </w:r>
    </w:p>
    <w:p>
      <w:pPr>
        <w:pStyle w:val="Heading4"/>
      </w:pPr>
      <w:r>
        <w:t>5.2.4 Offtake Strategy</w:t>
      </w:r>
    </w:p>
    <w:p>
      <w:r>
        <w:rPr>
          <w:b/>
          <w:sz w:val="18"/>
        </w:rPr>
        <w:t>Primary offtake (internal)</w:t>
      </w:r>
      <w:r>
        <w:rPr>
          <w:sz w:val="18"/>
        </w:rPr>
        <w:t>: The co-located FIB-Eni JV battery cell and BESS manufacturing facility is the guaranteed internal customer for the LFP CAM output. Eni will deploy the BESS on the Italian electricity grid. This internal offtake pathway provides revenue certainty without dependency on external customer negotiations.</w:t>
      </w:r>
    </w:p>
    <w:p>
      <w:r>
        <w:rPr>
          <w:b/>
          <w:sz w:val="18"/>
        </w:rPr>
        <w:t>Secondary offtake (external)</w:t>
      </w:r>
      <w:r>
        <w:rPr>
          <w:sz w:val="18"/>
        </w:rPr>
        <w:t>: Additional sales to European cell manufacturers (PowerCo, Verkor, Northvolt, ACC, and others) represent upside revenue. The DT-driven quality consistency, EU Battery Passport compliance, and low-carbon footprint provide competitive differentiation versus Chinese commodity CAM.</w:t>
      </w:r>
    </w:p>
    <w:p>
      <w:pPr>
        <w:pStyle w:val="Heading4"/>
      </w:pPr>
      <w:r>
        <w:t>5.2.5 Market Drivers</w:t>
      </w:r>
    </w:p>
    <w:p>
      <w:pPr>
        <w:pStyle w:val="ListBullet"/>
      </w:pPr>
      <w:r>
        <w:rPr>
          <w:b/>
          <w:sz w:val="18"/>
        </w:rPr>
        <w:t>EV growth</w:t>
      </w:r>
      <w:r>
        <w:rPr>
          <w:sz w:val="18"/>
        </w:rPr>
        <w:t xml:space="preserve">: European EV sales growing at ~25% CAGR; LFP chemistry gaining share in standard-range vehicles due to cost and safety advantages </w:t>
      </w:r>
      <w:r>
        <w:rPr>
          <w:color w:val="0066CC"/>
          <w:sz w:val="16"/>
        </w:rPr>
        <w:t>[SRC-015]</w:t>
      </w:r>
      <w:r>
        <w:rPr>
          <w:sz w:val="18"/>
        </w:rPr>
        <w:t>.</w:t>
      </w:r>
    </w:p>
    <w:p>
      <w:pPr>
        <w:pStyle w:val="ListBullet"/>
      </w:pPr>
      <w:r>
        <w:rPr>
          <w:b/>
          <w:sz w:val="18"/>
        </w:rPr>
        <w:t>ESS demand</w:t>
      </w:r>
      <w:r>
        <w:rPr>
          <w:sz w:val="18"/>
        </w:rPr>
        <w:t>: Grid-scale energy storage deploying rapidly across Europe; LFP is the dominant chemistry for stationary storage (&gt;2,000 cycle life). Eni's own grid deployment programme creates guaranteed demand for BESS.</w:t>
      </w:r>
    </w:p>
    <w:p>
      <w:pPr>
        <w:pStyle w:val="ListBullet"/>
      </w:pPr>
      <w:r>
        <w:rPr>
          <w:b/>
          <w:sz w:val="18"/>
        </w:rPr>
        <w:t>Battery Regulation</w:t>
      </w:r>
      <w:r>
        <w:rPr>
          <w:sz w:val="18"/>
        </w:rPr>
        <w:t>: Carbon footprint declaration and performance class requirements create a market premium for low-carbon CAM.</w:t>
      </w:r>
    </w:p>
    <w:p>
      <w:pPr>
        <w:pStyle w:val="ListBullet"/>
      </w:pPr>
      <w:r>
        <w:rPr>
          <w:b/>
          <w:sz w:val="18"/>
        </w:rPr>
        <w:t>NZIA</w:t>
      </w:r>
      <w:r>
        <w:rPr>
          <w:sz w:val="18"/>
        </w:rPr>
        <w:t>: EU policy actively promotes domestic manufacturing of clean-tech components.</w:t>
      </w:r>
    </w:p>
    <w:p>
      <w:pPr>
        <w:pStyle w:val="ListBullet"/>
      </w:pPr>
      <w:r>
        <w:rPr>
          <w:b/>
          <w:sz w:val="18"/>
        </w:rPr>
        <w:t>Italian grid stabilisation</w:t>
      </w:r>
      <w:r>
        <w:rPr>
          <w:sz w:val="18"/>
        </w:rPr>
        <w:t>: Italy requires substantial new energy storage capacity to integrate increasing renewable generation; Eni-deployed BESS contributes directly to this national objective.</w:t>
      </w:r>
    </w:p>
    <w:p>
      <w:r>
        <w:rPr>
          <w:sz w:val="18"/>
        </w:rPr>
        <w:t>---</w:t>
      </w:r>
    </w:p>
    <w:p>
      <w:pPr>
        <w:pStyle w:val="Heading2"/>
      </w:pPr>
      <w:r>
        <w:t>6. Technical Assessment</w:t>
      </w:r>
    </w:p>
    <w:p>
      <w:pPr>
        <w:pStyle w:val="Heading3"/>
      </w:pPr>
      <w:r>
        <w:t>6.1 Design Philosophy and Basic Engineering</w:t>
      </w:r>
    </w:p>
    <w:p>
      <w:r>
        <w:rPr>
          <w:sz w:val="18"/>
        </w:rPr>
        <w:t>The FACE plant is designed according to the following principles:</w:t>
      </w:r>
    </w:p>
    <w:p>
      <w:r>
        <w:rPr>
          <w:b/>
          <w:sz w:val="18"/>
        </w:rPr>
        <w:t>Technology licensor support</w:t>
      </w:r>
      <w:r>
        <w:rPr>
          <w:sz w:val="18"/>
        </w:rPr>
        <w:t xml:space="preserve">: The plant design is informed by a technology licence agreement with </w:t>
      </w:r>
      <w:r>
        <w:rPr>
          <w:b/>
          <w:color w:val="CC0000"/>
          <w:sz w:val="18"/>
        </w:rPr>
        <w:t>[TO BE COMPLETED: technology licensor name]</w:t>
      </w:r>
      <w:r>
        <w:rPr>
          <w:sz w:val="18"/>
        </w:rPr>
        <w:t>, who provides proven process know-how for the LFP CAM solid-state synthesis route. The licensor contributes validated process recipes, calcination profiles, spray drying parameters, and equipment specifications based on industrial production experience. This substantially de-risks the scale-up to the Brindisi 50 kton/yr configuration and provides the process baseline from which the DT-driven optimisation begins.</w:t>
      </w:r>
    </w:p>
    <w:p>
      <w:r>
        <w:rPr>
          <w:b/>
          <w:sz w:val="18"/>
        </w:rPr>
        <w:t>Progressive electrification</w:t>
      </w:r>
      <w:r>
        <w:rPr>
          <w:sz w:val="18"/>
        </w:rPr>
        <w:t xml:space="preserve">: The plant achieves a 66.6% electrification rate at entry into operation (3,580 kWh/t electrical, 189 m3/t natural gas = 1,796 kWh_th/t), representing a significantly higher degree of electrification than the gas-fired Asian benchmark. The initial configuration retains limited natural gas use (189 m3/t LFP CAM) for process steps — primarily spray drying auxiliary heating and calcination support — where full electrification is not yet technically or economically feasible at the 50 kton/yr production scale. The plant architecture is explicitly designed to accommodate progressive gas-to-electric substitution (targeting ~75% by Year 3, ~85% by Year 5, and &gt;95% by Year 10): electric roller hearth kilns can operate fully electrically, and the spray drying system is designed for HTHP integration as a near-term upgrade. The digital twin optimises the energy mix in real time and identifies opportunities for progressive gas elimination. Over the plant's 20+ year operational life, the combination of technology maturation, falling renewable electricity costs, and grid decarbonisation </w:t>
      </w:r>
      <w:r>
        <w:rPr>
          <w:color w:val="0066CC"/>
          <w:sz w:val="16"/>
        </w:rPr>
        <w:t>[CLM-030]</w:t>
      </w:r>
      <w:r>
        <w:rPr>
          <w:sz w:val="18"/>
        </w:rPr>
        <w:t xml:space="preserve"> will drive progressive elimination of residual gas use.</w:t>
      </w:r>
    </w:p>
    <w:p>
      <w:r>
        <w:rPr>
          <w:b/>
          <w:sz w:val="18"/>
        </w:rPr>
        <w:t>DT-integrated from design phase</w:t>
      </w:r>
      <w:r>
        <w:rPr>
          <w:sz w:val="18"/>
        </w:rPr>
        <w:t>: The digital twin is not a retrofit -- it is designed into the plant from inception. All equipment is specified with digital connectivity requirements (OPC-UA interfaces, sensor ports, data tags). The DT data architecture is established during detailed engineering and commissioned in parallel with physical equipment. This contrasts with typical brownfield DT deployments where data infrastructure must be overlaid on legacy equipment.</w:t>
      </w:r>
    </w:p>
    <w:p>
      <w:r>
        <w:rPr>
          <w:b/>
          <w:sz w:val="18"/>
        </w:rPr>
        <w:t>Modular and scalable</w:t>
      </w:r>
      <w:r>
        <w:rPr>
          <w:sz w:val="18"/>
        </w:rPr>
        <w:t>: The plant is designed in production-line modules that can be replicated to increase capacity. Each module comprises one spray dryer train and one calcination kiln train with associated milling and packaging. Additional modules can be added to the same site using the same utility infrastructure. The DT framework is inherently modular -- each production line has its own DT instance, with a plant-level supervisory DT coordinating across lines.</w:t>
      </w:r>
    </w:p>
    <w:p>
      <w:r>
        <w:rPr>
          <w:b/>
          <w:sz w:val="18"/>
        </w:rPr>
        <w:t>Quality-by-Design</w:t>
      </w:r>
      <w:r>
        <w:rPr>
          <w:sz w:val="18"/>
        </w:rPr>
        <w:t xml:space="preserve">: The ICH Q8-adapted QbD framework </w:t>
      </w:r>
      <w:r>
        <w:rPr>
          <w:color w:val="0066CC"/>
          <w:sz w:val="16"/>
        </w:rPr>
        <w:t>[CLM-013, SRC-028]</w:t>
      </w:r>
      <w:r>
        <w:rPr>
          <w:sz w:val="18"/>
        </w:rPr>
        <w:t xml:space="preserve"> is embedded in the plant design: CQA targets define product specifications, CPP ranges define the design space, PAT sensors are specified as integral equipment (not optional add-ons), and the control strategy is DT-driven model-predictive control rather than recipe-based PID.</w:t>
      </w:r>
    </w:p>
    <w:p>
      <w:pPr>
        <w:pStyle w:val="Heading3"/>
      </w:pPr>
      <w:r>
        <w:t>6.2 Main Systems and Long Lead Items</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System</w:t>
            </w:r>
          </w:p>
        </w:tc>
        <w:tc>
          <w:tcPr>
            <w:tcW w:type="dxa" w:w="1757"/>
          </w:tcPr>
          <w:p>
            <w:r>
              <w:rPr>
                <w:b/>
                <w:sz w:val="16"/>
              </w:rPr>
              <w:t>Equipment</w:t>
            </w:r>
          </w:p>
        </w:tc>
        <w:tc>
          <w:tcPr>
            <w:tcW w:type="dxa" w:w="1757"/>
          </w:tcPr>
          <w:p>
            <w:r>
              <w:rPr>
                <w:b/>
                <w:sz w:val="16"/>
              </w:rPr>
              <w:t>Key Specification</w:t>
            </w:r>
          </w:p>
        </w:tc>
        <w:tc>
          <w:tcPr>
            <w:tcW w:type="dxa" w:w="1757"/>
          </w:tcPr>
          <w:p>
            <w:r>
              <w:rPr>
                <w:b/>
                <w:sz w:val="16"/>
              </w:rPr>
              <w:t>Est. Lead Time</w:t>
            </w:r>
          </w:p>
        </w:tc>
        <w:tc>
          <w:tcPr>
            <w:tcW w:type="dxa" w:w="1757"/>
          </w:tcPr>
          <w:p>
            <w:r>
              <w:rPr>
                <w:b/>
                <w:sz w:val="16"/>
              </w:rPr>
              <w:t>Supplier Type</w:t>
            </w:r>
          </w:p>
        </w:tc>
      </w:tr>
      <w:tr>
        <w:tc>
          <w:tcPr>
            <w:tcW w:type="dxa" w:w="1757"/>
          </w:tcPr>
          <w:p>
            <w:r>
              <w:rPr>
                <w:sz w:val="16"/>
              </w:rPr>
              <w:t>1</w:t>
            </w:r>
          </w:p>
        </w:tc>
        <w:tc>
          <w:tcPr>
            <w:tcW w:type="dxa" w:w="1757"/>
          </w:tcPr>
          <w:p>
            <w:r>
              <w:rPr>
                <w:sz w:val="16"/>
              </w:rPr>
              <w:t>Precursor dosing</w:t>
            </w:r>
          </w:p>
        </w:tc>
        <w:tc>
          <w:tcPr>
            <w:tcW w:type="dxa" w:w="1757"/>
          </w:tcPr>
          <w:p>
            <w:r>
              <w:rPr>
                <w:sz w:val="16"/>
              </w:rPr>
              <w:t>Gravimetric loss-in-weight feeders</w:t>
            </w:r>
          </w:p>
        </w:tc>
        <w:tc>
          <w:tcPr>
            <w:tcW w:type="dxa" w:w="1757"/>
          </w:tcPr>
          <w:p>
            <w:r>
              <w:rPr>
                <w:sz w:val="16"/>
              </w:rPr>
              <w:t>+/-0.1% accuracy; 3 independent feeders (FePO4, Li2CO3, glucose)</w:t>
            </w:r>
          </w:p>
        </w:tc>
        <w:tc>
          <w:tcPr>
            <w:tcW w:type="dxa" w:w="1757"/>
          </w:tcPr>
          <w:p>
            <w:r>
              <w:rPr>
                <w:sz w:val="16"/>
              </w:rPr>
              <w:t>3-4 months</w:t>
            </w:r>
          </w:p>
        </w:tc>
        <w:tc>
          <w:tcPr>
            <w:tcW w:type="dxa" w:w="1757"/>
          </w:tcPr>
          <w:p>
            <w:r>
              <w:rPr>
                <w:sz w:val="16"/>
              </w:rPr>
              <w:t>EU (Schenck Process, K-Tron/Coperion)</w:t>
            </w:r>
          </w:p>
        </w:tc>
      </w:tr>
      <w:tr>
        <w:tc>
          <w:tcPr>
            <w:tcW w:type="dxa" w:w="1757"/>
          </w:tcPr>
          <w:p>
            <w:r>
              <w:rPr>
                <w:sz w:val="16"/>
              </w:rPr>
              <w:t>2</w:t>
            </w:r>
          </w:p>
        </w:tc>
        <w:tc>
          <w:tcPr>
            <w:tcW w:type="dxa" w:w="1757"/>
          </w:tcPr>
          <w:p>
            <w:r>
              <w:rPr>
                <w:sz w:val="16"/>
              </w:rPr>
              <w:t>Dispersion</w:t>
            </w:r>
          </w:p>
        </w:tc>
        <w:tc>
          <w:tcPr>
            <w:tcW w:type="dxa" w:w="1757"/>
          </w:tcPr>
          <w:p>
            <w:r>
              <w:rPr>
                <w:sz w:val="16"/>
              </w:rPr>
              <w:t>High-shear mixing tank</w:t>
            </w:r>
          </w:p>
        </w:tc>
        <w:tc>
          <w:tcPr>
            <w:tcW w:type="dxa" w:w="1757"/>
          </w:tcPr>
          <w:p>
            <w:r>
              <w:rPr>
                <w:sz w:val="16"/>
              </w:rPr>
              <w:t>[TO BE COMPLETED: capacity to be sized for 12.5 kton/yr per line]; stainless steel 316L; variable speed drive</w:t>
            </w:r>
          </w:p>
        </w:tc>
        <w:tc>
          <w:tcPr>
            <w:tcW w:type="dxa" w:w="1757"/>
          </w:tcPr>
          <w:p>
            <w:r>
              <w:rPr>
                <w:sz w:val="16"/>
              </w:rPr>
              <w:t>2-3 months</w:t>
            </w:r>
          </w:p>
        </w:tc>
        <w:tc>
          <w:tcPr>
            <w:tcW w:type="dxa" w:w="1757"/>
          </w:tcPr>
          <w:p>
            <w:r>
              <w:rPr>
                <w:sz w:val="16"/>
              </w:rPr>
              <w:t>EU</w:t>
            </w:r>
          </w:p>
        </w:tc>
      </w:tr>
      <w:tr>
        <w:tc>
          <w:tcPr>
            <w:tcW w:type="dxa" w:w="1757"/>
          </w:tcPr>
          <w:p>
            <w:r>
              <w:rPr>
                <w:sz w:val="16"/>
              </w:rPr>
              <w:t>3</w:t>
            </w:r>
          </w:p>
        </w:tc>
        <w:tc>
          <w:tcPr>
            <w:tcW w:type="dxa" w:w="1757"/>
          </w:tcPr>
          <w:p>
            <w:r>
              <w:rPr>
                <w:sz w:val="16"/>
              </w:rPr>
              <w:t>Sand milling</w:t>
            </w:r>
          </w:p>
        </w:tc>
        <w:tc>
          <w:tcPr>
            <w:tcW w:type="dxa" w:w="1757"/>
          </w:tcPr>
          <w:p>
            <w:r>
              <w:rPr>
                <w:sz w:val="16"/>
              </w:rPr>
              <w:t>Horizontal bead mill (sand mill)</w:t>
            </w:r>
          </w:p>
        </w:tc>
        <w:tc>
          <w:tcPr>
            <w:tcW w:type="dxa" w:w="1757"/>
          </w:tcPr>
          <w:p>
            <w:r>
              <w:rPr>
                <w:sz w:val="16"/>
              </w:rPr>
              <w:t>[TO BE COMPLETED: grinding chamber size to be confirmed by vendor]; ZrO2 bead media 0.3-0.5 mm; water-cooled</w:t>
            </w:r>
          </w:p>
        </w:tc>
        <w:tc>
          <w:tcPr>
            <w:tcW w:type="dxa" w:w="1757"/>
          </w:tcPr>
          <w:p>
            <w:r>
              <w:rPr>
                <w:sz w:val="16"/>
              </w:rPr>
              <w:t>4-6 months</w:t>
            </w:r>
          </w:p>
        </w:tc>
        <w:tc>
          <w:tcPr>
            <w:tcW w:type="dxa" w:w="1757"/>
          </w:tcPr>
          <w:p>
            <w:r>
              <w:rPr>
                <w:sz w:val="16"/>
              </w:rPr>
              <w:t>EU/Asia (NETZSCH, WAB)</w:t>
            </w:r>
          </w:p>
        </w:tc>
      </w:tr>
      <w:tr>
        <w:tc>
          <w:tcPr>
            <w:tcW w:type="dxa" w:w="1757"/>
          </w:tcPr>
          <w:p>
            <w:r>
              <w:rPr>
                <w:sz w:val="16"/>
              </w:rPr>
              <w:t>4</w:t>
            </w:r>
          </w:p>
        </w:tc>
        <w:tc>
          <w:tcPr>
            <w:tcW w:type="dxa" w:w="1757"/>
          </w:tcPr>
          <w:p>
            <w:r>
              <w:rPr>
                <w:sz w:val="16"/>
              </w:rPr>
              <w:t>Magnetic separation (pre-spray drying)</w:t>
            </w:r>
          </w:p>
        </w:tc>
        <w:tc>
          <w:tcPr>
            <w:tcW w:type="dxa" w:w="1757"/>
          </w:tcPr>
          <w:p>
            <w:r>
              <w:rPr>
                <w:sz w:val="16"/>
              </w:rPr>
              <w:t>Electromagnetic demagnetiser</w:t>
            </w:r>
          </w:p>
        </w:tc>
        <w:tc>
          <w:tcPr>
            <w:tcW w:type="dxa" w:w="1757"/>
          </w:tcPr>
          <w:p>
            <w:r>
              <w:rPr>
                <w:sz w:val="16"/>
              </w:rPr>
              <w:t>Ferromagnetic removal to &lt;0.1 ppm Fe metallic</w:t>
            </w:r>
          </w:p>
        </w:tc>
        <w:tc>
          <w:tcPr>
            <w:tcW w:type="dxa" w:w="1757"/>
          </w:tcPr>
          <w:p>
            <w:r>
              <w:rPr>
                <w:sz w:val="16"/>
              </w:rPr>
              <w:t>2-3 months</w:t>
            </w:r>
          </w:p>
        </w:tc>
        <w:tc>
          <w:tcPr>
            <w:tcW w:type="dxa" w:w="1757"/>
          </w:tcPr>
          <w:p>
            <w:r>
              <w:rPr>
                <w:sz w:val="16"/>
              </w:rPr>
              <w:t>EU (Eriez, Bunting)</w:t>
            </w:r>
          </w:p>
        </w:tc>
      </w:tr>
      <w:tr>
        <w:tc>
          <w:tcPr>
            <w:tcW w:type="dxa" w:w="1757"/>
          </w:tcPr>
          <w:p>
            <w:r>
              <w:rPr>
                <w:sz w:val="16"/>
              </w:rPr>
              <w:t>5</w:t>
            </w:r>
          </w:p>
        </w:tc>
        <w:tc>
          <w:tcPr>
            <w:tcW w:type="dxa" w:w="1757"/>
          </w:tcPr>
          <w:p>
            <w:r>
              <w:rPr>
                <w:sz w:val="16"/>
              </w:rPr>
              <w:t>Spray drying (ELECTRIFIED)</w:t>
            </w:r>
          </w:p>
        </w:tc>
        <w:tc>
          <w:tcPr>
            <w:tcW w:type="dxa" w:w="1757"/>
          </w:tcPr>
          <w:p>
            <w:r>
              <w:rPr>
                <w:sz w:val="16"/>
              </w:rPr>
              <w:t>Co-current electric spray dryer with HTHP pre-heating</w:t>
            </w:r>
          </w:p>
        </w:tc>
        <w:tc>
          <w:tcPr>
            <w:tcW w:type="dxa" w:w="1757"/>
          </w:tcPr>
          <w:p>
            <w:r>
              <w:rPr>
                <w:sz w:val="16"/>
              </w:rPr>
              <w:t>Inlet 200-250 C; outlet 90-120 C; electric resistance heaters (Kanthal Tubothal/SiC); [TO BE COMPLETED: water evaporation capacity to be sized for 12.5 kton/yr per line]</w:t>
            </w:r>
          </w:p>
        </w:tc>
        <w:tc>
          <w:tcPr>
            <w:tcW w:type="dxa" w:w="1757"/>
          </w:tcPr>
          <w:p>
            <w:r>
              <w:rPr>
                <w:sz w:val="16"/>
              </w:rPr>
              <w:t>6-9 months (LONG LEAD)</w:t>
            </w:r>
          </w:p>
        </w:tc>
        <w:tc>
          <w:tcPr>
            <w:tcW w:type="dxa" w:w="1757"/>
          </w:tcPr>
          <w:p>
            <w:r>
              <w:rPr>
                <w:sz w:val="16"/>
              </w:rPr>
              <w:t>EU (GEA, Buchi Industrial, SPX/Anhydro)</w:t>
            </w:r>
          </w:p>
        </w:tc>
      </w:tr>
      <w:tr>
        <w:tc>
          <w:tcPr>
            <w:tcW w:type="dxa" w:w="1757"/>
          </w:tcPr>
          <w:p>
            <w:r>
              <w:rPr>
                <w:sz w:val="16"/>
              </w:rPr>
              <w:t>6</w:t>
            </w:r>
          </w:p>
        </w:tc>
        <w:tc>
          <w:tcPr>
            <w:tcW w:type="dxa" w:w="1757"/>
          </w:tcPr>
          <w:p>
            <w:r>
              <w:rPr>
                <w:sz w:val="16"/>
              </w:rPr>
              <w:t>Calcination (ELECTRIFIED)</w:t>
            </w:r>
          </w:p>
        </w:tc>
        <w:tc>
          <w:tcPr>
            <w:tcW w:type="dxa" w:w="1757"/>
          </w:tcPr>
          <w:p>
            <w:r>
              <w:rPr>
                <w:sz w:val="16"/>
              </w:rPr>
              <w:t>Electric roller hearth kiln</w:t>
            </w:r>
          </w:p>
        </w:tc>
        <w:tc>
          <w:tcPr>
            <w:tcW w:type="dxa" w:w="1757"/>
          </w:tcPr>
          <w:p>
            <w:r>
              <w:rPr>
                <w:sz w:val="16"/>
              </w:rPr>
              <w:t>650-700 C operating temperature; N2 atmosphere (pO2 &lt;10 ppm); multi-zone PID + MPC control; 95% thermal efficiency [CLM-023]</w:t>
            </w:r>
          </w:p>
        </w:tc>
        <w:tc>
          <w:tcPr>
            <w:tcW w:type="dxa" w:w="1757"/>
          </w:tcPr>
          <w:p>
            <w:r>
              <w:rPr>
                <w:sz w:val="16"/>
              </w:rPr>
              <w:t>9-12 months (LONG LEAD)</w:t>
            </w:r>
          </w:p>
        </w:tc>
        <w:tc>
          <w:tcPr>
            <w:tcW w:type="dxa" w:w="1757"/>
          </w:tcPr>
          <w:p>
            <w:r>
              <w:rPr>
                <w:sz w:val="16"/>
              </w:rPr>
              <w:t>EU (Kanthal/Sandvik heating elements; NGK Insulators or ONEJOON kiln)</w:t>
            </w:r>
          </w:p>
        </w:tc>
      </w:tr>
      <w:tr>
        <w:tc>
          <w:tcPr>
            <w:tcW w:type="dxa" w:w="1757"/>
          </w:tcPr>
          <w:p>
            <w:r>
              <w:rPr>
                <w:sz w:val="16"/>
              </w:rPr>
              <w:t>7</w:t>
            </w:r>
          </w:p>
        </w:tc>
        <w:tc>
          <w:tcPr>
            <w:tcW w:type="dxa" w:w="1757"/>
          </w:tcPr>
          <w:p>
            <w:r>
              <w:rPr>
                <w:sz w:val="16"/>
              </w:rPr>
              <w:t>Crucible system</w:t>
            </w:r>
          </w:p>
        </w:tc>
        <w:tc>
          <w:tcPr>
            <w:tcW w:type="dxa" w:w="1757"/>
          </w:tcPr>
          <w:p>
            <w:r>
              <w:rPr>
                <w:sz w:val="16"/>
              </w:rPr>
              <w:t>Alumina or graphite-lined refractory crucibles + external rail transport</w:t>
            </w:r>
          </w:p>
        </w:tc>
        <w:tc>
          <w:tcPr>
            <w:tcW w:type="dxa" w:w="1757"/>
          </w:tcPr>
          <w:p>
            <w:r>
              <w:rPr>
                <w:sz w:val="16"/>
              </w:rPr>
              <w:t>Heat-resistant; compatible with N2 atmosphere; automated loading/unloading</w:t>
            </w:r>
          </w:p>
        </w:tc>
        <w:tc>
          <w:tcPr>
            <w:tcW w:type="dxa" w:w="1757"/>
          </w:tcPr>
          <w:p>
            <w:r>
              <w:rPr>
                <w:sz w:val="16"/>
              </w:rPr>
              <w:t>3-4 months</w:t>
            </w:r>
          </w:p>
        </w:tc>
        <w:tc>
          <w:tcPr>
            <w:tcW w:type="dxa" w:w="1757"/>
          </w:tcPr>
          <w:p>
            <w:r>
              <w:rPr>
                <w:sz w:val="16"/>
              </w:rPr>
              <w:t>EU</w:t>
            </w:r>
          </w:p>
        </w:tc>
      </w:tr>
      <w:tr>
        <w:tc>
          <w:tcPr>
            <w:tcW w:type="dxa" w:w="1757"/>
          </w:tcPr>
          <w:p>
            <w:r>
              <w:rPr>
                <w:sz w:val="16"/>
              </w:rPr>
              <w:t>8</w:t>
            </w:r>
          </w:p>
        </w:tc>
        <w:tc>
          <w:tcPr>
            <w:tcW w:type="dxa" w:w="1757"/>
          </w:tcPr>
          <w:p>
            <w:r>
              <w:rPr>
                <w:sz w:val="16"/>
              </w:rPr>
              <w:t>Jet milling</w:t>
            </w:r>
          </w:p>
        </w:tc>
        <w:tc>
          <w:tcPr>
            <w:tcW w:type="dxa" w:w="1757"/>
          </w:tcPr>
          <w:p>
            <w:r>
              <w:rPr>
                <w:sz w:val="16"/>
              </w:rPr>
              <w:t>Compressed gas jet mill (air or N2 jet)</w:t>
            </w:r>
          </w:p>
        </w:tc>
        <w:tc>
          <w:tcPr>
            <w:tcW w:type="dxa" w:w="1757"/>
          </w:tcPr>
          <w:p>
            <w:r>
              <w:rPr>
                <w:sz w:val="16"/>
              </w:rPr>
              <w:t>Target D50 0.7-2.5 um; optional bypass for spherical grade; [TO BE COMPLETED: capacity to be sized per line]</w:t>
            </w:r>
          </w:p>
        </w:tc>
        <w:tc>
          <w:tcPr>
            <w:tcW w:type="dxa" w:w="1757"/>
          </w:tcPr>
          <w:p>
            <w:r>
              <w:rPr>
                <w:sz w:val="16"/>
              </w:rPr>
              <w:t>3-4 months</w:t>
            </w:r>
          </w:p>
        </w:tc>
        <w:tc>
          <w:tcPr>
            <w:tcW w:type="dxa" w:w="1757"/>
          </w:tcPr>
          <w:p>
            <w:r>
              <w:rPr>
                <w:sz w:val="16"/>
              </w:rPr>
              <w:t>EU (NETZSCH, Hosokawa Alpine)</w:t>
            </w:r>
          </w:p>
        </w:tc>
      </w:tr>
      <w:tr>
        <w:tc>
          <w:tcPr>
            <w:tcW w:type="dxa" w:w="1757"/>
          </w:tcPr>
          <w:p>
            <w:r>
              <w:rPr>
                <w:sz w:val="16"/>
              </w:rPr>
              <w:t>9</w:t>
            </w:r>
          </w:p>
        </w:tc>
        <w:tc>
          <w:tcPr>
            <w:tcW w:type="dxa" w:w="1757"/>
          </w:tcPr>
          <w:p>
            <w:r>
              <w:rPr>
                <w:sz w:val="16"/>
              </w:rPr>
              <w:t>Classification</w:t>
            </w:r>
          </w:p>
        </w:tc>
        <w:tc>
          <w:tcPr>
            <w:tcW w:type="dxa" w:w="1757"/>
          </w:tcPr>
          <w:p>
            <w:r>
              <w:rPr>
                <w:sz w:val="16"/>
              </w:rPr>
              <w:t>Ultrasonic vibrating sieve</w:t>
            </w:r>
          </w:p>
        </w:tc>
        <w:tc>
          <w:tcPr>
            <w:tcW w:type="dxa" w:w="1757"/>
          </w:tcPr>
          <w:p>
            <w:r>
              <w:rPr>
                <w:sz w:val="16"/>
              </w:rPr>
              <w:t>Cut-off 10-20 um; high-throughput continuous operation</w:t>
            </w:r>
          </w:p>
        </w:tc>
        <w:tc>
          <w:tcPr>
            <w:tcW w:type="dxa" w:w="1757"/>
          </w:tcPr>
          <w:p>
            <w:r>
              <w:rPr>
                <w:sz w:val="16"/>
              </w:rPr>
              <w:t>2-3 months</w:t>
            </w:r>
          </w:p>
        </w:tc>
        <w:tc>
          <w:tcPr>
            <w:tcW w:type="dxa" w:w="1757"/>
          </w:tcPr>
          <w:p>
            <w:r>
              <w:rPr>
                <w:sz w:val="16"/>
              </w:rPr>
              <w:t>EU (Russell Finex, Sweco)</w:t>
            </w:r>
          </w:p>
        </w:tc>
      </w:tr>
      <w:tr>
        <w:tc>
          <w:tcPr>
            <w:tcW w:type="dxa" w:w="1757"/>
          </w:tcPr>
          <w:p>
            <w:r>
              <w:rPr>
                <w:sz w:val="16"/>
              </w:rPr>
              <w:t>10</w:t>
            </w:r>
          </w:p>
        </w:tc>
        <w:tc>
          <w:tcPr>
            <w:tcW w:type="dxa" w:w="1757"/>
          </w:tcPr>
          <w:p>
            <w:r>
              <w:rPr>
                <w:sz w:val="16"/>
              </w:rPr>
              <w:t>Magnetic separation (post-milling)</w:t>
            </w:r>
          </w:p>
        </w:tc>
        <w:tc>
          <w:tcPr>
            <w:tcW w:type="dxa" w:w="1757"/>
          </w:tcPr>
          <w:p>
            <w:r>
              <w:rPr>
                <w:sz w:val="16"/>
              </w:rPr>
              <w:t>Electromagnetic dry powder separator</w:t>
            </w:r>
          </w:p>
        </w:tc>
        <w:tc>
          <w:tcPr>
            <w:tcW w:type="dxa" w:w="1757"/>
          </w:tcPr>
          <w:p>
            <w:r>
              <w:rPr>
                <w:sz w:val="16"/>
              </w:rPr>
              <w:t>Ferromagnetic removal from dry LFP powder</w:t>
            </w:r>
          </w:p>
        </w:tc>
        <w:tc>
          <w:tcPr>
            <w:tcW w:type="dxa" w:w="1757"/>
          </w:tcPr>
          <w:p>
            <w:r>
              <w:rPr>
                <w:sz w:val="16"/>
              </w:rPr>
              <w:t>2-3 months</w:t>
            </w:r>
          </w:p>
        </w:tc>
        <w:tc>
          <w:tcPr>
            <w:tcW w:type="dxa" w:w="1757"/>
          </w:tcPr>
          <w:p>
            <w:r>
              <w:rPr>
                <w:sz w:val="16"/>
              </w:rPr>
              <w:t>EU (Eriez, Bunting)</w:t>
            </w:r>
          </w:p>
        </w:tc>
      </w:tr>
      <w:tr>
        <w:tc>
          <w:tcPr>
            <w:tcW w:type="dxa" w:w="1757"/>
          </w:tcPr>
          <w:p>
            <w:r>
              <w:rPr>
                <w:sz w:val="16"/>
              </w:rPr>
              <w:t>11</w:t>
            </w:r>
          </w:p>
        </w:tc>
        <w:tc>
          <w:tcPr>
            <w:tcW w:type="dxa" w:w="1757"/>
          </w:tcPr>
          <w:p>
            <w:r>
              <w:rPr>
                <w:sz w:val="16"/>
              </w:rPr>
              <w:t>Automated packaging</w:t>
            </w:r>
          </w:p>
        </w:tc>
        <w:tc>
          <w:tcPr>
            <w:tcW w:type="dxa" w:w="1757"/>
          </w:tcPr>
          <w:p>
            <w:r>
              <w:rPr>
                <w:sz w:val="16"/>
              </w:rPr>
              <w:t>N2-blanketed automated packaging line</w:t>
            </w:r>
          </w:p>
        </w:tc>
        <w:tc>
          <w:tcPr>
            <w:tcW w:type="dxa" w:w="1757"/>
          </w:tcPr>
          <w:p>
            <w:r>
              <w:rPr>
                <w:sz w:val="16"/>
              </w:rPr>
              <w:t>[TO BE COMPLETED: bag size to be confirmed]; moisture barrier bags; lot number/traceability</w:t>
            </w:r>
          </w:p>
        </w:tc>
        <w:tc>
          <w:tcPr>
            <w:tcW w:type="dxa" w:w="1757"/>
          </w:tcPr>
          <w:p>
            <w:r>
              <w:rPr>
                <w:sz w:val="16"/>
              </w:rPr>
              <w:t>2-3 months</w:t>
            </w:r>
          </w:p>
        </w:tc>
        <w:tc>
          <w:tcPr>
            <w:tcW w:type="dxa" w:w="1757"/>
          </w:tcPr>
          <w:p>
            <w:r>
              <w:rPr>
                <w:sz w:val="16"/>
              </w:rPr>
              <w:t>EU</w:t>
            </w:r>
          </w:p>
        </w:tc>
      </w:tr>
      <w:tr>
        <w:tc>
          <w:tcPr>
            <w:tcW w:type="dxa" w:w="1757"/>
          </w:tcPr>
          <w:p>
            <w:r>
              <w:rPr>
                <w:sz w:val="16"/>
              </w:rPr>
              <w:t>12</w:t>
            </w:r>
          </w:p>
        </w:tc>
        <w:tc>
          <w:tcPr>
            <w:tcW w:type="dxa" w:w="1757"/>
          </w:tcPr>
          <w:p>
            <w:r>
              <w:rPr>
                <w:sz w:val="16"/>
              </w:rPr>
              <w:t>N2 supply system</w:t>
            </w:r>
          </w:p>
        </w:tc>
        <w:tc>
          <w:tcPr>
            <w:tcW w:type="dxa" w:w="1757"/>
          </w:tcPr>
          <w:p>
            <w:r>
              <w:rPr>
                <w:sz w:val="16"/>
              </w:rPr>
              <w:t>PSA generator and/or bulk liquid N2 storage</w:t>
            </w:r>
          </w:p>
        </w:tc>
        <w:tc>
          <w:tcPr>
            <w:tcW w:type="dxa" w:w="1757"/>
          </w:tcPr>
          <w:p>
            <w:r>
              <w:rPr>
                <w:sz w:val="16"/>
              </w:rPr>
              <w:t>&gt;99.99% purity; total consumption 850 m3/t LFP CAM; [TO BE COMPLETED: hourly capacity to be sized for continuous operation]</w:t>
            </w:r>
          </w:p>
        </w:tc>
        <w:tc>
          <w:tcPr>
            <w:tcW w:type="dxa" w:w="1757"/>
          </w:tcPr>
          <w:p>
            <w:r>
              <w:rPr>
                <w:sz w:val="16"/>
              </w:rPr>
              <w:t>3-6 months</w:t>
            </w:r>
          </w:p>
        </w:tc>
        <w:tc>
          <w:tcPr>
            <w:tcW w:type="dxa" w:w="1757"/>
          </w:tcPr>
          <w:p>
            <w:r>
              <w:rPr>
                <w:sz w:val="16"/>
              </w:rPr>
              <w:t>EU (Air Liquide, Linde, SOL)</w:t>
            </w:r>
          </w:p>
        </w:tc>
      </w:tr>
      <w:tr>
        <w:tc>
          <w:tcPr>
            <w:tcW w:type="dxa" w:w="1757"/>
          </w:tcPr>
          <w:p>
            <w:r>
              <w:rPr>
                <w:sz w:val="16"/>
              </w:rPr>
              <w:t>13</w:t>
            </w:r>
          </w:p>
        </w:tc>
        <w:tc>
          <w:tcPr>
            <w:tcW w:type="dxa" w:w="1757"/>
          </w:tcPr>
          <w:p>
            <w:r>
              <w:rPr>
                <w:sz w:val="16"/>
              </w:rPr>
              <w:t>DT infrastructure</w:t>
            </w:r>
          </w:p>
        </w:tc>
        <w:tc>
          <w:tcPr>
            <w:tcW w:type="dxa" w:w="1757"/>
          </w:tcPr>
          <w:p>
            <w:r>
              <w:rPr>
                <w:sz w:val="16"/>
              </w:rPr>
              <w:t>Edge computing nodes, OPC-UA gateways, sensor network, fog/cloud servers</w:t>
            </w:r>
          </w:p>
        </w:tc>
        <w:tc>
          <w:tcPr>
            <w:tcW w:type="dxa" w:w="1757"/>
          </w:tcPr>
          <w:p>
            <w:r>
              <w:rPr>
                <w:sz w:val="16"/>
              </w:rPr>
              <w:t>ISO 23247 compliant; &lt;100 ms edge-to-fog latency; InfluxDB time-series DB</w:t>
            </w:r>
          </w:p>
        </w:tc>
        <w:tc>
          <w:tcPr>
            <w:tcW w:type="dxa" w:w="1757"/>
          </w:tcPr>
          <w:p>
            <w:r>
              <w:rPr>
                <w:sz w:val="16"/>
              </w:rPr>
              <w:t>3-6 months</w:t>
            </w:r>
          </w:p>
        </w:tc>
        <w:tc>
          <w:tcPr>
            <w:tcW w:type="dxa" w:w="1757"/>
          </w:tcPr>
          <w:p>
            <w:r>
              <w:rPr>
                <w:sz w:val="16"/>
              </w:rPr>
              <w:t>EU (Siemens, Beckhoff, ABB for OPC-UA; Dell/HPE for compute)</w:t>
            </w:r>
          </w:p>
        </w:tc>
      </w:tr>
      <w:tr>
        <w:tc>
          <w:tcPr>
            <w:tcW w:type="dxa" w:w="1757"/>
          </w:tcPr>
          <w:p>
            <w:r>
              <w:rPr>
                <w:sz w:val="16"/>
              </w:rPr>
              <w:t>14</w:t>
            </w:r>
          </w:p>
        </w:tc>
        <w:tc>
          <w:tcPr>
            <w:tcW w:type="dxa" w:w="1757"/>
          </w:tcPr>
          <w:p>
            <w:r>
              <w:rPr>
                <w:sz w:val="16"/>
              </w:rPr>
              <w:t>PAT sensor suite</w:t>
            </w:r>
          </w:p>
        </w:tc>
        <w:tc>
          <w:tcPr>
            <w:tcW w:type="dxa" w:w="1757"/>
          </w:tcPr>
          <w:p>
            <w:r>
              <w:rPr>
                <w:sz w:val="16"/>
              </w:rPr>
              <w:t>Raman probes, FBRM, laser diffraction, pyrometers, IR cameras, O2/CO2 analysers</w:t>
            </w:r>
          </w:p>
        </w:tc>
        <w:tc>
          <w:tcPr>
            <w:tcW w:type="dxa" w:w="1757"/>
          </w:tcPr>
          <w:p>
            <w:r>
              <w:rPr>
                <w:sz w:val="16"/>
              </w:rPr>
              <w:t>See Section 6.8 sensor deployment table</w:t>
            </w:r>
          </w:p>
        </w:tc>
        <w:tc>
          <w:tcPr>
            <w:tcW w:type="dxa" w:w="1757"/>
          </w:tcPr>
          <w:p>
            <w:r>
              <w:rPr>
                <w:sz w:val="16"/>
              </w:rPr>
              <w:t>3-6 months</w:t>
            </w:r>
          </w:p>
        </w:tc>
        <w:tc>
          <w:tcPr>
            <w:tcW w:type="dxa" w:w="1757"/>
          </w:tcPr>
          <w:p>
            <w:r>
              <w:rPr>
                <w:sz w:val="16"/>
              </w:rPr>
              <w:t>EU/USA (Endress+Hauser, Mettler Toledo, HORIBA, Malvern Panalytical)</w:t>
            </w:r>
          </w:p>
        </w:tc>
      </w:tr>
    </w:tbl>
    <w:p>
      <w:r>
        <w:rPr>
          <w:b/>
          <w:sz w:val="18"/>
        </w:rPr>
        <w:t>Critical path items</w:t>
      </w:r>
      <w:r>
        <w:rPr>
          <w:sz w:val="18"/>
        </w:rPr>
        <w:t>: The electric roller hearth kiln (Item 6, 9-12 months lead time) and electric spray dryer (Item 5, 6-9 months) define the equipment procurement critical path. Early vendor engagement and order placement is essential for schedule compliance.</w:t>
      </w:r>
    </w:p>
    <w:p>
      <w:r>
        <w:rPr>
          <w:b/>
          <w:color w:val="CC0000"/>
          <w:sz w:val="18"/>
        </w:rPr>
        <w:t>[TO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r>
    </w:p>
    <w:p>
      <w:pPr>
        <w:pStyle w:val="Heading3"/>
      </w:pPr>
      <w:r>
        <w:t>6.3 Operational Characteristics</w:t>
      </w:r>
    </w:p>
    <w:p>
      <w:r>
        <w:rPr>
          <w:sz w:val="18"/>
        </w:rPr>
        <w:t>The following operational parameters are based on the production information document (50 kton/yr, 4 modular lines). Detailed validation during FEED will refine specific equipment sizing and operating schedules.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Value</w:t>
            </w:r>
          </w:p>
        </w:tc>
        <w:tc>
          <w:tcPr>
            <w:tcW w:type="dxa" w:w="3513"/>
          </w:tcPr>
          <w:p>
            <w:r>
              <w:rPr>
                <w:b/>
                <w:sz w:val="16"/>
              </w:rPr>
              <w:t>Basis</w:t>
            </w:r>
          </w:p>
        </w:tc>
      </w:tr>
      <w:tr>
        <w:tc>
          <w:tcPr>
            <w:tcW w:type="dxa" w:w="3513"/>
          </w:tcPr>
          <w:p>
            <w:r>
              <w:rPr>
                <w:sz w:val="16"/>
              </w:rPr>
              <w:t>Operating schedule</w:t>
            </w:r>
          </w:p>
        </w:tc>
        <w:tc>
          <w:tcPr>
            <w:tcW w:type="dxa" w:w="3513"/>
          </w:tcPr>
          <w:p>
            <w:r>
              <w:rPr>
                <w:sz w:val="16"/>
              </w:rPr>
              <w:t>Continuous operation (24/7, 3 shifts) across 4 production lines</w:t>
            </w:r>
          </w:p>
        </w:tc>
        <w:tc>
          <w:tcPr>
            <w:tcW w:type="dxa" w:w="3513"/>
          </w:tcPr>
          <w:p>
            <w:r>
              <w:rPr>
                <w:sz w:val="16"/>
              </w:rPr>
              <w:t>Industry standard for CAM production</w:t>
            </w:r>
          </w:p>
        </w:tc>
      </w:tr>
      <w:tr>
        <w:tc>
          <w:tcPr>
            <w:tcW w:type="dxa" w:w="3513"/>
          </w:tcPr>
          <w:p>
            <w:r>
              <w:rPr>
                <w:sz w:val="16"/>
              </w:rPr>
              <w:t>Annual production capacity</w:t>
            </w:r>
          </w:p>
        </w:tc>
        <w:tc>
          <w:tcPr>
            <w:tcW w:type="dxa" w:w="3513"/>
          </w:tcPr>
          <w:p>
            <w:r>
              <w:rPr>
                <w:sz w:val="16"/>
              </w:rPr>
              <w:t>50,000 tonnes LFP CAM/year at nameplate (4 lines x 12,500 t/yr each)</w:t>
            </w:r>
          </w:p>
        </w:tc>
        <w:tc>
          <w:tcPr>
            <w:tcW w:type="dxa" w:w="3513"/>
          </w:tcPr>
          <w:p>
            <w:r>
              <w:rPr>
                <w:sz w:val="16"/>
              </w:rPr>
              <w:t>Production information document</w:t>
            </w:r>
          </w:p>
        </w:tc>
      </w:tr>
      <w:tr>
        <w:tc>
          <w:tcPr>
            <w:tcW w:type="dxa" w:w="3513"/>
          </w:tcPr>
          <w:p>
            <w:r>
              <w:rPr>
                <w:sz w:val="16"/>
              </w:rPr>
              <w:t>Product mix</w:t>
            </w:r>
          </w:p>
        </w:tc>
        <w:tc>
          <w:tcPr>
            <w:tcW w:type="dxa" w:w="3513"/>
          </w:tcPr>
          <w:p>
            <w:r>
              <w:rPr>
                <w:sz w:val="16"/>
              </w:rPr>
              <w:t>Nanosized LFP (75%) + Spherical LFP (25%)</w:t>
            </w:r>
          </w:p>
        </w:tc>
        <w:tc>
          <w:tcPr>
            <w:tcW w:type="dxa" w:w="3513"/>
          </w:tcPr>
          <w:p>
            <w:r>
              <w:rPr>
                <w:sz w:val="16"/>
              </w:rPr>
              <w:t>Production information document</w:t>
            </w:r>
          </w:p>
        </w:tc>
      </w:tr>
      <w:tr>
        <w:tc>
          <w:tcPr>
            <w:tcW w:type="dxa" w:w="3513"/>
          </w:tcPr>
          <w:p>
            <w:r>
              <w:rPr>
                <w:sz w:val="16"/>
              </w:rPr>
              <w:t>Batch size (calcination)</w:t>
            </w:r>
          </w:p>
        </w:tc>
        <w:tc>
          <w:tcPr>
            <w:tcW w:type="dxa" w:w="3513"/>
          </w:tcPr>
          <w:p>
            <w:r>
              <w:rPr>
                <w:sz w:val="16"/>
              </w:rPr>
              <w:t>Calcination in saggars under N2; [TO BE COMPLETED: specific saggar capacity and loading per kiln run to be confirmed during FEED]</w:t>
            </w:r>
          </w:p>
        </w:tc>
        <w:tc>
          <w:tcPr>
            <w:tcW w:type="dxa" w:w="3513"/>
          </w:tcPr>
          <w:p>
            <w:r>
              <w:rPr>
                <w:sz w:val="16"/>
              </w:rPr>
              <w:t>Depends on kiln dimensions and saggar configuration</w:t>
            </w:r>
          </w:p>
        </w:tc>
      </w:tr>
      <w:tr>
        <w:tc>
          <w:tcPr>
            <w:tcW w:type="dxa" w:w="3513"/>
          </w:tcPr>
          <w:p>
            <w:r>
              <w:rPr>
                <w:sz w:val="16"/>
              </w:rPr>
              <w:t>Calcination cycle time</w:t>
            </w:r>
          </w:p>
        </w:tc>
        <w:tc>
          <w:tcPr>
            <w:tcW w:type="dxa" w:w="3513"/>
          </w:tcPr>
          <w:p>
            <w:r>
              <w:rPr>
                <w:sz w:val="16"/>
              </w:rPr>
              <w:t>6-12 hours dwell at 650-700 C, plus ramp-up (~2 h) and controlled cooling (~4 h) [SRC-011, CLM-020]</w:t>
            </w:r>
          </w:p>
        </w:tc>
        <w:tc>
          <w:tcPr>
            <w:tcW w:type="dxa" w:w="3513"/>
          </w:tcPr>
          <w:p>
            <w:r>
              <w:rPr>
                <w:sz w:val="16"/>
              </w:rPr>
              <w:t>Based on published LFP synthesis literature</w:t>
            </w:r>
          </w:p>
        </w:tc>
      </w:tr>
      <w:tr>
        <w:tc>
          <w:tcPr>
            <w:tcW w:type="dxa" w:w="3513"/>
          </w:tcPr>
          <w:p>
            <w:r>
              <w:rPr>
                <w:sz w:val="16"/>
              </w:rPr>
              <w:t>Spray drying throughput</w:t>
            </w:r>
          </w:p>
        </w:tc>
        <w:tc>
          <w:tcPr>
            <w:tcW w:type="dxa" w:w="3513"/>
          </w:tcPr>
          <w:p>
            <w:r>
              <w:rPr>
                <w:sz w:val="16"/>
              </w:rPr>
              <w:t>[TO BE COMPLETED: sized for 12.5 kton/yr per line; kg/h water evaporation to be confirmed by vendor]</w:t>
            </w:r>
          </w:p>
        </w:tc>
        <w:tc>
          <w:tcPr>
            <w:tcW w:type="dxa" w:w="3513"/>
          </w:tcPr>
          <w:p>
            <w:r>
              <w:rPr>
                <w:sz w:val="16"/>
              </w:rPr>
              <w:t>Depends on spray dryer capacity selected</w:t>
            </w:r>
          </w:p>
        </w:tc>
      </w:tr>
      <w:tr>
        <w:tc>
          <w:tcPr>
            <w:tcW w:type="dxa" w:w="3513"/>
          </w:tcPr>
          <w:p>
            <w:r>
              <w:rPr>
                <w:sz w:val="16"/>
              </w:rPr>
              <w:t>Milling throughput</w:t>
            </w:r>
          </w:p>
        </w:tc>
        <w:tc>
          <w:tcPr>
            <w:tcW w:type="dxa" w:w="3513"/>
          </w:tcPr>
          <w:p>
            <w:r>
              <w:rPr>
                <w:sz w:val="16"/>
              </w:rPr>
              <w:t>[TO BE COMPLETED: sized for line throughput; optional jet-milling bypass for spherical grade]</w:t>
            </w:r>
          </w:p>
        </w:tc>
        <w:tc>
          <w:tcPr>
            <w:tcW w:type="dxa" w:w="3513"/>
          </w:tcPr>
          <w:p>
            <w:r>
              <w:rPr>
                <w:sz w:val="16"/>
              </w:rPr>
              <w:t>Depends on equipment sizing</w:t>
            </w:r>
          </w:p>
        </w:tc>
      </w:tr>
      <w:tr>
        <w:tc>
          <w:tcPr>
            <w:tcW w:type="dxa" w:w="3513"/>
          </w:tcPr>
          <w:p>
            <w:r>
              <w:rPr>
                <w:sz w:val="16"/>
              </w:rPr>
              <w:t>Product yield</w:t>
            </w:r>
          </w:p>
        </w:tc>
        <w:tc>
          <w:tcPr>
            <w:tcW w:type="dxa" w:w="3513"/>
          </w:tcPr>
          <w:p>
            <w:r>
              <w:rPr>
                <w:sz w:val="16"/>
              </w:rPr>
              <w:t>&gt;95% lithium and iron-phosphorus recovery; primary losses from CO2/volatile evolution during calcination</w:t>
            </w:r>
          </w:p>
        </w:tc>
        <w:tc>
          <w:tcPr>
            <w:tcW w:type="dxa" w:w="3513"/>
          </w:tcPr>
          <w:p>
            <w:r>
              <w:rPr>
                <w:sz w:val="16"/>
              </w:rPr>
              <w:t>Stoichiometric basis</w:t>
            </w:r>
          </w:p>
        </w:tc>
      </w:tr>
      <w:tr>
        <w:tc>
          <w:tcPr>
            <w:tcW w:type="dxa" w:w="3513"/>
          </w:tcPr>
          <w:p>
            <w:r>
              <w:rPr>
                <w:sz w:val="16"/>
              </w:rPr>
              <w:t>Utility consumption</w:t>
            </w:r>
          </w:p>
        </w:tc>
        <w:tc>
          <w:tcPr>
            <w:tcW w:type="dxa" w:w="3513"/>
          </w:tcPr>
          <w:p>
            <w:r>
              <w:rPr>
                <w:sz w:val="16"/>
              </w:rPr>
              <w:t>Electricity: 3,580 kWh/t; Natural gas: 189 m3/t; N2: 850 m3/t; Production water: 4 t/t; Pure water: 5 t/t</w:t>
            </w:r>
          </w:p>
        </w:tc>
        <w:tc>
          <w:tcPr>
            <w:tcW w:type="dxa" w:w="3513"/>
          </w:tcPr>
          <w:p>
            <w:r>
              <w:rPr>
                <w:sz w:val="16"/>
              </w:rPr>
              <w:t>Production information document</w:t>
            </w:r>
          </w:p>
        </w:tc>
      </w:tr>
    </w:tbl>
    <w:p>
      <w:r>
        <w:rPr>
          <w:b/>
          <w:sz w:val="18"/>
        </w:rPr>
        <w:t>Ramp-up schedule</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Period</w:t>
            </w:r>
          </w:p>
        </w:tc>
        <w:tc>
          <w:tcPr>
            <w:tcW w:type="dxa" w:w="3513"/>
          </w:tcPr>
          <w:p>
            <w:r>
              <w:rPr>
                <w:b/>
                <w:sz w:val="16"/>
              </w:rPr>
              <w:t>Capacity Utilisation</w:t>
            </w:r>
          </w:p>
        </w:tc>
        <w:tc>
          <w:tcPr>
            <w:tcW w:type="dxa" w:w="3513"/>
          </w:tcPr>
          <w:p>
            <w:r>
              <w:rPr>
                <w:b/>
                <w:sz w:val="16"/>
              </w:rPr>
              <w:t>Focus</w:t>
            </w:r>
          </w:p>
        </w:tc>
      </w:tr>
      <w:tr>
        <w:tc>
          <w:tcPr>
            <w:tcW w:type="dxa" w:w="3513"/>
          </w:tcPr>
          <w:p>
            <w:r>
              <w:rPr>
                <w:sz w:val="16"/>
              </w:rPr>
              <w:t>M42-M48 (commissioning)</w:t>
            </w:r>
          </w:p>
        </w:tc>
        <w:tc>
          <w:tcPr>
            <w:tcW w:type="dxa" w:w="3513"/>
          </w:tcPr>
          <w:p>
            <w:r>
              <w:rPr>
                <w:sz w:val="16"/>
              </w:rPr>
              <w:t>0-25%</w:t>
            </w:r>
          </w:p>
        </w:tc>
        <w:tc>
          <w:tcPr>
            <w:tcW w:type="dxa" w:w="3513"/>
          </w:tcPr>
          <w:p>
            <w:r>
              <w:rPr>
                <w:sz w:val="16"/>
              </w:rPr>
              <w:t>Equipment shakedown; DT model calibration; process parameter optimisation</w:t>
            </w:r>
          </w:p>
        </w:tc>
      </w:tr>
      <w:tr>
        <w:tc>
          <w:tcPr>
            <w:tcW w:type="dxa" w:w="3513"/>
          </w:tcPr>
          <w:p>
            <w:r>
              <w:rPr>
                <w:sz w:val="16"/>
              </w:rPr>
              <w:t>M48-M54 (Year 1 H1)</w:t>
            </w:r>
          </w:p>
        </w:tc>
        <w:tc>
          <w:tcPr>
            <w:tcW w:type="dxa" w:w="3513"/>
          </w:tcPr>
          <w:p>
            <w:r>
              <w:rPr>
                <w:sz w:val="16"/>
              </w:rPr>
              <w:t>25-50%</w:t>
            </w:r>
          </w:p>
        </w:tc>
        <w:tc>
          <w:tcPr>
            <w:tcW w:type="dxa" w:w="3513"/>
          </w:tcPr>
          <w:p>
            <w:r>
              <w:rPr>
                <w:sz w:val="16"/>
              </w:rPr>
              <w:t>Product qualification with customer samples; CQA statistical validation</w:t>
            </w:r>
          </w:p>
        </w:tc>
      </w:tr>
      <w:tr>
        <w:tc>
          <w:tcPr>
            <w:tcW w:type="dxa" w:w="3513"/>
          </w:tcPr>
          <w:p>
            <w:r>
              <w:rPr>
                <w:sz w:val="16"/>
              </w:rPr>
              <w:t>M54-M60 (Year 1 H2)</w:t>
            </w:r>
          </w:p>
        </w:tc>
        <w:tc>
          <w:tcPr>
            <w:tcW w:type="dxa" w:w="3513"/>
          </w:tcPr>
          <w:p>
            <w:r>
              <w:rPr>
                <w:sz w:val="16"/>
              </w:rPr>
              <w:t>50-80%</w:t>
            </w:r>
          </w:p>
        </w:tc>
        <w:tc>
          <w:tcPr>
            <w:tcW w:type="dxa" w:w="3513"/>
          </w:tcPr>
          <w:p>
            <w:r>
              <w:rPr>
                <w:sz w:val="16"/>
              </w:rPr>
              <w:t>Full production ramp-up; DT closed-loop MPC activation</w:t>
            </w:r>
          </w:p>
        </w:tc>
      </w:tr>
      <w:tr>
        <w:tc>
          <w:tcPr>
            <w:tcW w:type="dxa" w:w="3513"/>
          </w:tcPr>
          <w:p>
            <w:r>
              <w:rPr>
                <w:sz w:val="16"/>
              </w:rPr>
              <w:t>M60+ (Year 2+)</w:t>
            </w:r>
          </w:p>
        </w:tc>
        <w:tc>
          <w:tcPr>
            <w:tcW w:type="dxa" w:w="3513"/>
          </w:tcPr>
          <w:p>
            <w:r>
              <w:rPr>
                <w:sz w:val="16"/>
              </w:rPr>
              <w:t>80-100%</w:t>
            </w:r>
          </w:p>
        </w:tc>
        <w:tc>
          <w:tcPr>
            <w:tcW w:type="dxa" w:w="3513"/>
          </w:tcPr>
          <w:p>
            <w:r>
              <w:rPr>
                <w:sz w:val="16"/>
              </w:rPr>
              <w:t>Steady-state production; continuous DT-driven optimisation</w:t>
            </w:r>
          </w:p>
        </w:tc>
      </w:tr>
    </w:tbl>
    <w:p>
      <w:pPr>
        <w:pStyle w:val="Heading3"/>
      </w:pPr>
      <w:r>
        <w:t>6.4 Scale-Up Considerations</w:t>
      </w:r>
    </w:p>
    <w:p>
      <w:pPr>
        <w:pStyle w:val="Heading4"/>
      </w:pPr>
      <w:r>
        <w:t>6.4.1 LFP Solid-State Synthesis</w:t>
      </w:r>
    </w:p>
    <w:p>
      <w:r>
        <w:rPr>
          <w:sz w:val="18"/>
        </w:rPr>
        <w:t xml:space="preserve">The solid-state synthesis route for LFP is industrially mature (TRL 7-9) and has been scaled to &gt;10,000 t/yr by multiple Chinese producers </w:t>
      </w:r>
      <w:r>
        <w:rPr>
          <w:color w:val="0066CC"/>
          <w:sz w:val="16"/>
        </w:rPr>
        <w:t>[CLM-001, SRC-011]</w:t>
      </w:r>
      <w:r>
        <w:rPr>
          <w:sz w:val="18"/>
        </w:rPr>
        <w:t>. The fundamental chemistry and process steps are well-understood, and the FACE process follows the established industrial route. Scale-up risks are therefore concentrated in the novel elements (electrification, DT integration) rather than the core synthesis chemistry.</w:t>
      </w:r>
    </w:p>
    <w:p>
      <w:pPr>
        <w:pStyle w:val="Heading4"/>
      </w:pPr>
      <w:r>
        <w:t>6.4.2 Electrified Calcination</w:t>
      </w:r>
    </w:p>
    <w:p>
      <w:r>
        <w:rPr>
          <w:sz w:val="18"/>
        </w:rPr>
        <w:t xml:space="preserve">Electric roller hearth kilns are the industry standard for NMC CAM calcination at temperatures up to 950 C </w:t>
      </w:r>
      <w:r>
        <w:rPr>
          <w:color w:val="0066CC"/>
          <w:sz w:val="16"/>
        </w:rPr>
        <w:t>[SRC-ED-010, SRC-ED-023]</w:t>
      </w:r>
      <w:r>
        <w:rPr>
          <w:sz w:val="18"/>
        </w:rPr>
        <w:t xml:space="preserve">. LFP calcination at 650-700 C operates well within the proven temperature envelope. Kanthal/Sandvik supplies electric heating elements (SiC Globar, Tubothal metallic) rated to 1,100 C for battery material applications </w:t>
      </w:r>
      <w:r>
        <w:rPr>
          <w:color w:val="0066CC"/>
          <w:sz w:val="16"/>
        </w:rPr>
        <w:t>[SRC-ED-009]</w:t>
      </w:r>
      <w:r>
        <w:rPr>
          <w:sz w:val="18"/>
        </w:rPr>
        <w:t xml:space="preserve">. NGK's HD series roller hearth kiln achieves 40%+ energy reduction versus conventional tunnel kilns </w:t>
      </w:r>
      <w:r>
        <w:rPr>
          <w:color w:val="0066CC"/>
          <w:sz w:val="16"/>
        </w:rPr>
        <w:t>[SRC-ED-023]</w:t>
      </w:r>
      <w:r>
        <w:rPr>
          <w:sz w:val="18"/>
        </w:rPr>
        <w:t>.</w:t>
      </w:r>
    </w:p>
    <w:p>
      <w:r>
        <w:rPr>
          <w:sz w:val="18"/>
        </w:rPr>
        <w:t xml:space="preserve">The primary scale-up consideration is thermal uniformity across the kiln cross-section at production throughput. Non-uniform temperature distribution could create hot spots (&gt;700 C, promoting impurity phases Li3PO4 and Fe2P) or cold spots (&lt;600 C, incomplete olivine crystallisation) </w:t>
      </w:r>
      <w:r>
        <w:rPr>
          <w:color w:val="0066CC"/>
          <w:sz w:val="16"/>
        </w:rPr>
        <w:t>[CLM-020]</w:t>
      </w:r>
      <w:r>
        <w:rPr>
          <w:sz w:val="18"/>
        </w:rPr>
        <w:t>. Mitigation:</w:t>
      </w:r>
    </w:p>
    <w:p>
      <w:pPr>
        <w:pStyle w:val="ListBullet"/>
      </w:pPr>
      <w:r>
        <w:rPr>
          <w:sz w:val="18"/>
        </w:rPr>
        <w:t>Multi-zone PID temperature control with independent heating elements per zone</w:t>
      </w:r>
    </w:p>
    <w:p>
      <w:pPr>
        <w:pStyle w:val="ListBullet"/>
      </w:pPr>
      <w:r>
        <w:rPr>
          <w:sz w:val="18"/>
        </w:rPr>
        <w:t xml:space="preserve">DT-driven MPC optimisation of zone-by-zone temperature setpoints using CFD-calibrated models </w:t>
      </w:r>
      <w:r>
        <w:rPr>
          <w:color w:val="0066CC"/>
          <w:sz w:val="16"/>
        </w:rPr>
        <w:t>[SRC-ED-010]</w:t>
      </w:r>
    </w:p>
    <w:p>
      <w:pPr>
        <w:pStyle w:val="ListBullet"/>
      </w:pPr>
      <w:r>
        <w:rPr>
          <w:sz w:val="18"/>
        </w:rPr>
        <w:t>Pilot-scale trials at kiln vendor facility (M6-M12) to validate temperature uniformity before equipment purchase</w:t>
      </w:r>
    </w:p>
    <w:p>
      <w:pPr>
        <w:pStyle w:val="Heading4"/>
      </w:pPr>
      <w:r>
        <w:t>6.4.3 Electrified Spray Drying</w:t>
      </w:r>
    </w:p>
    <w:p>
      <w:r>
        <w:rPr>
          <w:sz w:val="18"/>
        </w:rPr>
        <w:t xml:space="preserve">Industrial electric spray dryers are commercially proven for ceramics and food processing at comparable throughputs and temperatures </w:t>
      </w:r>
      <w:r>
        <w:rPr>
          <w:color w:val="0066CC"/>
          <w:sz w:val="16"/>
        </w:rPr>
        <w:t>[SRC-ED-001, SRC-ED-009]</w:t>
      </w:r>
      <w:r>
        <w:rPr>
          <w:sz w:val="18"/>
        </w:rPr>
        <w:t xml:space="preserve">. The integration of high-temperature heat pump (HTHP) pre-heating with electric resistance final heating is the novel element. HTHP technology at COP 3.04 (120 C) is commercially available </w:t>
      </w:r>
      <w:r>
        <w:rPr>
          <w:color w:val="0066CC"/>
          <w:sz w:val="16"/>
        </w:rPr>
        <w:t>[SRC-ED-004]</w:t>
      </w:r>
      <w:r>
        <w:rPr>
          <w:sz w:val="18"/>
        </w:rPr>
        <w:t xml:space="preserve">; COP 3.6 at 200 C has been demonstrated in peer-reviewed thermodynamic analysis </w:t>
      </w:r>
      <w:r>
        <w:rPr>
          <w:color w:val="0066CC"/>
          <w:sz w:val="16"/>
        </w:rPr>
        <w:t>[SRC-ED-005]</w:t>
      </w:r>
      <w:r>
        <w:rPr>
          <w:sz w:val="18"/>
        </w:rPr>
        <w:t xml:space="preserve"> but requires emerging transcritical heat pump systems.</w:t>
      </w:r>
    </w:p>
    <w:p>
      <w:r>
        <w:rPr>
          <w:sz w:val="18"/>
        </w:rPr>
        <w:t>Scale-up mitigation: initial design uses proven electric resistance heating for all spray dryer thermal demand, with HTHP integration as a Phase 2 energy optimisation upgrade once commercial 200 C HTHP units become available.</w:t>
      </w:r>
    </w:p>
    <w:p>
      <w:pPr>
        <w:pStyle w:val="Heading4"/>
      </w:pPr>
      <w:r>
        <w:t>6.4.4 Digital Twin Scale-Up</w:t>
      </w:r>
    </w:p>
    <w:p>
      <w:r>
        <w:rPr>
          <w:sz w:val="18"/>
        </w:rPr>
        <w:t>The DT framework is designed with modular architecture: each production-line module has its own DT instance with local edge computing, connected to a plant-level supervisory DT via fog/cloud infrastructure. This architecture scales linearly with production capacity -- adding a production module adds a DT instance without requiring fundamental architectural changes.</w:t>
      </w:r>
    </w:p>
    <w:p>
      <w:r>
        <w:rPr>
          <w:sz w:val="18"/>
        </w:rPr>
        <w:t xml:space="preserve">The primary scale-up challenge is model calibration: physics-based models (CFD, PBM, reaction kinetics) developed from literature data and vendor test results must be recalibrated against production-scale data during commissioning </w:t>
      </w:r>
      <w:r>
        <w:rPr>
          <w:color w:val="0066CC"/>
          <w:sz w:val="16"/>
        </w:rPr>
        <w:t>[CLM-018]</w:t>
      </w:r>
      <w:r>
        <w:rPr>
          <w:sz w:val="18"/>
        </w:rPr>
        <w:t>. The systematic model calibration protocol (M42-M48) and hybrid physics + ML approach provide the recalibration pathway.</w:t>
      </w:r>
    </w:p>
    <w:p>
      <w:pPr>
        <w:pStyle w:val="Heading3"/>
      </w:pPr>
      <w:r>
        <w:t>6.5 Technology Readiness Assessment</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sz w:val="16"/>
              </w:rPr>
              <w:t>#</w:t>
            </w:r>
          </w:p>
        </w:tc>
        <w:tc>
          <w:tcPr>
            <w:tcW w:type="dxa" w:w="1757"/>
          </w:tcPr>
          <w:p>
            <w:r>
              <w:rPr>
                <w:b/>
                <w:sz w:val="16"/>
              </w:rPr>
              <w:t>Component</w:t>
            </w:r>
          </w:p>
        </w:tc>
        <w:tc>
          <w:tcPr>
            <w:tcW w:type="dxa" w:w="1757"/>
          </w:tcPr>
          <w:p>
            <w:r>
              <w:rPr>
                <w:b/>
                <w:sz w:val="16"/>
              </w:rPr>
              <w:t>Current TRL</w:t>
            </w:r>
          </w:p>
        </w:tc>
        <w:tc>
          <w:tcPr>
            <w:tcW w:type="dxa" w:w="1757"/>
          </w:tcPr>
          <w:p>
            <w:r>
              <w:rPr>
                <w:b/>
                <w:sz w:val="16"/>
              </w:rPr>
              <w:t>Target TRL at EiO</w:t>
            </w:r>
          </w:p>
        </w:tc>
        <w:tc>
          <w:tcPr>
            <w:tcW w:type="dxa" w:w="1757"/>
          </w:tcPr>
          <w:p>
            <w:r>
              <w:rPr>
                <w:b/>
                <w:sz w:val="16"/>
              </w:rPr>
              <w:t>Evidence for Current TRL</w:t>
            </w:r>
          </w:p>
        </w:tc>
        <w:tc>
          <w:tcPr>
            <w:tcW w:type="dxa" w:w="1757"/>
          </w:tcPr>
          <w:p>
            <w:r>
              <w:rPr>
                <w:b/>
                <w:sz w:val="16"/>
              </w:rPr>
              <w:t>Advancement Pathway</w:t>
            </w:r>
          </w:p>
        </w:tc>
      </w:tr>
      <w:tr>
        <w:tc>
          <w:tcPr>
            <w:tcW w:type="dxa" w:w="1757"/>
          </w:tcPr>
          <w:p>
            <w:r>
              <w:rPr>
                <w:sz w:val="16"/>
              </w:rPr>
              <w:t>T1</w:t>
            </w:r>
          </w:p>
        </w:tc>
        <w:tc>
          <w:tcPr>
            <w:tcW w:type="dxa" w:w="1757"/>
          </w:tcPr>
          <w:p>
            <w:r>
              <w:rPr>
                <w:sz w:val="16"/>
              </w:rPr>
              <w:t>LFP solid-state synthesis</w:t>
            </w:r>
          </w:p>
        </w:tc>
        <w:tc>
          <w:tcPr>
            <w:tcW w:type="dxa" w:w="1757"/>
          </w:tcPr>
          <w:p>
            <w:r>
              <w:rPr>
                <w:sz w:val="16"/>
              </w:rPr>
              <w:t>7-8</w:t>
            </w:r>
          </w:p>
        </w:tc>
        <w:tc>
          <w:tcPr>
            <w:tcW w:type="dxa" w:w="1757"/>
          </w:tcPr>
          <w:p>
            <w:r>
              <w:rPr>
                <w:sz w:val="16"/>
              </w:rPr>
              <w:t>9</w:t>
            </w:r>
          </w:p>
        </w:tc>
        <w:tc>
          <w:tcPr>
            <w:tcW w:type="dxa" w:w="1757"/>
          </w:tcPr>
          <w:p>
            <w:r>
              <w:rPr>
                <w:sz w:val="16"/>
              </w:rPr>
              <w:t>Dominant industrial route globally; proven at &gt;10,000 t/yr by Chinese producers [CLM-001, SRC-011]</w:t>
            </w:r>
          </w:p>
        </w:tc>
        <w:tc>
          <w:tcPr>
            <w:tcW w:type="dxa" w:w="1757"/>
          </w:tcPr>
          <w:p>
            <w:r>
              <w:rPr>
                <w:sz w:val="16"/>
              </w:rPr>
              <w:t>Process qualification at Brindisi; product certification with cell manufacturers</w:t>
            </w:r>
          </w:p>
        </w:tc>
      </w:tr>
      <w:tr>
        <w:tc>
          <w:tcPr>
            <w:tcW w:type="dxa" w:w="1757"/>
          </w:tcPr>
          <w:p>
            <w:r>
              <w:rPr>
                <w:sz w:val="16"/>
              </w:rPr>
              <w:t>T2</w:t>
            </w:r>
          </w:p>
        </w:tc>
        <w:tc>
          <w:tcPr>
            <w:tcW w:type="dxa" w:w="1757"/>
          </w:tcPr>
          <w:p>
            <w:r>
              <w:rPr>
                <w:sz w:val="16"/>
              </w:rPr>
              <w:t>Electrified spray drying (electric resistance)</w:t>
            </w:r>
          </w:p>
        </w:tc>
        <w:tc>
          <w:tcPr>
            <w:tcW w:type="dxa" w:w="1757"/>
          </w:tcPr>
          <w:p>
            <w:r>
              <w:rPr>
                <w:sz w:val="16"/>
              </w:rPr>
              <w:t>7</w:t>
            </w:r>
          </w:p>
        </w:tc>
        <w:tc>
          <w:tcPr>
            <w:tcW w:type="dxa" w:w="1757"/>
          </w:tcPr>
          <w:p>
            <w:r>
              <w:rPr>
                <w:sz w:val="16"/>
              </w:rPr>
              <w:t>9</w:t>
            </w:r>
          </w:p>
        </w:tc>
        <w:tc>
          <w:tcPr>
            <w:tcW w:type="dxa" w:w="1757"/>
          </w:tcPr>
          <w:p>
            <w:r>
              <w:rPr>
                <w:sz w:val="16"/>
              </w:rPr>
              <w:t>Commercially available equipment for ceramics/food (GEA, Buchi Industrial); proven at equivalent temperatures [SRC-ED-001]</w:t>
            </w:r>
          </w:p>
        </w:tc>
        <w:tc>
          <w:tcPr>
            <w:tcW w:type="dxa" w:w="1757"/>
          </w:tcPr>
          <w:p>
            <w:r>
              <w:rPr>
                <w:sz w:val="16"/>
              </w:rPr>
              <w:t>Integration with LFP precursor slurry; optimisation of drying parameters for LFP particle morphology</w:t>
            </w:r>
          </w:p>
        </w:tc>
      </w:tr>
      <w:tr>
        <w:tc>
          <w:tcPr>
            <w:tcW w:type="dxa" w:w="1757"/>
          </w:tcPr>
          <w:p>
            <w:r>
              <w:rPr>
                <w:sz w:val="16"/>
              </w:rPr>
              <w:t>T3</w:t>
            </w:r>
          </w:p>
        </w:tc>
        <w:tc>
          <w:tcPr>
            <w:tcW w:type="dxa" w:w="1757"/>
          </w:tcPr>
          <w:p>
            <w:r>
              <w:rPr>
                <w:sz w:val="16"/>
              </w:rPr>
              <w:t>HTHP for spray drying</w:t>
            </w:r>
          </w:p>
        </w:tc>
        <w:tc>
          <w:tcPr>
            <w:tcW w:type="dxa" w:w="1757"/>
          </w:tcPr>
          <w:p>
            <w:r>
              <w:rPr>
                <w:sz w:val="16"/>
              </w:rPr>
              <w:t>5-6</w:t>
            </w:r>
          </w:p>
        </w:tc>
        <w:tc>
          <w:tcPr>
            <w:tcW w:type="dxa" w:w="1757"/>
          </w:tcPr>
          <w:p>
            <w:r>
              <w:rPr>
                <w:sz w:val="16"/>
              </w:rPr>
              <w:t>7</w:t>
            </w:r>
          </w:p>
        </w:tc>
        <w:tc>
          <w:tcPr>
            <w:tcW w:type="dxa" w:w="1757"/>
          </w:tcPr>
          <w:p>
            <w:r>
              <w:rPr>
                <w:sz w:val="16"/>
              </w:rPr>
              <w:t>COP 3.04 at 120 C demonstrated [SRC-ED-004]; COP 3.6 at 200 C in simulation [SRC-ED-005]; not yet integrated with LFP process</w:t>
            </w:r>
          </w:p>
        </w:tc>
        <w:tc>
          <w:tcPr>
            <w:tcW w:type="dxa" w:w="1757"/>
          </w:tcPr>
          <w:p>
            <w:r>
              <w:rPr>
                <w:sz w:val="16"/>
              </w:rPr>
              <w:t>Qualification of commercial HTHP unit; integration with spray dryer air heating system</w:t>
            </w:r>
          </w:p>
        </w:tc>
      </w:tr>
      <w:tr>
        <w:tc>
          <w:tcPr>
            <w:tcW w:type="dxa" w:w="1757"/>
          </w:tcPr>
          <w:p>
            <w:r>
              <w:rPr>
                <w:sz w:val="16"/>
              </w:rPr>
              <w:t>T4</w:t>
            </w:r>
          </w:p>
        </w:tc>
        <w:tc>
          <w:tcPr>
            <w:tcW w:type="dxa" w:w="1757"/>
          </w:tcPr>
          <w:p>
            <w:r>
              <w:rPr>
                <w:sz w:val="16"/>
              </w:rPr>
              <w:t>Electric roller hearth kiln for calcination</w:t>
            </w:r>
          </w:p>
        </w:tc>
        <w:tc>
          <w:tcPr>
            <w:tcW w:type="dxa" w:w="1757"/>
          </w:tcPr>
          <w:p>
            <w:r>
              <w:rPr>
                <w:sz w:val="16"/>
              </w:rPr>
              <w:t>7</w:t>
            </w:r>
          </w:p>
        </w:tc>
        <w:tc>
          <w:tcPr>
            <w:tcW w:type="dxa" w:w="1757"/>
          </w:tcPr>
          <w:p>
            <w:r>
              <w:rPr>
                <w:sz w:val="16"/>
              </w:rPr>
              <w:t>9</w:t>
            </w:r>
          </w:p>
        </w:tc>
        <w:tc>
          <w:tcPr>
            <w:tcW w:type="dxa" w:w="1757"/>
          </w:tcPr>
          <w:p>
            <w:r>
              <w:rPr>
                <w:sz w:val="16"/>
              </w:rPr>
              <w:t>Commercially available (NGK, ONEJOON) and validated for NMC CAM at higher temperatures [SRC-ED-009, SRC-ED-010, SRC-ED-023]</w:t>
            </w:r>
          </w:p>
        </w:tc>
        <w:tc>
          <w:tcPr>
            <w:tcW w:type="dxa" w:w="1757"/>
          </w:tcPr>
          <w:p>
            <w:r>
              <w:rPr>
                <w:sz w:val="16"/>
              </w:rPr>
              <w:t>Validation with LFP-specific chemistry; atmosphere (N2/pO2 &lt;10 ppm) qualification</w:t>
            </w:r>
          </w:p>
        </w:tc>
      </w:tr>
      <w:tr>
        <w:tc>
          <w:tcPr>
            <w:tcW w:type="dxa" w:w="1757"/>
          </w:tcPr>
          <w:p>
            <w:r>
              <w:rPr>
                <w:sz w:val="16"/>
              </w:rPr>
              <w:t>T5</w:t>
            </w:r>
          </w:p>
        </w:tc>
        <w:tc>
          <w:tcPr>
            <w:tcW w:type="dxa" w:w="1757"/>
          </w:tcPr>
          <w:p>
            <w:r>
              <w:rPr>
                <w:sz w:val="16"/>
              </w:rPr>
              <w:t>DT for CAM synthesis</w:t>
            </w:r>
          </w:p>
        </w:tc>
        <w:tc>
          <w:tcPr>
            <w:tcW w:type="dxa" w:w="1757"/>
          </w:tcPr>
          <w:p>
            <w:r>
              <w:rPr>
                <w:sz w:val="16"/>
              </w:rPr>
              <w:t>3-4</w:t>
            </w:r>
          </w:p>
        </w:tc>
        <w:tc>
          <w:tcPr>
            <w:tcW w:type="dxa" w:w="1757"/>
          </w:tcPr>
          <w:p>
            <w:r>
              <w:rPr>
                <w:sz w:val="16"/>
              </w:rPr>
              <w:t>6-7</w:t>
            </w:r>
          </w:p>
        </w:tc>
        <w:tc>
          <w:tcPr>
            <w:tcW w:type="dxa" w:w="1757"/>
          </w:tcPr>
          <w:p>
            <w:r>
              <w:rPr>
                <w:sz w:val="16"/>
              </w:rPr>
              <w:t>Individual physics-based models validated: ARTISTIC (electrode DT [SRC-004]), TwinHeat (furnace DT), Ma et al. (sintering model [SRC-014]); no integrated LFP CAM DT exists [CLM-005]</w:t>
            </w:r>
          </w:p>
        </w:tc>
        <w:tc>
          <w:tcPr>
            <w:tcW w:type="dxa" w:w="1757"/>
          </w:tcPr>
          <w:p>
            <w:r>
              <w:rPr>
                <w:sz w:val="16"/>
              </w:rPr>
              <w:t>Model integration; sensor fusion; closed-loop MPC commissioning; industrial validation</w:t>
            </w:r>
          </w:p>
        </w:tc>
      </w:tr>
      <w:tr>
        <w:tc>
          <w:tcPr>
            <w:tcW w:type="dxa" w:w="1757"/>
          </w:tcPr>
          <w:p>
            <w:r>
              <w:rPr>
                <w:sz w:val="16"/>
              </w:rPr>
              <w:t>T6</w:t>
            </w:r>
          </w:p>
        </w:tc>
        <w:tc>
          <w:tcPr>
            <w:tcW w:type="dxa" w:w="1757"/>
          </w:tcPr>
          <w:p>
            <w:r>
              <w:rPr>
                <w:sz w:val="16"/>
              </w:rPr>
              <w:t>ISO 23247 for powder manufacturing</w:t>
            </w:r>
          </w:p>
        </w:tc>
        <w:tc>
          <w:tcPr>
            <w:tcW w:type="dxa" w:w="1757"/>
          </w:tcPr>
          <w:p>
            <w:r>
              <w:rPr>
                <w:sz w:val="16"/>
              </w:rPr>
              <w:t>3</w:t>
            </w:r>
          </w:p>
        </w:tc>
        <w:tc>
          <w:tcPr>
            <w:tcW w:type="dxa" w:w="1757"/>
          </w:tcPr>
          <w:p>
            <w:r>
              <w:rPr>
                <w:sz w:val="16"/>
              </w:rPr>
              <w:t>6</w:t>
            </w:r>
          </w:p>
        </w:tc>
        <w:tc>
          <w:tcPr>
            <w:tcW w:type="dxa" w:w="1757"/>
          </w:tcPr>
          <w:p>
            <w:r>
              <w:rPr>
                <w:sz w:val="16"/>
              </w:rPr>
              <w:t>Standard defined and validated for discrete manufacturing [SRC-007, SRC-009, SRC-010, CLM-008]; not applied to chemical powder processes</w:t>
            </w:r>
          </w:p>
        </w:tc>
        <w:tc>
          <w:tcPr>
            <w:tcW w:type="dxa" w:w="1757"/>
          </w:tcPr>
          <w:p>
            <w:r>
              <w:rPr>
                <w:sz w:val="16"/>
              </w:rPr>
              <w:t>Extend standard to chemical/powder domain; validate data exchange; demonstrate real-time capability</w:t>
            </w:r>
          </w:p>
        </w:tc>
      </w:tr>
      <w:tr>
        <w:tc>
          <w:tcPr>
            <w:tcW w:type="dxa" w:w="1757"/>
          </w:tcPr>
          <w:p>
            <w:r>
              <w:rPr>
                <w:sz w:val="16"/>
              </w:rPr>
              <w:t>T7</w:t>
            </w:r>
          </w:p>
        </w:tc>
        <w:tc>
          <w:tcPr>
            <w:tcW w:type="dxa" w:w="1757"/>
          </w:tcPr>
          <w:p>
            <w:r>
              <w:rPr>
                <w:sz w:val="16"/>
              </w:rPr>
              <w:t>PAT/QbD for LFP</w:t>
            </w:r>
          </w:p>
        </w:tc>
        <w:tc>
          <w:tcPr>
            <w:tcW w:type="dxa" w:w="1757"/>
          </w:tcPr>
          <w:p>
            <w:r>
              <w:rPr>
                <w:sz w:val="16"/>
              </w:rPr>
              <w:t>4</w:t>
            </w:r>
          </w:p>
        </w:tc>
        <w:tc>
          <w:tcPr>
            <w:tcW w:type="dxa" w:w="1757"/>
          </w:tcPr>
          <w:p>
            <w:r>
              <w:rPr>
                <w:sz w:val="16"/>
              </w:rPr>
              <w:t>7</w:t>
            </w:r>
          </w:p>
        </w:tc>
        <w:tc>
          <w:tcPr>
            <w:tcW w:type="dxa" w:w="1757"/>
          </w:tcPr>
          <w:p>
            <w:r>
              <w:rPr>
                <w:sz w:val="16"/>
              </w:rPr>
              <w:t>Pharmaceutical PAT mature (ICH Q8-Q11); individual sensors proven; CQA-CPP mapping documented [SRC-DT-REPORT]; not demonstrated for LFP CAM</w:t>
            </w:r>
          </w:p>
        </w:tc>
        <w:tc>
          <w:tcPr>
            <w:tcW w:type="dxa" w:w="1757"/>
          </w:tcPr>
          <w:p>
            <w:r>
              <w:rPr>
                <w:sz w:val="16"/>
              </w:rPr>
              <w:t>Formal CQA-CPP validation with production data; design space establishment; RTRT implementation</w:t>
            </w:r>
          </w:p>
        </w:tc>
      </w:tr>
      <w:tr>
        <w:tc>
          <w:tcPr>
            <w:tcW w:type="dxa" w:w="1757"/>
          </w:tcPr>
          <w:p>
            <w:r>
              <w:rPr>
                <w:sz w:val="16"/>
              </w:rPr>
              <w:t>T8</w:t>
            </w:r>
          </w:p>
        </w:tc>
        <w:tc>
          <w:tcPr>
            <w:tcW w:type="dxa" w:w="1757"/>
          </w:tcPr>
          <w:p>
            <w:r>
              <w:rPr>
                <w:sz w:val="16"/>
              </w:rPr>
              <w:t>Integrated plant (all components)</w:t>
            </w:r>
          </w:p>
        </w:tc>
        <w:tc>
          <w:tcPr>
            <w:tcW w:type="dxa" w:w="1757"/>
          </w:tcPr>
          <w:p>
            <w:r>
              <w:rPr>
                <w:sz w:val="16"/>
              </w:rPr>
              <w:t>4</w:t>
            </w:r>
          </w:p>
        </w:tc>
        <w:tc>
          <w:tcPr>
            <w:tcW w:type="dxa" w:w="1757"/>
          </w:tcPr>
          <w:p>
            <w:r>
              <w:rPr>
                <w:sz w:val="16"/>
              </w:rPr>
              <w:t>7</w:t>
            </w:r>
          </w:p>
        </w:tc>
        <w:tc>
          <w:tcPr>
            <w:tcW w:type="dxa" w:w="1757"/>
          </w:tcPr>
          <w:p>
            <w:r>
              <w:rPr>
                <w:sz w:val="16"/>
              </w:rPr>
              <w:t>Novel combination of T1-T7; no integrated electrified LFP CAM plant with DT exists globally</w:t>
            </w:r>
          </w:p>
        </w:tc>
        <w:tc>
          <w:tcPr>
            <w:tcW w:type="dxa" w:w="1757"/>
          </w:tcPr>
          <w:p>
            <w:r>
              <w:rPr>
                <w:sz w:val="16"/>
              </w:rPr>
              <w:t>System integration; commissioning; performance validation</w:t>
            </w:r>
          </w:p>
        </w:tc>
      </w:tr>
    </w:tbl>
    <w:p>
      <w:r>
        <w:rPr>
          <w:sz w:val="18"/>
        </w:rPr>
        <w:t>The composite starting TRL of 4 (for the integrated system) reflects the Innovation Fund's definition: individual components are demonstrated in laboratory or relevant environment, but the integrated system has not been validated in an operational environment. The target TRL of 7-9 (component-dependent) represents validated system performance in an operational environment, achieved through the project's phased commissioning programme.</w:t>
      </w:r>
    </w:p>
    <w:p>
      <w:pPr>
        <w:pStyle w:val="Heading3"/>
      </w:pPr>
      <w:r>
        <w:t>6.6 Process Flow Description</w:t>
      </w:r>
    </w:p>
    <w:p>
      <w:r>
        <w:rPr>
          <w:sz w:val="18"/>
        </w:rPr>
        <w:t xml:space="preserve">The following describes each of the seven process steps in technical detail. </w:t>
      </w:r>
      <w:r>
        <w:rPr>
          <w:i/>
          <w:sz w:val="18"/>
        </w:rPr>
        <w:t>See Figure 2 in the Word document for the annotated process flow diagram.</w:t>
      </w:r>
    </w:p>
    <w:p>
      <w:pPr>
        <w:pStyle w:val="Heading4"/>
      </w:pPr>
      <w:r>
        <w:t>Step 1: Raw Material Dosing and Dispersion</w:t>
      </w:r>
    </w:p>
    <w:p>
      <w:r>
        <w:rPr>
          <w:b/>
          <w:sz w:val="18"/>
        </w:rPr>
        <w:t>Inputs</w:t>
      </w:r>
      <w:r>
        <w:rPr>
          <w:sz w:val="18"/>
        </w:rPr>
        <w:t>: Iron phosphate (FePO4, powder), lithium carbonate (Li2CO3, powder), glucose (C6H12O6, powder or solution), deionised water.</w:t>
      </w:r>
    </w:p>
    <w:p>
      <w:r>
        <w:rPr>
          <w:b/>
          <w:sz w:val="18"/>
        </w:rPr>
        <w:t>Operation</w:t>
      </w:r>
      <w:r>
        <w:rPr>
          <w:sz w:val="18"/>
        </w:rPr>
        <w:t xml:space="preserve">: The three solid precursors are gravimetrically dosed from dedicated silos using loss-in-weight feeders (+/-0.1% accuracy) into a stirred dispersion tank filled with deionised water. The stoichiometric target is Li:Fe:P = 1.00:1.00:1.00 (molar), with a deliberate lithium excess of 2-5 mol% to compensate for lithium volatilisation during calcination </w:t>
      </w:r>
      <w:r>
        <w:rPr>
          <w:color w:val="0066CC"/>
          <w:sz w:val="16"/>
        </w:rPr>
        <w:t>[SRC-011]</w:t>
      </w:r>
      <w:r>
        <w:rPr>
          <w:sz w:val="18"/>
        </w:rPr>
        <w:t xml:space="preserve">. Glucose loading is 5-15 wt% relative to total solid content, providing the carbon precursor for in-situ carbon coating during the calcination step </w:t>
      </w:r>
      <w:r>
        <w:rPr>
          <w:color w:val="0066CC"/>
          <w:sz w:val="16"/>
        </w:rPr>
        <w:t>[CLM-020]</w:t>
      </w:r>
      <w:r>
        <w:rPr>
          <w:sz w:val="18"/>
        </w:rPr>
        <w:t>. The resulting aqueous slurry (30-45 wt% solids) is homogenised by high-shear mixing (typically 15-30 minutes).</w:t>
      </w:r>
    </w:p>
    <w:p>
      <w:r>
        <w:rPr>
          <w:b/>
          <w:sz w:val="18"/>
        </w:rPr>
        <w:t>Key process parameters</w:t>
      </w:r>
      <w:r>
        <w:rPr>
          <w:sz w:val="18"/>
        </w:rPr>
        <w:t>: Li:Fe:P molar ratio (CPP); glucose wt% (CPP); slurry solid content (CPP); mixing time and speed.</w:t>
      </w:r>
    </w:p>
    <w:p>
      <w:r>
        <w:rPr>
          <w:b/>
          <w:sz w:val="18"/>
        </w:rPr>
        <w:t>DT integration</w:t>
      </w:r>
      <w:r>
        <w:rPr>
          <w:sz w:val="18"/>
        </w:rPr>
        <w:t>: Loss-in-weight feeder data is logged in real-time via OPC-UA to the DT. The stoichiometry calculator validates the molar ratios against target specifications. Deviation triggers an automatic alert and dosing correction.</w:t>
      </w:r>
    </w:p>
    <w:p>
      <w:r>
        <w:rPr>
          <w:b/>
          <w:sz w:val="18"/>
        </w:rPr>
        <w:t>Outputs</w:t>
      </w:r>
      <w:r>
        <w:rPr>
          <w:sz w:val="18"/>
        </w:rPr>
        <w:t>: Homogeneous aqueous slurry of LFP precursors + glucose.</w:t>
      </w:r>
    </w:p>
    <w:p>
      <w:pPr>
        <w:pStyle w:val="Heading4"/>
      </w:pPr>
      <w:r>
        <w:t>Step 2: Sand Milling and Magnetic Particle Removal</w:t>
      </w:r>
    </w:p>
    <w:p>
      <w:r>
        <w:rPr>
          <w:b/>
          <w:sz w:val="18"/>
        </w:rPr>
        <w:t>Inputs</w:t>
      </w:r>
      <w:r>
        <w:rPr>
          <w:sz w:val="18"/>
        </w:rPr>
        <w:t>: Precursor slurry from Step 1.</w:t>
      </w:r>
    </w:p>
    <w:p>
      <w:r>
        <w:rPr>
          <w:b/>
          <w:sz w:val="18"/>
        </w:rPr>
        <w:t>Operation</w:t>
      </w:r>
      <w:r>
        <w:rPr>
          <w:sz w:val="18"/>
        </w:rPr>
        <w:t>: The slurry is pumped through a horizontal sand mill (bead mill) containing zirconia (ZrO2) grinding beads (0.3-0.5 mm diameter). The mill provides high-energy mixing and particle size reduction, achieving intimate contact between precursor particles and reducing D50 to &lt;5 um. The milled slurry is recirculated until the target particle size is confirmed by at-line laser diffraction. Following milling, the slurry passes through an electromagnetic demagnetiser to remove ferromagnetic contaminants (primarily iron wear particles from mill internals and bead fragments). Magnetic contamination above 0.1 ppm Fe metallic is a critical defect -- ferromagnetic particles can cause internal short circuits in finished battery cells.</w:t>
      </w:r>
    </w:p>
    <w:p>
      <w:r>
        <w:rPr>
          <w:b/>
          <w:sz w:val="18"/>
        </w:rPr>
        <w:t>Key process parameters</w:t>
      </w:r>
      <w:r>
        <w:rPr>
          <w:sz w:val="18"/>
        </w:rPr>
        <w:t>: Mill tip speed; bead loading; number of passes; residence time.</w:t>
      </w:r>
    </w:p>
    <w:p>
      <w:r>
        <w:rPr>
          <w:b/>
          <w:sz w:val="18"/>
        </w:rPr>
        <w:t>DT integration</w:t>
      </w:r>
      <w:r>
        <w:rPr>
          <w:sz w:val="18"/>
        </w:rPr>
        <w:t>: FBRM (Focused Beam Reflectance Measurement) probe provides in-line chord length distribution at 2-second update rate. The DT's population balance model (PBM) predicts D50 evolution and estimates milling endpoint. Laser diffraction provides at-line validation.</w:t>
      </w:r>
    </w:p>
    <w:p>
      <w:r>
        <w:rPr>
          <w:b/>
          <w:sz w:val="18"/>
        </w:rPr>
        <w:t>Outputs</w:t>
      </w:r>
      <w:r>
        <w:rPr>
          <w:sz w:val="18"/>
        </w:rPr>
        <w:t>: Finely milled slurry (D50 &lt;5 um) with magnetic contaminants removed.</w:t>
      </w:r>
    </w:p>
    <w:p>
      <w:pPr>
        <w:pStyle w:val="Heading4"/>
      </w:pPr>
      <w:r>
        <w:t>Step 3: Spray Drying (ELECTRIFIED)</w:t>
      </w:r>
    </w:p>
    <w:p>
      <w:r>
        <w:rPr>
          <w:b/>
          <w:sz w:val="18"/>
        </w:rPr>
        <w:t>Inputs</w:t>
      </w:r>
      <w:r>
        <w:rPr>
          <w:sz w:val="18"/>
        </w:rPr>
        <w:t>: Milled slurry from Step 2; electrically heated process air.</w:t>
      </w:r>
    </w:p>
    <w:p>
      <w:r>
        <w:rPr>
          <w:b/>
          <w:sz w:val="18"/>
        </w:rPr>
        <w:t>Operation</w:t>
      </w:r>
      <w:r>
        <w:rPr>
          <w:sz w:val="18"/>
        </w:rPr>
        <w:t>: The slurry is atomised (rotary atomiser or pressure nozzle) into a co-current spray dryer with electrically heated inlet air at 200-250 C. The outlet air temperature is controlled at 90-120 C. Water evaporates from the droplets, producing dry, free-flowing spherical secondary particles (typical D50 20-80 um for spray-dried granules) comprising intimately mixed LFP precursors with uniformly distributed glucose.</w:t>
      </w:r>
    </w:p>
    <w:p>
      <w:r>
        <w:rPr>
          <w:sz w:val="18"/>
        </w:rPr>
        <w:t xml:space="preserve">The spray dryer uses electric resistance heaters (Kanthal Tubothal or SiC elements, rated to 1,100 C </w:t>
      </w:r>
      <w:r>
        <w:rPr>
          <w:color w:val="0066CC"/>
          <w:sz w:val="16"/>
        </w:rPr>
        <w:t>[SRC-ED-009]</w:t>
      </w:r>
      <w:r>
        <w:rPr>
          <w:sz w:val="18"/>
        </w:rPr>
        <w:t xml:space="preserve">) for inlet air heating. Electric heating provides +/-1 C temperature control precision versus +/-5-10 C for gas burners </w:t>
      </w:r>
      <w:r>
        <w:rPr>
          <w:color w:val="0066CC"/>
          <w:sz w:val="16"/>
        </w:rPr>
        <w:t>[SRC-ED-018]</w:t>
      </w:r>
      <w:r>
        <w:rPr>
          <w:sz w:val="18"/>
        </w:rPr>
        <w:t>, which directly improves batch-to-batch reproducibility of dried particle properties.</w:t>
      </w:r>
    </w:p>
    <w:p>
      <w:r>
        <w:rPr>
          <w:b/>
          <w:sz w:val="18"/>
        </w:rPr>
        <w:t>HTHP integration (Phase 2)</w:t>
      </w:r>
      <w:r>
        <w:rPr>
          <w:sz w:val="18"/>
        </w:rPr>
        <w:t xml:space="preserve">: A high-temperature heat pump pre-heats the inlet air to 120-200 C (COP 3.04-3.6 </w:t>
      </w:r>
      <w:r>
        <w:rPr>
          <w:color w:val="0066CC"/>
          <w:sz w:val="16"/>
        </w:rPr>
        <w:t>[SRC-ED-004, SRC-ED-005]</w:t>
      </w:r>
      <w:r>
        <w:rPr>
          <w:sz w:val="18"/>
        </w:rPr>
        <w:t>), with electric resistance providing the final temperature boost to 200-250 C. This reduces electricity consumption for spray drying by 30-50% compared to resistance-only heating. Initial plant design uses resistance heating only, with HTHP integration as a retrofit upgrade.</w:t>
      </w:r>
    </w:p>
    <w:p>
      <w:r>
        <w:rPr>
          <w:sz w:val="18"/>
        </w:rPr>
        <w:t xml:space="preserve">Specific thermal energy demand: ~0.70-1.10 kWh per kg of water evaporated, based on Italian ceramics industry data for comparable spray dryers </w:t>
      </w:r>
      <w:r>
        <w:rPr>
          <w:color w:val="0066CC"/>
          <w:sz w:val="16"/>
        </w:rPr>
        <w:t>[SRC-ED-021]</w:t>
      </w:r>
      <w:r>
        <w:rPr>
          <w:sz w:val="18"/>
        </w:rPr>
        <w:t>.</w:t>
      </w:r>
    </w:p>
    <w:p>
      <w:r>
        <w:rPr>
          <w:b/>
          <w:sz w:val="18"/>
        </w:rPr>
        <w:t>Key process parameters</w:t>
      </w:r>
      <w:r>
        <w:rPr>
          <w:sz w:val="18"/>
        </w:rPr>
        <w:t>: Inlet temperature (CPP); outlet temperature (CPP); feed rate (CPP); atomiser speed (CPP); air flow rate.</w:t>
      </w:r>
    </w:p>
    <w:p>
      <w:r>
        <w:rPr>
          <w:b/>
          <w:sz w:val="18"/>
        </w:rPr>
        <w:t>DT integration</w:t>
      </w:r>
      <w:r>
        <w:rPr>
          <w:sz w:val="18"/>
        </w:rPr>
        <w:t>: Temperature mapping via thermocouples and IR camera at dryer inlet/outlet; humidity sensor for outlet air moisture; product collection rate monitoring. The DT spray drying model predicts dried particle properties (D50, morphology, residual moisture) from current operating conditions and adjusts inlet temperature and feed rate via MPC.</w:t>
      </w:r>
    </w:p>
    <w:p>
      <w:r>
        <w:rPr>
          <w:b/>
          <w:sz w:val="18"/>
        </w:rPr>
        <w:t>Outputs</w:t>
      </w:r>
      <w:r>
        <w:rPr>
          <w:sz w:val="18"/>
        </w:rPr>
        <w:t>: Dry, free-flowing precursor powder (spherical granules, residual moisture &lt;2 wt%).</w:t>
      </w:r>
    </w:p>
    <w:p>
      <w:pPr>
        <w:pStyle w:val="Heading4"/>
      </w:pPr>
      <w:r>
        <w:t>Step 4: Calcination (ELECTRIFIED -- Key Innovation Step)</w:t>
      </w:r>
    </w:p>
    <w:p>
      <w:r>
        <w:rPr>
          <w:b/>
          <w:sz w:val="18"/>
        </w:rPr>
        <w:t>Inputs</w:t>
      </w:r>
      <w:r>
        <w:rPr>
          <w:sz w:val="18"/>
        </w:rPr>
        <w:t>: Dried precursor powder from Step 3; nitrogen gas (&gt;99.99% purity).</w:t>
      </w:r>
    </w:p>
    <w:p>
      <w:r>
        <w:rPr>
          <w:b/>
          <w:sz w:val="18"/>
        </w:rPr>
        <w:t>Operation</w:t>
      </w:r>
      <w:r>
        <w:rPr>
          <w:sz w:val="18"/>
        </w:rPr>
        <w:t>: The dried precursor powder is loaded into refractory crucibles (alumina or graphite-lined) and introduced into the electric roller hearth kiln via an automated external rail system. The kiln operates under flowing nitrogen atmosphere (pO2 &lt;10 ppm) with a multi-zone temperature profile:</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Temperature Zone</w:t>
            </w:r>
          </w:p>
        </w:tc>
        <w:tc>
          <w:tcPr>
            <w:tcW w:type="dxa" w:w="2108"/>
          </w:tcPr>
          <w:p>
            <w:r>
              <w:rPr>
                <w:b/>
                <w:sz w:val="16"/>
              </w:rPr>
              <w:t>Range</w:t>
            </w:r>
          </w:p>
        </w:tc>
        <w:tc>
          <w:tcPr>
            <w:tcW w:type="dxa" w:w="2108"/>
          </w:tcPr>
          <w:p>
            <w:r>
              <w:rPr>
                <w:b/>
                <w:sz w:val="16"/>
              </w:rPr>
              <w:t>Duration</w:t>
            </w:r>
          </w:p>
        </w:tc>
        <w:tc>
          <w:tcPr>
            <w:tcW w:type="dxa" w:w="2108"/>
          </w:tcPr>
          <w:p>
            <w:r>
              <w:rPr>
                <w:b/>
                <w:sz w:val="16"/>
              </w:rPr>
              <w:t>Chemical Process</w:t>
            </w:r>
          </w:p>
        </w:tc>
        <w:tc>
          <w:tcPr>
            <w:tcW w:type="dxa" w:w="2108"/>
          </w:tcPr>
          <w:p>
            <w:r>
              <w:rPr>
                <w:b/>
                <w:sz w:val="16"/>
              </w:rPr>
              <w:t>Activation Energy</w:t>
            </w:r>
          </w:p>
        </w:tc>
      </w:tr>
      <w:tr>
        <w:tc>
          <w:tcPr>
            <w:tcW w:type="dxa" w:w="2108"/>
          </w:tcPr>
          <w:p>
            <w:r>
              <w:rPr>
                <w:sz w:val="16"/>
              </w:rPr>
              <w:t>Ramp-up</w:t>
            </w:r>
          </w:p>
        </w:tc>
        <w:tc>
          <w:tcPr>
            <w:tcW w:type="dxa" w:w="2108"/>
          </w:tcPr>
          <w:p>
            <w:r>
              <w:rPr>
                <w:sz w:val="16"/>
              </w:rPr>
              <w:t>RT to 200 C</w:t>
            </w:r>
          </w:p>
        </w:tc>
        <w:tc>
          <w:tcPr>
            <w:tcW w:type="dxa" w:w="2108"/>
          </w:tcPr>
          <w:p>
            <w:r>
              <w:rPr>
                <w:sz w:val="16"/>
              </w:rPr>
              <w:t>~1 h</w:t>
            </w:r>
          </w:p>
        </w:tc>
        <w:tc>
          <w:tcPr>
            <w:tcW w:type="dxa" w:w="2108"/>
          </w:tcPr>
          <w:p>
            <w:r>
              <w:rPr>
                <w:sz w:val="16"/>
              </w:rPr>
              <w:t>Moisture removal</w:t>
            </w:r>
          </w:p>
        </w:tc>
        <w:tc>
          <w:tcPr>
            <w:tcW w:type="dxa" w:w="2108"/>
          </w:tcPr>
          <w:p>
            <w:r>
              <w:rPr>
                <w:sz w:val="16"/>
              </w:rPr>
              <w:t>--</w:t>
            </w:r>
          </w:p>
        </w:tc>
      </w:tr>
      <w:tr>
        <w:tc>
          <w:tcPr>
            <w:tcW w:type="dxa" w:w="2108"/>
          </w:tcPr>
          <w:p>
            <w:r>
              <w:rPr>
                <w:sz w:val="16"/>
              </w:rPr>
              <w:t>Decomposition</w:t>
            </w:r>
          </w:p>
        </w:tc>
        <w:tc>
          <w:tcPr>
            <w:tcW w:type="dxa" w:w="2108"/>
          </w:tcPr>
          <w:p>
            <w:r>
              <w:rPr>
                <w:sz w:val="16"/>
              </w:rPr>
              <w:t>200-400 C</w:t>
            </w:r>
          </w:p>
        </w:tc>
        <w:tc>
          <w:tcPr>
            <w:tcW w:type="dxa" w:w="2108"/>
          </w:tcPr>
          <w:p>
            <w:r>
              <w:rPr>
                <w:sz w:val="16"/>
              </w:rPr>
              <w:t>~2 h</w:t>
            </w:r>
          </w:p>
        </w:tc>
        <w:tc>
          <w:tcPr>
            <w:tcW w:type="dxa" w:w="2108"/>
          </w:tcPr>
          <w:p>
            <w:r>
              <w:rPr>
                <w:sz w:val="16"/>
              </w:rPr>
              <w:t>Glucose pyrolysis; amorphous carbon formation</w:t>
            </w:r>
          </w:p>
        </w:tc>
        <w:tc>
          <w:tcPr>
            <w:tcW w:type="dxa" w:w="2108"/>
          </w:tcPr>
          <w:p>
            <w:r>
              <w:rPr>
                <w:sz w:val="16"/>
              </w:rPr>
              <w:t>65-90 kJ/mol</w:t>
            </w:r>
          </w:p>
        </w:tc>
      </w:tr>
      <w:tr>
        <w:tc>
          <w:tcPr>
            <w:tcW w:type="dxa" w:w="2108"/>
          </w:tcPr>
          <w:p>
            <w:r>
              <w:rPr>
                <w:sz w:val="16"/>
              </w:rPr>
              <w:t>Carbothermal reduction</w:t>
            </w:r>
          </w:p>
        </w:tc>
        <w:tc>
          <w:tcPr>
            <w:tcW w:type="dxa" w:w="2108"/>
          </w:tcPr>
          <w:p>
            <w:r>
              <w:rPr>
                <w:sz w:val="16"/>
              </w:rPr>
              <w:t>400-550 C</w:t>
            </w:r>
          </w:p>
        </w:tc>
        <w:tc>
          <w:tcPr>
            <w:tcW w:type="dxa" w:w="2108"/>
          </w:tcPr>
          <w:p>
            <w:r>
              <w:rPr>
                <w:sz w:val="16"/>
              </w:rPr>
              <w:t>~2 h</w:t>
            </w:r>
          </w:p>
        </w:tc>
        <w:tc>
          <w:tcPr>
            <w:tcW w:type="dxa" w:w="2108"/>
          </w:tcPr>
          <w:p>
            <w:r>
              <w:rPr>
                <w:sz w:val="16"/>
              </w:rPr>
              <w:t>Fe3+ reduced to Fe2+ by carbon; intermediate phases form (Li3Fe2(PO4)3, Fe2O3)</w:t>
            </w:r>
          </w:p>
        </w:tc>
        <w:tc>
          <w:tcPr>
            <w:tcW w:type="dxa" w:w="2108"/>
          </w:tcPr>
          <w:p>
            <w:r>
              <w:rPr>
                <w:sz w:val="16"/>
              </w:rPr>
              <w:t>90-120 kJ/mol</w:t>
            </w:r>
          </w:p>
        </w:tc>
      </w:tr>
      <w:tr>
        <w:tc>
          <w:tcPr>
            <w:tcW w:type="dxa" w:w="2108"/>
          </w:tcPr>
          <w:p>
            <w:r>
              <w:rPr>
                <w:sz w:val="16"/>
              </w:rPr>
              <w:t>Olivine crystallisation</w:t>
            </w:r>
          </w:p>
        </w:tc>
        <w:tc>
          <w:tcPr>
            <w:tcW w:type="dxa" w:w="2108"/>
          </w:tcPr>
          <w:p>
            <w:r>
              <w:rPr>
                <w:sz w:val="16"/>
              </w:rPr>
              <w:t>550-700 C</w:t>
            </w:r>
          </w:p>
        </w:tc>
        <w:tc>
          <w:tcPr>
            <w:tcW w:type="dxa" w:w="2108"/>
          </w:tcPr>
          <w:p>
            <w:r>
              <w:rPr>
                <w:sz w:val="16"/>
              </w:rPr>
              <w:t>4-8 h (main dwell)</w:t>
            </w:r>
          </w:p>
        </w:tc>
        <w:tc>
          <w:tcPr>
            <w:tcW w:type="dxa" w:w="2108"/>
          </w:tcPr>
          <w:p>
            <w:r>
              <w:rPr>
                <w:sz w:val="16"/>
              </w:rPr>
              <w:t>Nucleation and growth of LiFePO4 olivine phase (Jander/Avrami kinetics)</w:t>
            </w:r>
          </w:p>
        </w:tc>
        <w:tc>
          <w:tcPr>
            <w:tcW w:type="dxa" w:w="2108"/>
          </w:tcPr>
          <w:p>
            <w:r>
              <w:rPr>
                <w:sz w:val="16"/>
              </w:rPr>
              <w:t>120-180 kJ/mol</w:t>
            </w:r>
          </w:p>
        </w:tc>
      </w:tr>
      <w:tr>
        <w:tc>
          <w:tcPr>
            <w:tcW w:type="dxa" w:w="2108"/>
          </w:tcPr>
          <w:p>
            <w:r>
              <w:rPr>
                <w:sz w:val="16"/>
              </w:rPr>
              <w:t>Carbon coating consolidation</w:t>
            </w:r>
          </w:p>
        </w:tc>
        <w:tc>
          <w:tcPr>
            <w:tcW w:type="dxa" w:w="2108"/>
          </w:tcPr>
          <w:p>
            <w:r>
              <w:rPr>
                <w:sz w:val="16"/>
              </w:rPr>
              <w:t>600-700 C</w:t>
            </w:r>
          </w:p>
        </w:tc>
        <w:tc>
          <w:tcPr>
            <w:tcW w:type="dxa" w:w="2108"/>
          </w:tcPr>
          <w:p>
            <w:r>
              <w:rPr>
                <w:sz w:val="16"/>
              </w:rPr>
              <w:t>Concurrent with above</w:t>
            </w:r>
          </w:p>
        </w:tc>
        <w:tc>
          <w:tcPr>
            <w:tcW w:type="dxa" w:w="2108"/>
          </w:tcPr>
          <w:p>
            <w:r>
              <w:rPr>
                <w:sz w:val="16"/>
              </w:rPr>
              <w:t>Residual carbon forms 2-5 nm conductive coating on LFP particles</w:t>
            </w:r>
          </w:p>
        </w:tc>
        <w:tc>
          <w:tcPr>
            <w:tcW w:type="dxa" w:w="2108"/>
          </w:tcPr>
          <w:p>
            <w:r>
              <w:rPr>
                <w:sz w:val="16"/>
              </w:rPr>
              <w:t>--</w:t>
            </w:r>
          </w:p>
        </w:tc>
      </w:tr>
      <w:tr>
        <w:tc>
          <w:tcPr>
            <w:tcW w:type="dxa" w:w="2108"/>
          </w:tcPr>
          <w:p>
            <w:r>
              <w:rPr>
                <w:sz w:val="16"/>
              </w:rPr>
              <w:t>Controlled cooling</w:t>
            </w:r>
          </w:p>
        </w:tc>
        <w:tc>
          <w:tcPr>
            <w:tcW w:type="dxa" w:w="2108"/>
          </w:tcPr>
          <w:p>
            <w:r>
              <w:rPr>
                <w:sz w:val="16"/>
              </w:rPr>
              <w:t>700 C to RT</w:t>
            </w:r>
          </w:p>
        </w:tc>
        <w:tc>
          <w:tcPr>
            <w:tcW w:type="dxa" w:w="2108"/>
          </w:tcPr>
          <w:p>
            <w:r>
              <w:rPr>
                <w:sz w:val="16"/>
              </w:rPr>
              <w:t>~4 h</w:t>
            </w:r>
          </w:p>
        </w:tc>
        <w:tc>
          <w:tcPr>
            <w:tcW w:type="dxa" w:w="2108"/>
          </w:tcPr>
          <w:p>
            <w:r>
              <w:rPr>
                <w:sz w:val="16"/>
              </w:rPr>
              <w:t>Slow cooling to avoid thermal stress cracking; maintained under N2</w:t>
            </w:r>
          </w:p>
        </w:tc>
        <w:tc>
          <w:tcPr>
            <w:tcW w:type="dxa" w:w="2108"/>
          </w:tcPr>
          <w:p>
            <w:r>
              <w:rPr>
                <w:sz w:val="16"/>
              </w:rPr>
              <w:t>--</w:t>
            </w:r>
          </w:p>
        </w:tc>
      </w:tr>
    </w:tbl>
    <w:p>
      <w:r>
        <w:rPr>
          <w:color w:val="0066CC"/>
          <w:sz w:val="16"/>
        </w:rPr>
        <w:t>[CLM-020, SRC-011, SRC-DT-REPORT]</w:t>
      </w:r>
    </w:p>
    <w:p>
      <w:r>
        <w:rPr>
          <w:sz w:val="18"/>
        </w:rPr>
        <w:t xml:space="preserve">The electric roller hearth kiln achieves 95% thermal efficiency versus 25-60% for gas-fired kilns </w:t>
      </w:r>
      <w:r>
        <w:rPr>
          <w:color w:val="0066CC"/>
          <w:sz w:val="16"/>
        </w:rPr>
        <w:t>[CLM-023, SRC-ED-009]</w:t>
      </w:r>
      <w:r>
        <w:rPr>
          <w:sz w:val="18"/>
        </w:rPr>
        <w:t>. Multi-zone independent PID temperature control with Kanthal SiC or Tubothal heating elements enables precise temperature profile shaping compatible with DT-driven MPC optimisation. The absence of combustion gases simplifies atmosphere control -- in a gas-fired kiln, combustion products (H2O, CO2, trace O2) contaminate the N2 atmosphere, making strict pO2 control more challenging.</w:t>
      </w:r>
    </w:p>
    <w:p>
      <w:r>
        <w:rPr>
          <w:b/>
          <w:sz w:val="18"/>
        </w:rPr>
        <w:t>Critical process control requirements</w:t>
      </w:r>
      <w:r>
        <w:rPr>
          <w:sz w:val="18"/>
        </w:rPr>
        <w:t>:</w:t>
      </w:r>
    </w:p>
    <w:p>
      <w:pPr>
        <w:pStyle w:val="ListBullet"/>
      </w:pPr>
      <w:r>
        <w:rPr>
          <w:sz w:val="18"/>
        </w:rPr>
        <w:t>pO2 must remain &lt;10 ppm throughout calcination to prevent Fe2+ surface oxidation to Fe3+, which degrades electronic conductivity and electrochemical capacity</w:t>
      </w:r>
    </w:p>
    <w:p>
      <w:pPr>
        <w:pStyle w:val="ListBullet"/>
      </w:pPr>
      <w:r>
        <w:rPr>
          <w:sz w:val="18"/>
        </w:rPr>
        <w:t>Temperature must not exceed ~750 C to avoid formation of impurity phases (Li3PO4, Fe2P)</w:t>
      </w:r>
    </w:p>
    <w:p>
      <w:pPr>
        <w:pStyle w:val="ListBullet"/>
      </w:pPr>
      <w:r>
        <w:rPr>
          <w:sz w:val="18"/>
        </w:rPr>
        <w:t>Cooling rate must be controlled to prevent thermal stress-induced particle cracking</w:t>
      </w:r>
    </w:p>
    <w:p>
      <w:r>
        <w:rPr>
          <w:b/>
          <w:sz w:val="18"/>
        </w:rPr>
        <w:t>Key process parameters</w:t>
      </w:r>
      <w:r>
        <w:rPr>
          <w:sz w:val="18"/>
        </w:rPr>
        <w:t>: Temperature profile (CPP -- zone-by-zone setpoints); N2 flow rate (CPP); pO2 level (CPP); dwell time at peak temperature (CPP); cooling rate (CPP).</w:t>
      </w:r>
    </w:p>
    <w:p>
      <w:r>
        <w:rPr>
          <w:b/>
          <w:sz w:val="18"/>
        </w:rPr>
        <w:t>DT integration</w:t>
      </w:r>
      <w:r>
        <w:rPr>
          <w:sz w:val="18"/>
        </w:rPr>
        <w:t xml:space="preserve">: This is the highest-value DT intervention point. Sensor suite includes: Type K/S thermocouples (contact, +/-1.5 C), ratio pyrometers (non-contact, +/-0.5%), IR cameras (full-field 2D thermal mapping), zirconia O2 sensors (&lt;10 ppm resolution), NDIR analysers for CO2/CO/CH4 evolved gas analysis </w:t>
      </w:r>
      <w:r>
        <w:rPr>
          <w:color w:val="0066CC"/>
          <w:sz w:val="16"/>
        </w:rPr>
        <w:t>[SRC-DT-REPORT]</w:t>
      </w:r>
      <w:r>
        <w:rPr>
          <w:sz w:val="18"/>
        </w:rPr>
        <w:t>. The DT core runs a CFD-calibrated thermal model combined with multi-step reaction kinetics (Jander/Avrami) to predict olivine conversion, impurity formation, and carbon coating quality in real-time. MPC optimises the temperature profile to minimise energy consumption while maintaining CQA targets within the validated design space.</w:t>
      </w:r>
    </w:p>
    <w:p>
      <w:r>
        <w:rPr>
          <w:sz w:val="18"/>
        </w:rPr>
        <w:t>Post-calcination at-line analysis: Raman spectroscopy (olivine phase at 950 cm-1, carbon D/G ratio, impurity phases), XRD (phase purity by Rietveld refinement), XRF (elemental composition verification).</w:t>
      </w:r>
    </w:p>
    <w:p>
      <w:r>
        <w:rPr>
          <w:b/>
          <w:sz w:val="18"/>
        </w:rPr>
        <w:t>Outputs</w:t>
      </w:r>
      <w:r>
        <w:rPr>
          <w:sz w:val="18"/>
        </w:rPr>
        <w:t>: Calcined LFP/C powder with target phase purity &gt;98% olivine, carbon content 1.0-1.8 wt%.</w:t>
      </w:r>
    </w:p>
    <w:p>
      <w:pPr>
        <w:pStyle w:val="Heading4"/>
      </w:pPr>
      <w:r>
        <w:t>Step 5: Jet Milling</w:t>
      </w:r>
    </w:p>
    <w:p>
      <w:r>
        <w:rPr>
          <w:b/>
          <w:sz w:val="18"/>
        </w:rPr>
        <w:t>Inputs</w:t>
      </w:r>
      <w:r>
        <w:rPr>
          <w:sz w:val="18"/>
        </w:rPr>
        <w:t>: Calcined LFP/C powder from Step 4.</w:t>
      </w:r>
    </w:p>
    <w:p>
      <w:r>
        <w:rPr>
          <w:b/>
          <w:sz w:val="18"/>
        </w:rPr>
        <w:t>Operation</w:t>
      </w:r>
      <w:r>
        <w:rPr>
          <w:sz w:val="18"/>
        </w:rPr>
        <w:t>: The calcined product consists of sintered agglomerates that must be de-agglomerated to the final target particle size (D50 0.7-2.5 um). A compressed gas jet mill (nitrogen or air) achieves high-velocity interparticle collisions that break agglomerates while preserving the olivine crystal structure and carbon coating integrity. The built-in classifier ensures only particles below the target D90 exit the mill.</w:t>
      </w:r>
    </w:p>
    <w:p>
      <w:r>
        <w:rPr>
          <w:b/>
          <w:sz w:val="18"/>
        </w:rPr>
        <w:t>Key process parameters</w:t>
      </w:r>
      <w:r>
        <w:rPr>
          <w:sz w:val="18"/>
        </w:rPr>
        <w:t>: Grinding gas pressure (CPP); classifier speed (CPP); feed rate.</w:t>
      </w:r>
    </w:p>
    <w:p>
      <w:r>
        <w:rPr>
          <w:b/>
          <w:sz w:val="18"/>
        </w:rPr>
        <w:t>DT integration</w:t>
      </w:r>
      <w:r>
        <w:rPr>
          <w:sz w:val="18"/>
        </w:rPr>
        <w:t>: The DT's DEM (Discrete Element Method) model predicts particle breakage kinetics and final PSD from milling energy and classifier settings. FBRM provides in-line chord length distribution; laser diffraction provides at-line D10/D50/D90 validation.</w:t>
      </w:r>
    </w:p>
    <w:p>
      <w:r>
        <w:rPr>
          <w:b/>
          <w:sz w:val="18"/>
        </w:rPr>
        <w:t>Outputs</w:t>
      </w:r>
      <w:r>
        <w:rPr>
          <w:sz w:val="18"/>
        </w:rPr>
        <w:t>: De-agglomerated LFP/C powder (D50 0.7-2.5 um).</w:t>
      </w:r>
    </w:p>
    <w:p>
      <w:pPr>
        <w:pStyle w:val="Heading4"/>
      </w:pPr>
      <w:r>
        <w:t>Step 6: Ultrasonic Sieving and Demagnetisation</w:t>
      </w:r>
    </w:p>
    <w:p>
      <w:r>
        <w:rPr>
          <w:b/>
          <w:sz w:val="18"/>
        </w:rPr>
        <w:t>Inputs</w:t>
      </w:r>
      <w:r>
        <w:rPr>
          <w:sz w:val="18"/>
        </w:rPr>
        <w:t>: Milled LFP/C powder from Step 5.</w:t>
      </w:r>
    </w:p>
    <w:p>
      <w:r>
        <w:rPr>
          <w:b/>
          <w:sz w:val="18"/>
        </w:rPr>
        <w:t>Operation</w:t>
      </w:r>
      <w:r>
        <w:rPr>
          <w:sz w:val="18"/>
        </w:rPr>
        <w:t>: The powder passes through an ultrasonic vibrating sieve (cut-off 10-20 um) to remove oversized particles and any residual agglomerates. Subsequently, an electromagnetic dry powder separator removes ferromagnetic contaminants potentially introduced during milling. The final D50, span, and magnetic contamination level are verified by at-line measurements.</w:t>
      </w:r>
    </w:p>
    <w:p>
      <w:r>
        <w:rPr>
          <w:b/>
          <w:sz w:val="18"/>
        </w:rPr>
        <w:t>Key process parameters</w:t>
      </w:r>
      <w:r>
        <w:rPr>
          <w:sz w:val="18"/>
        </w:rPr>
        <w:t>: Sieve aperture; ultrasonic frequency/amplitude; magnetic field strength.</w:t>
      </w:r>
    </w:p>
    <w:p>
      <w:r>
        <w:rPr>
          <w:b/>
          <w:sz w:val="18"/>
        </w:rPr>
        <w:t>DT integration</w:t>
      </w:r>
      <w:r>
        <w:rPr>
          <w:sz w:val="18"/>
        </w:rPr>
        <w:t>: At-line laser diffraction and magnetic susceptibility measurements feed into the DT for batch disposition decision.</w:t>
      </w:r>
    </w:p>
    <w:p>
      <w:r>
        <w:rPr>
          <w:b/>
          <w:sz w:val="18"/>
        </w:rPr>
        <w:t>Outputs</w:t>
      </w:r>
      <w:r>
        <w:rPr>
          <w:sz w:val="18"/>
        </w:rPr>
        <w:t>: Classified, demagnetised LFP/C powder meeting final PSD and purity specifications.</w:t>
      </w:r>
    </w:p>
    <w:p>
      <w:pPr>
        <w:pStyle w:val="Heading4"/>
      </w:pPr>
      <w:r>
        <w:t>Step 7: Automated Packaging</w:t>
      </w:r>
    </w:p>
    <w:p>
      <w:r>
        <w:rPr>
          <w:b/>
          <w:sz w:val="18"/>
        </w:rPr>
        <w:t>Inputs</w:t>
      </w:r>
      <w:r>
        <w:rPr>
          <w:sz w:val="18"/>
        </w:rPr>
        <w:t>: Qualified LFP/C powder from Step 6.</w:t>
      </w:r>
    </w:p>
    <w:p>
      <w:r>
        <w:rPr>
          <w:b/>
          <w:sz w:val="18"/>
        </w:rPr>
        <w:t>Operation</w:t>
      </w:r>
      <w:r>
        <w:rPr>
          <w:sz w:val="18"/>
        </w:rPr>
        <w:t>: Product is automatically weighed and packaged under nitrogen atmosphere (N2 blanketing) in multi-layer moisture-barrier bags. Each bag is sealed, labelled with lot number and QR code, and palletised. Full batch traceability is maintained -- the DT records all process parameters, sensor data, and quality test results against the lot number, forming the basis for Battery Passport data.</w:t>
      </w:r>
    </w:p>
    <w:p>
      <w:r>
        <w:rPr>
          <w:b/>
          <w:sz w:val="18"/>
        </w:rPr>
        <w:t>Key process parameters</w:t>
      </w:r>
      <w:r>
        <w:rPr>
          <w:sz w:val="18"/>
        </w:rPr>
        <w:t>: Package weight; N2 blanket purity; seal integrity.</w:t>
      </w:r>
    </w:p>
    <w:p>
      <w:r>
        <w:rPr>
          <w:b/>
          <w:sz w:val="18"/>
        </w:rPr>
        <w:t>DT integration</w:t>
      </w:r>
      <w:r>
        <w:rPr>
          <w:sz w:val="18"/>
        </w:rPr>
        <w:t>: Final batch quality report generated automatically. DT compares all CQA measurements against specifications and issues pass/fail disposition. All data archived in time-series database for Battery Passport compliance.</w:t>
      </w:r>
    </w:p>
    <w:p>
      <w:r>
        <w:rPr>
          <w:b/>
          <w:sz w:val="18"/>
        </w:rPr>
        <w:t>Outputs</w:t>
      </w:r>
      <w:r>
        <w:rPr>
          <w:sz w:val="18"/>
        </w:rPr>
        <w:t>: Packaged, qualified battery-grade LiFePO4/C cathode active material.</w:t>
      </w:r>
    </w:p>
    <w:p>
      <w:pPr>
        <w:pStyle w:val="Heading3"/>
      </w:pPr>
      <w:r>
        <w:t>6.7 Mass and Energy Balances</w:t>
      </w:r>
    </w:p>
    <w:p>
      <w:pPr>
        <w:pStyle w:val="Heading4"/>
      </w:pPr>
      <w:r>
        <w:t>6.7.1 Mass Balance (per tonne of LFP CAM product)</w:t>
      </w:r>
    </w:p>
    <w:p>
      <w:r>
        <w:rPr>
          <w:sz w:val="18"/>
        </w:rPr>
        <w:t>The solid-state synthesis reaction can be summarised as:</w:t>
      </w:r>
    </w:p>
    <w:p>
      <w:r>
        <w:rPr>
          <w:sz w:val="18"/>
        </w:rPr>
        <w:t>LiFePO4 formation: Li2CO3 + 2 FePO4 + C6H12O6 -&gt; 2 LiFePO4/C + CO2 + H2O (simplified)</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Input</w:t>
            </w:r>
          </w:p>
        </w:tc>
        <w:tc>
          <w:tcPr>
            <w:tcW w:type="dxa" w:w="3513"/>
          </w:tcPr>
          <w:p>
            <w:r>
              <w:rPr>
                <w:b/>
                <w:sz w:val="16"/>
              </w:rPr>
              <w:t>Quantity (per t LFP CAM)</w:t>
            </w:r>
          </w:p>
        </w:tc>
        <w:tc>
          <w:tcPr>
            <w:tcW w:type="dxa" w:w="3513"/>
          </w:tcPr>
          <w:p>
            <w:r>
              <w:rPr>
                <w:b/>
                <w:sz w:val="16"/>
              </w:rPr>
              <w:t>Notes</w:t>
            </w:r>
          </w:p>
        </w:tc>
      </w:tr>
      <w:tr>
        <w:tc>
          <w:tcPr>
            <w:tcW w:type="dxa" w:w="3513"/>
          </w:tcPr>
          <w:p>
            <w:r>
              <w:rPr>
                <w:sz w:val="16"/>
              </w:rPr>
              <w:t>FePO4 (iron phosphate)</w:t>
            </w:r>
          </w:p>
        </w:tc>
        <w:tc>
          <w:tcPr>
            <w:tcW w:type="dxa" w:w="3513"/>
          </w:tcPr>
          <w:p>
            <w:r>
              <w:rPr>
                <w:sz w:val="16"/>
              </w:rPr>
              <w:t>980 kg</w:t>
            </w:r>
          </w:p>
        </w:tc>
        <w:tc>
          <w:tcPr>
            <w:tcW w:type="dxa" w:w="3513"/>
          </w:tcPr>
          <w:p>
            <w:r>
              <w:rPr>
                <w:sz w:val="16"/>
              </w:rPr>
              <w:t>Per production document</w:t>
            </w:r>
          </w:p>
        </w:tc>
      </w:tr>
      <w:tr>
        <w:tc>
          <w:tcPr>
            <w:tcW w:type="dxa" w:w="3513"/>
          </w:tcPr>
          <w:p>
            <w:r>
              <w:rPr>
                <w:sz w:val="16"/>
              </w:rPr>
              <w:t>Li2CO3 (lithium carbonate)</w:t>
            </w:r>
          </w:p>
        </w:tc>
        <w:tc>
          <w:tcPr>
            <w:tcW w:type="dxa" w:w="3513"/>
          </w:tcPr>
          <w:p>
            <w:r>
              <w:rPr>
                <w:sz w:val="16"/>
              </w:rPr>
              <w:t>250 kg</w:t>
            </w:r>
          </w:p>
        </w:tc>
        <w:tc>
          <w:tcPr>
            <w:tcW w:type="dxa" w:w="3513"/>
          </w:tcPr>
          <w:p>
            <w:r>
              <w:rPr>
                <w:sz w:val="16"/>
              </w:rPr>
              <w:t>Per production document</w:t>
            </w:r>
          </w:p>
        </w:tc>
      </w:tr>
      <w:tr>
        <w:tc>
          <w:tcPr>
            <w:tcW w:type="dxa" w:w="3513"/>
          </w:tcPr>
          <w:p>
            <w:r>
              <w:rPr>
                <w:sz w:val="16"/>
              </w:rPr>
              <w:t>Glucose (C6H12O6)</w:t>
            </w:r>
          </w:p>
        </w:tc>
        <w:tc>
          <w:tcPr>
            <w:tcW w:type="dxa" w:w="3513"/>
          </w:tcPr>
          <w:p>
            <w:r>
              <w:rPr>
                <w:sz w:val="16"/>
              </w:rPr>
              <w:t>10 kg</w:t>
            </w:r>
          </w:p>
        </w:tc>
        <w:tc>
          <w:tcPr>
            <w:tcW w:type="dxa" w:w="3513"/>
          </w:tcPr>
          <w:p>
            <w:r>
              <w:rPr>
                <w:sz w:val="16"/>
              </w:rPr>
              <w:t>Per production document; carbon source for in-situ coating</w:t>
            </w:r>
          </w:p>
        </w:tc>
      </w:tr>
      <w:tr>
        <w:tc>
          <w:tcPr>
            <w:tcW w:type="dxa" w:w="3513"/>
          </w:tcPr>
          <w:p>
            <w:r>
              <w:rPr>
                <w:sz w:val="16"/>
              </w:rPr>
              <w:t>TiO2</w:t>
            </w:r>
          </w:p>
        </w:tc>
        <w:tc>
          <w:tcPr>
            <w:tcW w:type="dxa" w:w="3513"/>
          </w:tcPr>
          <w:p>
            <w:r>
              <w:rPr>
                <w:sz w:val="16"/>
              </w:rPr>
              <w:t>8 kg</w:t>
            </w:r>
          </w:p>
        </w:tc>
        <w:tc>
          <w:tcPr>
            <w:tcW w:type="dxa" w:w="3513"/>
          </w:tcPr>
          <w:p>
            <w:r>
              <w:rPr>
                <w:sz w:val="16"/>
              </w:rPr>
              <w:t>Per production document; doping/coating additive</w:t>
            </w:r>
          </w:p>
        </w:tc>
      </w:tr>
      <w:tr>
        <w:tc>
          <w:tcPr>
            <w:tcW w:type="dxa" w:w="3513"/>
          </w:tcPr>
          <w:p>
            <w:r>
              <w:rPr>
                <w:sz w:val="16"/>
              </w:rPr>
              <w:t>H3PO4</w:t>
            </w:r>
          </w:p>
        </w:tc>
        <w:tc>
          <w:tcPr>
            <w:tcW w:type="dxa" w:w="3513"/>
          </w:tcPr>
          <w:p>
            <w:r>
              <w:rPr>
                <w:sz w:val="16"/>
              </w:rPr>
              <w:t>6 kg</w:t>
            </w:r>
          </w:p>
        </w:tc>
        <w:tc>
          <w:tcPr>
            <w:tcW w:type="dxa" w:w="3513"/>
          </w:tcPr>
          <w:p>
            <w:r>
              <w:rPr>
                <w:sz w:val="16"/>
              </w:rPr>
              <w:t>Per production document; supplementary phosphorus source</w:t>
            </w:r>
          </w:p>
        </w:tc>
      </w:tr>
      <w:tr>
        <w:tc>
          <w:tcPr>
            <w:tcW w:type="dxa" w:w="3513"/>
          </w:tcPr>
          <w:p>
            <w:r>
              <w:rPr>
                <w:sz w:val="16"/>
              </w:rPr>
              <w:t>Production water</w:t>
            </w:r>
          </w:p>
        </w:tc>
        <w:tc>
          <w:tcPr>
            <w:tcW w:type="dxa" w:w="3513"/>
          </w:tcPr>
          <w:p>
            <w:r>
              <w:rPr>
                <w:sz w:val="16"/>
              </w:rPr>
              <w:t>4,000 L (4 t)</w:t>
            </w:r>
          </w:p>
        </w:tc>
        <w:tc>
          <w:tcPr>
            <w:tcW w:type="dxa" w:w="3513"/>
          </w:tcPr>
          <w:p>
            <w:r>
              <w:rPr>
                <w:sz w:val="16"/>
              </w:rPr>
              <w:t>Per production document; partially recovered from spray dryer condensate</w:t>
            </w:r>
          </w:p>
        </w:tc>
      </w:tr>
      <w:tr>
        <w:tc>
          <w:tcPr>
            <w:tcW w:type="dxa" w:w="3513"/>
          </w:tcPr>
          <w:p>
            <w:r>
              <w:rPr>
                <w:sz w:val="16"/>
              </w:rPr>
              <w:t>Pure water</w:t>
            </w:r>
          </w:p>
        </w:tc>
        <w:tc>
          <w:tcPr>
            <w:tcW w:type="dxa" w:w="3513"/>
          </w:tcPr>
          <w:p>
            <w:r>
              <w:rPr>
                <w:sz w:val="16"/>
              </w:rPr>
              <w:t>5,000 L (5 t)</w:t>
            </w:r>
          </w:p>
        </w:tc>
        <w:tc>
          <w:tcPr>
            <w:tcW w:type="dxa" w:w="3513"/>
          </w:tcPr>
          <w:p>
            <w:r>
              <w:rPr>
                <w:sz w:val="16"/>
              </w:rPr>
              <w:t>Per production document; high-purity process applications</w:t>
            </w:r>
          </w:p>
        </w:tc>
      </w:tr>
      <w:tr>
        <w:tc>
          <w:tcPr>
            <w:tcW w:type="dxa" w:w="3513"/>
          </w:tcPr>
          <w:p>
            <w:r>
              <w:rPr>
                <w:sz w:val="16"/>
              </w:rPr>
              <w:t>Nitrogen gas</w:t>
            </w:r>
          </w:p>
        </w:tc>
        <w:tc>
          <w:tcPr>
            <w:tcW w:type="dxa" w:w="3513"/>
          </w:tcPr>
          <w:p>
            <w:r>
              <w:rPr>
                <w:sz w:val="16"/>
              </w:rPr>
              <w:t>850 m3</w:t>
            </w:r>
          </w:p>
        </w:tc>
        <w:tc>
          <w:tcPr>
            <w:tcW w:type="dxa" w:w="3513"/>
          </w:tcPr>
          <w:p>
            <w:r>
              <w:rPr>
                <w:sz w:val="16"/>
              </w:rPr>
              <w:t>Per production document; calcination atmosphere; partially recycled</w:t>
            </w:r>
          </w:p>
        </w:tc>
      </w:tr>
      <w:tr>
        <w:tc>
          <w:tcPr>
            <w:tcW w:type="dxa" w:w="3513"/>
          </w:tcPr>
          <w:p>
            <w:r>
              <w:rPr>
                <w:sz w:val="16"/>
              </w:rPr>
              <w:t>Electricity</w:t>
            </w:r>
          </w:p>
        </w:tc>
        <w:tc>
          <w:tcPr>
            <w:tcW w:type="dxa" w:w="3513"/>
          </w:tcPr>
          <w:p>
            <w:r>
              <w:rPr>
                <w:sz w:val="16"/>
              </w:rPr>
              <w:t>3,580 kWh</w:t>
            </w:r>
          </w:p>
        </w:tc>
        <w:tc>
          <w:tcPr>
            <w:tcW w:type="dxa" w:w="3513"/>
          </w:tcPr>
          <w:p>
            <w:r>
              <w:rPr>
                <w:sz w:val="16"/>
              </w:rPr>
              <w:t>Per production document</w:t>
            </w:r>
          </w:p>
        </w:tc>
      </w:tr>
      <w:tr>
        <w:tc>
          <w:tcPr>
            <w:tcW w:type="dxa" w:w="3513"/>
          </w:tcPr>
          <w:p>
            <w:r>
              <w:rPr>
                <w:sz w:val="16"/>
              </w:rPr>
              <w:t>Natural gas</w:t>
            </w:r>
          </w:p>
        </w:tc>
        <w:tc>
          <w:tcPr>
            <w:tcW w:type="dxa" w:w="3513"/>
          </w:tcPr>
          <w:p>
            <w:r>
              <w:rPr>
                <w:sz w:val="16"/>
              </w:rPr>
              <w:t>189 m3</w:t>
            </w:r>
          </w:p>
        </w:tc>
        <w:tc>
          <w:tcPr>
            <w:tcW w:type="dxa" w:w="3513"/>
          </w:tcPr>
          <w:p>
            <w:r>
              <w:rPr>
                <w:sz w:val="16"/>
              </w:rPr>
              <w:t>Per production document; auxiliary heating (progressive electrification)</w:t>
            </w:r>
          </w:p>
        </w:tc>
      </w:tr>
    </w:tbl>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Output</w:t>
            </w:r>
          </w:p>
        </w:tc>
        <w:tc>
          <w:tcPr>
            <w:tcW w:type="dxa" w:w="3513"/>
          </w:tcPr>
          <w:p>
            <w:r>
              <w:rPr>
                <w:b/>
                <w:sz w:val="16"/>
              </w:rPr>
              <w:t>Quantity (per t LFP CAM)</w:t>
            </w:r>
          </w:p>
        </w:tc>
        <w:tc>
          <w:tcPr>
            <w:tcW w:type="dxa" w:w="3513"/>
          </w:tcPr>
          <w:p>
            <w:r>
              <w:rPr>
                <w:b/>
                <w:sz w:val="16"/>
              </w:rPr>
              <w:t>Notes</w:t>
            </w:r>
          </w:p>
        </w:tc>
      </w:tr>
      <w:tr>
        <w:tc>
          <w:tcPr>
            <w:tcW w:type="dxa" w:w="3513"/>
          </w:tcPr>
          <w:p>
            <w:r>
              <w:rPr>
                <w:sz w:val="16"/>
              </w:rPr>
              <w:t>LiFePO4/C product</w:t>
            </w:r>
          </w:p>
        </w:tc>
        <w:tc>
          <w:tcPr>
            <w:tcW w:type="dxa" w:w="3513"/>
          </w:tcPr>
          <w:p>
            <w:r>
              <w:rPr>
                <w:sz w:val="16"/>
              </w:rPr>
              <w:t>1,000 kg</w:t>
            </w:r>
          </w:p>
        </w:tc>
        <w:tc>
          <w:tcPr>
            <w:tcW w:type="dxa" w:w="3513"/>
          </w:tcPr>
          <w:p>
            <w:r>
              <w:rPr>
                <w:sz w:val="16"/>
              </w:rPr>
              <w:t>Battery-grade, packaged</w:t>
            </w:r>
          </w:p>
        </w:tc>
      </w:tr>
      <w:tr>
        <w:tc>
          <w:tcPr>
            <w:tcW w:type="dxa" w:w="3513"/>
          </w:tcPr>
          <w:p>
            <w:r>
              <w:rPr>
                <w:sz w:val="16"/>
              </w:rPr>
              <w:t>CO2 (from Li2CO3 decomposition)</w:t>
            </w:r>
          </w:p>
        </w:tc>
        <w:tc>
          <w:tcPr>
            <w:tcW w:type="dxa" w:w="3513"/>
          </w:tcPr>
          <w:p>
            <w:r>
              <w:rPr>
                <w:sz w:val="16"/>
              </w:rPr>
              <w:t>~280 kg</w:t>
            </w:r>
          </w:p>
        </w:tc>
        <w:tc>
          <w:tcPr>
            <w:tcW w:type="dxa" w:w="3513"/>
          </w:tcPr>
          <w:p>
            <w:r>
              <w:rPr>
                <w:sz w:val="16"/>
              </w:rPr>
              <w:t>Process CO2; stoichiometric from carbonate</w:t>
            </w:r>
          </w:p>
        </w:tc>
      </w:tr>
      <w:tr>
        <w:tc>
          <w:tcPr>
            <w:tcW w:type="dxa" w:w="3513"/>
          </w:tcPr>
          <w:p>
            <w:r>
              <w:rPr>
                <w:sz w:val="16"/>
              </w:rPr>
              <w:t>CO2/H2O (from glucose pyrolysis)</w:t>
            </w:r>
          </w:p>
        </w:tc>
        <w:tc>
          <w:tcPr>
            <w:tcW w:type="dxa" w:w="3513"/>
          </w:tcPr>
          <w:p>
            <w:r>
              <w:rPr>
                <w:sz w:val="16"/>
              </w:rPr>
              <w:t>~50-100 kg</w:t>
            </w:r>
          </w:p>
        </w:tc>
        <w:tc>
          <w:tcPr>
            <w:tcW w:type="dxa" w:w="3513"/>
          </w:tcPr>
          <w:p>
            <w:r>
              <w:rPr>
                <w:sz w:val="16"/>
              </w:rPr>
              <w:t>Volatile products captured in off-gas treatment</w:t>
            </w:r>
          </w:p>
        </w:tc>
      </w:tr>
      <w:tr>
        <w:tc>
          <w:tcPr>
            <w:tcW w:type="dxa" w:w="3513"/>
          </w:tcPr>
          <w:p>
            <w:r>
              <w:rPr>
                <w:sz w:val="16"/>
              </w:rPr>
              <w:t>Water vapour (from spray drying)</w:t>
            </w:r>
          </w:p>
        </w:tc>
        <w:tc>
          <w:tcPr>
            <w:tcW w:type="dxa" w:w="3513"/>
          </w:tcPr>
          <w:p>
            <w:r>
              <w:rPr>
                <w:sz w:val="16"/>
              </w:rPr>
              <w:t>~4,000-5,000 kg</w:t>
            </w:r>
          </w:p>
        </w:tc>
        <w:tc>
          <w:tcPr>
            <w:tcW w:type="dxa" w:w="3513"/>
          </w:tcPr>
          <w:p>
            <w:r>
              <w:rPr>
                <w:sz w:val="16"/>
              </w:rPr>
              <w:t>Partially recovered from spray dryer condensate</w:t>
            </w:r>
          </w:p>
        </w:tc>
      </w:tr>
      <w:tr>
        <w:tc>
          <w:tcPr>
            <w:tcW w:type="dxa" w:w="3513"/>
          </w:tcPr>
          <w:p>
            <w:r>
              <w:rPr>
                <w:sz w:val="16"/>
              </w:rPr>
              <w:t>Off-spec product</w:t>
            </w:r>
          </w:p>
        </w:tc>
        <w:tc>
          <w:tcPr>
            <w:tcW w:type="dxa" w:w="3513"/>
          </w:tcPr>
          <w:p>
            <w:r>
              <w:rPr>
                <w:sz w:val="16"/>
              </w:rPr>
              <w:t>&lt;50 kg (&lt;5%)</w:t>
            </w:r>
          </w:p>
        </w:tc>
        <w:tc>
          <w:tcPr>
            <w:tcW w:type="dxa" w:w="3513"/>
          </w:tcPr>
          <w:p>
            <w:r>
              <w:rPr>
                <w:sz w:val="16"/>
              </w:rPr>
              <w:t>Recycled to precursor stage</w:t>
            </w:r>
          </w:p>
        </w:tc>
      </w:tr>
      <w:tr>
        <w:tc>
          <w:tcPr>
            <w:tcW w:type="dxa" w:w="3513"/>
          </w:tcPr>
          <w:p>
            <w:r>
              <w:rPr>
                <w:sz w:val="16"/>
              </w:rPr>
              <w:t>Spent grinding media</w:t>
            </w:r>
          </w:p>
        </w:tc>
        <w:tc>
          <w:tcPr>
            <w:tcW w:type="dxa" w:w="3513"/>
          </w:tcPr>
          <w:p>
            <w:r>
              <w:rPr>
                <w:sz w:val="16"/>
              </w:rPr>
              <w:t>Negligible (replaced periodically)</w:t>
            </w:r>
          </w:p>
        </w:tc>
        <w:tc>
          <w:tcPr>
            <w:tcW w:type="dxa" w:w="3513"/>
          </w:tcPr>
          <w:p>
            <w:r>
              <w:rPr>
                <w:sz w:val="16"/>
              </w:rPr>
              <w:t>ZrO2 beads; metal recycling</w:t>
            </w:r>
          </w:p>
        </w:tc>
      </w:tr>
    </w:tbl>
    <w:p>
      <w:r>
        <w:rPr>
          <w:sz w:val="18"/>
        </w:rPr>
        <w:t>Product yield: &gt;95% (Li and Fe-P basis), with primary mass losses from CO2 evolution during carbonate decomposition and volatile organic evolution during glucose pyrolysis.</w:t>
      </w:r>
    </w:p>
    <w:p>
      <w:pPr>
        <w:pStyle w:val="Heading4"/>
      </w:pPr>
      <w:r>
        <w:t>6.7.2 Energy Balance (per tonne of LFP CAM product)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Process Step</w:t>
            </w:r>
          </w:p>
        </w:tc>
        <w:tc>
          <w:tcPr>
            <w:tcW w:type="dxa" w:w="2635"/>
          </w:tcPr>
          <w:p>
            <w:r>
              <w:rPr>
                <w:b/>
                <w:sz w:val="16"/>
              </w:rPr>
              <w:t>Gas-Fired Reference (kWh_thermal)</w:t>
            </w:r>
          </w:p>
        </w:tc>
        <w:tc>
          <w:tcPr>
            <w:tcW w:type="dxa" w:w="2635"/>
          </w:tcPr>
          <w:p>
            <w:r>
              <w:rPr>
                <w:b/>
                <w:sz w:val="16"/>
              </w:rPr>
              <w:t>FACE (Progressive Electrification)</w:t>
            </w:r>
          </w:p>
        </w:tc>
        <w:tc>
          <w:tcPr>
            <w:tcW w:type="dxa" w:w="2635"/>
          </w:tcPr>
          <w:p>
            <w:r>
              <w:rPr>
                <w:b/>
                <w:sz w:val="16"/>
              </w:rPr>
              <w:t>Source</w:t>
            </w:r>
          </w:p>
        </w:tc>
      </w:tr>
      <w:tr>
        <w:tc>
          <w:tcPr>
            <w:tcW w:type="dxa" w:w="2635"/>
          </w:tcPr>
          <w:p>
            <w:r>
              <w:rPr>
                <w:sz w:val="16"/>
              </w:rPr>
              <w:t>Spray drying</w:t>
            </w:r>
          </w:p>
        </w:tc>
        <w:tc>
          <w:tcPr>
            <w:tcW w:type="dxa" w:w="2635"/>
          </w:tcPr>
          <w:p>
            <w:r>
              <w:rPr>
                <w:sz w:val="16"/>
              </w:rPr>
              <w:t>~800-1,200 kWh_th (gas)</w:t>
            </w:r>
          </w:p>
        </w:tc>
        <w:tc>
          <w:tcPr>
            <w:tcW w:type="dxa" w:w="2635"/>
          </w:tcPr>
          <w:p>
            <w:r>
              <w:rPr>
                <w:sz w:val="16"/>
              </w:rPr>
              <w:t>Electric resistance primary + limited gas auxiliary</w:t>
            </w:r>
          </w:p>
        </w:tc>
        <w:tc>
          <w:tcPr>
            <w:tcW w:type="dxa" w:w="2635"/>
          </w:tcPr>
          <w:p>
            <w:r>
              <w:rPr>
                <w:sz w:val="16"/>
              </w:rPr>
              <w:t>[SRC-ED-001, SRC-ED-005, SRC-ED-021]</w:t>
            </w:r>
          </w:p>
        </w:tc>
      </w:tr>
      <w:tr>
        <w:tc>
          <w:tcPr>
            <w:tcW w:type="dxa" w:w="2635"/>
          </w:tcPr>
          <w:p>
            <w:r>
              <w:rPr>
                <w:sz w:val="16"/>
              </w:rPr>
              <w:t>Calcination</w:t>
            </w:r>
          </w:p>
        </w:tc>
        <w:tc>
          <w:tcPr>
            <w:tcW w:type="dxa" w:w="2635"/>
          </w:tcPr>
          <w:p>
            <w:r>
              <w:rPr>
                <w:sz w:val="16"/>
              </w:rPr>
              <w:t>~1,500-2,500 kWh_th (gas, at 25-60% efficiency)</w:t>
            </w:r>
          </w:p>
        </w:tc>
        <w:tc>
          <w:tcPr>
            <w:tcW w:type="dxa" w:w="2635"/>
          </w:tcPr>
          <w:p>
            <w:r>
              <w:rPr>
                <w:sz w:val="16"/>
              </w:rPr>
              <w:t>Electric roller hearth kiln primary + limited gas auxiliary; calcination in saggars under N2</w:t>
            </w:r>
          </w:p>
        </w:tc>
        <w:tc>
          <w:tcPr>
            <w:tcW w:type="dxa" w:w="2635"/>
          </w:tcPr>
          <w:p>
            <w:r>
              <w:rPr>
                <w:sz w:val="16"/>
              </w:rPr>
              <w:t>[CLM-023, SRC-ED-009, SRC-ED-010]</w:t>
            </w:r>
          </w:p>
        </w:tc>
      </w:tr>
      <w:tr>
        <w:tc>
          <w:tcPr>
            <w:tcW w:type="dxa" w:w="2635"/>
          </w:tcPr>
          <w:p>
            <w:r>
              <w:rPr>
                <w:sz w:val="16"/>
              </w:rPr>
              <w:t>Milling (sand + jet)</w:t>
            </w:r>
          </w:p>
        </w:tc>
        <w:tc>
          <w:tcPr>
            <w:tcW w:type="dxa" w:w="2635"/>
          </w:tcPr>
          <w:p>
            <w:r>
              <w:rPr>
                <w:sz w:val="16"/>
              </w:rPr>
              <w:t>~200-400 kWh_e</w:t>
            </w:r>
          </w:p>
        </w:tc>
        <w:tc>
          <w:tcPr>
            <w:tcW w:type="dxa" w:w="2635"/>
          </w:tcPr>
          <w:p>
            <w:r>
              <w:rPr>
                <w:sz w:val="16"/>
              </w:rPr>
              <w:t>~200-400 kWh_e (same; electric in both cases)</w:t>
            </w:r>
          </w:p>
        </w:tc>
        <w:tc>
          <w:tcPr>
            <w:tcW w:type="dxa" w:w="2635"/>
          </w:tcPr>
          <w:p>
            <w:r>
              <w:rPr>
                <w:sz w:val="16"/>
              </w:rPr>
              <w:t>--</w:t>
            </w:r>
          </w:p>
        </w:tc>
      </w:tr>
      <w:tr>
        <w:tc>
          <w:tcPr>
            <w:tcW w:type="dxa" w:w="2635"/>
          </w:tcPr>
          <w:p>
            <w:r>
              <w:rPr>
                <w:sz w:val="16"/>
              </w:rPr>
              <w:t>Auxiliaries (mixing, conveying, packaging, HVAC, water treatment)</w:t>
            </w:r>
          </w:p>
        </w:tc>
        <w:tc>
          <w:tcPr>
            <w:tcW w:type="dxa" w:w="2635"/>
          </w:tcPr>
          <w:p>
            <w:r>
              <w:rPr>
                <w:sz w:val="16"/>
              </w:rPr>
              <w:t>~200-400 kWh</w:t>
            </w:r>
          </w:p>
        </w:tc>
        <w:tc>
          <w:tcPr>
            <w:tcW w:type="dxa" w:w="2635"/>
          </w:tcPr>
          <w:p>
            <w:r>
              <w:rPr>
                <w:sz w:val="16"/>
              </w:rPr>
              <w:t>~200-400 kWh_e (same)</w:t>
            </w:r>
          </w:p>
        </w:tc>
        <w:tc>
          <w:tcPr>
            <w:tcW w:type="dxa" w:w="2635"/>
          </w:tcPr>
          <w:p>
            <w:r>
              <w:rPr>
                <w:sz w:val="16"/>
              </w:rPr>
              <w:t>--</w:t>
            </w:r>
          </w:p>
        </w:tc>
      </w:tr>
      <w:tr>
        <w:tc>
          <w:tcPr>
            <w:tcW w:type="dxa" w:w="2635"/>
          </w:tcPr>
          <w:p>
            <w:r>
              <w:rPr>
                <w:sz w:val="16"/>
              </w:rPr>
              <w:t>**Total (measured)**</w:t>
            </w:r>
          </w:p>
        </w:tc>
        <w:tc>
          <w:tcPr>
            <w:tcW w:type="dxa" w:w="2635"/>
          </w:tcPr>
          <w:p>
            <w:r>
              <w:rPr>
                <w:sz w:val="16"/>
              </w:rPr>
              <w:t>**~2,700-4,500 kWh/t** (gas thermal + electric)</w:t>
            </w:r>
          </w:p>
        </w:tc>
        <w:tc>
          <w:tcPr>
            <w:tcW w:type="dxa" w:w="2635"/>
          </w:tcPr>
          <w:p>
            <w:r>
              <w:rPr>
                <w:sz w:val="16"/>
              </w:rPr>
              <w:t>**3,580 kWh_e/t + 189 m3 gas/t**</w:t>
            </w:r>
          </w:p>
        </w:tc>
        <w:tc>
          <w:tcPr>
            <w:tcW w:type="dxa" w:w="2635"/>
          </w:tcPr>
          <w:p>
            <w:r>
              <w:rPr>
                <w:sz w:val="16"/>
              </w:rPr>
              <w:t>Production information document</w:t>
            </w:r>
          </w:p>
        </w:tc>
      </w:tr>
    </w:tbl>
    <w:p>
      <w:r>
        <w:rPr>
          <w:sz w:val="18"/>
        </w:rPr>
        <w:t xml:space="preserve">The measured electricity consumption of 3,580 kWh/t from the production information document is consistent with the estimated range from NMC CAM analog data (~4 kWh/kg = 4,000 kWh/t </w:t>
      </w:r>
      <w:r>
        <w:rPr>
          <w:color w:val="0066CC"/>
          <w:sz w:val="16"/>
        </w:rPr>
        <w:t>[SRC-ED-011]</w:t>
      </w:r>
      <w:r>
        <w:rPr>
          <w:sz w:val="18"/>
        </w:rPr>
        <w:t xml:space="preserve">). The natural gas consumption of 189 m3/t reflects the initial configuration; the progressive electrification strategy aims to reduce and ultimately eliminate this residual gas use. LFP-specific published industrial energy data remains scarce </w:t>
      </w:r>
      <w:r>
        <w:rPr>
          <w:color w:val="0066CC"/>
          <w:sz w:val="16"/>
        </w:rPr>
        <w:t>[CLM-028]</w:t>
      </w:r>
      <w:r>
        <w:rPr>
          <w:sz w:val="18"/>
        </w:rPr>
        <w:t>, and the FACE project will generate the first comprehensive primary LFP CAM energy dataset.</w:t>
      </w:r>
    </w:p>
    <w:p>
      <w:r>
        <w:rPr>
          <w:sz w:val="18"/>
        </w:rPr>
        <w:t>The electrified process achieves lower total energy consumption than the gas-fired reference because:</w:t>
      </w:r>
    </w:p>
    <w:p>
      <w:pPr>
        <w:pStyle w:val="ListNumber"/>
      </w:pPr>
      <w:r>
        <w:rPr>
          <w:sz w:val="18"/>
        </w:rPr>
        <w:t xml:space="preserve">Electric kilns operate at 95% thermal efficiency versus 25-60% for gas </w:t>
      </w:r>
      <w:r>
        <w:rPr>
          <w:color w:val="0066CC"/>
          <w:sz w:val="16"/>
        </w:rPr>
        <w:t>[CLM-023]</w:t>
      </w:r>
    </w:p>
    <w:p>
      <w:pPr>
        <w:pStyle w:val="ListNumber"/>
      </w:pPr>
      <w:r>
        <w:rPr>
          <w:sz w:val="18"/>
        </w:rPr>
        <w:t>Electric heating eliminates combustion gas losses and atmosphere contamination</w:t>
      </w:r>
    </w:p>
    <w:p>
      <w:pPr>
        <w:pStyle w:val="ListNumber"/>
      </w:pPr>
      <w:r>
        <w:rPr>
          <w:sz w:val="18"/>
        </w:rPr>
        <w:t xml:space="preserve">HTHP provides 3.0-3.6x thermodynamic advantage for spray drying pre-heating </w:t>
      </w:r>
      <w:r>
        <w:rPr>
          <w:color w:val="0066CC"/>
          <w:sz w:val="16"/>
        </w:rPr>
        <w:t>[SRC-ED-004, SRC-ED-005]</w:t>
      </w:r>
    </w:p>
    <w:p>
      <w:pPr>
        <w:pStyle w:val="Heading3"/>
      </w:pPr>
      <w:r>
        <w:t>6.8 Digital Twin Architecture</w:t>
      </w:r>
    </w:p>
    <w:p>
      <w:r>
        <w:rPr>
          <w:sz w:val="18"/>
        </w:rPr>
        <w:t xml:space="preserve">The FACE digital twin implements the ISO 23247:2021 four-layer manufacturing digital twin architecture </w:t>
      </w:r>
      <w:r>
        <w:rPr>
          <w:color w:val="0066CC"/>
          <w:sz w:val="16"/>
        </w:rPr>
        <w:t>[CLM-008, SRC-007, SRC-008]</w:t>
      </w:r>
      <w:r>
        <w:rPr>
          <w:sz w:val="18"/>
        </w:rPr>
        <w:t>. This section describes each layer in detail.</w:t>
      </w:r>
    </w:p>
    <w:p>
      <w:pPr>
        <w:pStyle w:val="Heading4"/>
      </w:pPr>
      <w:r>
        <w:t>6.8.1 Layer 1 -- Observable Manufacturing Element (OME)</w:t>
      </w:r>
    </w:p>
    <w:p>
      <w:r>
        <w:rPr>
          <w:sz w:val="18"/>
        </w:rPr>
        <w:t>Layer 1 comprises the physical plant assets and their associated instrumentation. Each major equipment unit is assigned a unique asset identifier within the DT framework.</w:t>
      </w:r>
    </w:p>
    <w:p>
      <w:r>
        <w:rPr>
          <w:b/>
          <w:sz w:val="18"/>
        </w:rPr>
        <w:t>Equipment inventory</w:t>
      </w:r>
      <w:r>
        <w:rPr>
          <w:sz w:val="18"/>
        </w:rPr>
        <w:t>:</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Asset ID</w:t>
            </w:r>
          </w:p>
        </w:tc>
        <w:tc>
          <w:tcPr>
            <w:tcW w:type="dxa" w:w="2635"/>
          </w:tcPr>
          <w:p>
            <w:r>
              <w:rPr>
                <w:b/>
                <w:sz w:val="16"/>
              </w:rPr>
              <w:t>Equipment</w:t>
            </w:r>
          </w:p>
        </w:tc>
        <w:tc>
          <w:tcPr>
            <w:tcW w:type="dxa" w:w="2635"/>
          </w:tcPr>
          <w:p>
            <w:r>
              <w:rPr>
                <w:b/>
                <w:sz w:val="16"/>
              </w:rPr>
              <w:t>Location</w:t>
            </w:r>
          </w:p>
        </w:tc>
        <w:tc>
          <w:tcPr>
            <w:tcW w:type="dxa" w:w="2635"/>
          </w:tcPr>
          <w:p>
            <w:r>
              <w:rPr>
                <w:b/>
                <w:sz w:val="16"/>
              </w:rPr>
              <w:t>Key Instruments</w:t>
            </w:r>
          </w:p>
        </w:tc>
      </w:tr>
      <w:tr>
        <w:tc>
          <w:tcPr>
            <w:tcW w:type="dxa" w:w="2635"/>
          </w:tcPr>
          <w:p>
            <w:r>
              <w:rPr>
                <w:sz w:val="16"/>
              </w:rPr>
              <w:t>OME-001</w:t>
            </w:r>
          </w:p>
        </w:tc>
        <w:tc>
          <w:tcPr>
            <w:tcW w:type="dxa" w:w="2635"/>
          </w:tcPr>
          <w:p>
            <w:r>
              <w:rPr>
                <w:sz w:val="16"/>
              </w:rPr>
              <w:t>Gravimetric feeders (x3)</w:t>
            </w:r>
          </w:p>
        </w:tc>
        <w:tc>
          <w:tcPr>
            <w:tcW w:type="dxa" w:w="2635"/>
          </w:tcPr>
          <w:p>
            <w:r>
              <w:rPr>
                <w:sz w:val="16"/>
              </w:rPr>
              <w:t>Step 1 - Dosing</w:t>
            </w:r>
          </w:p>
        </w:tc>
        <w:tc>
          <w:tcPr>
            <w:tcW w:type="dxa" w:w="2635"/>
          </w:tcPr>
          <w:p>
            <w:r>
              <w:rPr>
                <w:sz w:val="16"/>
              </w:rPr>
              <w:t>Load cells, flow meters</w:t>
            </w:r>
          </w:p>
        </w:tc>
      </w:tr>
      <w:tr>
        <w:tc>
          <w:tcPr>
            <w:tcW w:type="dxa" w:w="2635"/>
          </w:tcPr>
          <w:p>
            <w:r>
              <w:rPr>
                <w:sz w:val="16"/>
              </w:rPr>
              <w:t>OME-002</w:t>
            </w:r>
          </w:p>
        </w:tc>
        <w:tc>
          <w:tcPr>
            <w:tcW w:type="dxa" w:w="2635"/>
          </w:tcPr>
          <w:p>
            <w:r>
              <w:rPr>
                <w:sz w:val="16"/>
              </w:rPr>
              <w:t>Dispersion tank</w:t>
            </w:r>
          </w:p>
        </w:tc>
        <w:tc>
          <w:tcPr>
            <w:tcW w:type="dxa" w:w="2635"/>
          </w:tcPr>
          <w:p>
            <w:r>
              <w:rPr>
                <w:sz w:val="16"/>
              </w:rPr>
              <w:t>Step 1 - Mixing</w:t>
            </w:r>
          </w:p>
        </w:tc>
        <w:tc>
          <w:tcPr>
            <w:tcW w:type="dxa" w:w="2635"/>
          </w:tcPr>
          <w:p>
            <w:r>
              <w:rPr>
                <w:sz w:val="16"/>
              </w:rPr>
              <w:t>Level, temperature, viscosity</w:t>
            </w:r>
          </w:p>
        </w:tc>
      </w:tr>
      <w:tr>
        <w:tc>
          <w:tcPr>
            <w:tcW w:type="dxa" w:w="2635"/>
          </w:tcPr>
          <w:p>
            <w:r>
              <w:rPr>
                <w:sz w:val="16"/>
              </w:rPr>
              <w:t>OME-003</w:t>
            </w:r>
          </w:p>
        </w:tc>
        <w:tc>
          <w:tcPr>
            <w:tcW w:type="dxa" w:w="2635"/>
          </w:tcPr>
          <w:p>
            <w:r>
              <w:rPr>
                <w:sz w:val="16"/>
              </w:rPr>
              <w:t>Sand mill</w:t>
            </w:r>
          </w:p>
        </w:tc>
        <w:tc>
          <w:tcPr>
            <w:tcW w:type="dxa" w:w="2635"/>
          </w:tcPr>
          <w:p>
            <w:r>
              <w:rPr>
                <w:sz w:val="16"/>
              </w:rPr>
              <w:t>Step 2 - Milling</w:t>
            </w:r>
          </w:p>
        </w:tc>
        <w:tc>
          <w:tcPr>
            <w:tcW w:type="dxa" w:w="2635"/>
          </w:tcPr>
          <w:p>
            <w:r>
              <w:rPr>
                <w:sz w:val="16"/>
              </w:rPr>
              <w:t>Power draw, temperature, FBRM probe</w:t>
            </w:r>
          </w:p>
        </w:tc>
      </w:tr>
      <w:tr>
        <w:tc>
          <w:tcPr>
            <w:tcW w:type="dxa" w:w="2635"/>
          </w:tcPr>
          <w:p>
            <w:r>
              <w:rPr>
                <w:sz w:val="16"/>
              </w:rPr>
              <w:t>OME-004</w:t>
            </w:r>
          </w:p>
        </w:tc>
        <w:tc>
          <w:tcPr>
            <w:tcW w:type="dxa" w:w="2635"/>
          </w:tcPr>
          <w:p>
            <w:r>
              <w:rPr>
                <w:sz w:val="16"/>
              </w:rPr>
              <w:t>Demagnetiser (pre-spray)</w:t>
            </w:r>
          </w:p>
        </w:tc>
        <w:tc>
          <w:tcPr>
            <w:tcW w:type="dxa" w:w="2635"/>
          </w:tcPr>
          <w:p>
            <w:r>
              <w:rPr>
                <w:sz w:val="16"/>
              </w:rPr>
              <w:t>Step 2 - Mag separation</w:t>
            </w:r>
          </w:p>
        </w:tc>
        <w:tc>
          <w:tcPr>
            <w:tcW w:type="dxa" w:w="2635"/>
          </w:tcPr>
          <w:p>
            <w:r>
              <w:rPr>
                <w:sz w:val="16"/>
              </w:rPr>
              <w:t>Magnetic field strength, throughput</w:t>
            </w:r>
          </w:p>
        </w:tc>
      </w:tr>
      <w:tr>
        <w:tc>
          <w:tcPr>
            <w:tcW w:type="dxa" w:w="2635"/>
          </w:tcPr>
          <w:p>
            <w:r>
              <w:rPr>
                <w:sz w:val="16"/>
              </w:rPr>
              <w:t>OME-005</w:t>
            </w:r>
          </w:p>
        </w:tc>
        <w:tc>
          <w:tcPr>
            <w:tcW w:type="dxa" w:w="2635"/>
          </w:tcPr>
          <w:p>
            <w:r>
              <w:rPr>
                <w:sz w:val="16"/>
              </w:rPr>
              <w:t>Electric spray dryer</w:t>
            </w:r>
          </w:p>
        </w:tc>
        <w:tc>
          <w:tcPr>
            <w:tcW w:type="dxa" w:w="2635"/>
          </w:tcPr>
          <w:p>
            <w:r>
              <w:rPr>
                <w:sz w:val="16"/>
              </w:rPr>
              <w:t>Step 3 - Drying</w:t>
            </w:r>
          </w:p>
        </w:tc>
        <w:tc>
          <w:tcPr>
            <w:tcW w:type="dxa" w:w="2635"/>
          </w:tcPr>
          <w:p>
            <w:r>
              <w:rPr>
                <w:sz w:val="16"/>
              </w:rPr>
              <w:t>Inlet/outlet T, humidity, product rate</w:t>
            </w:r>
          </w:p>
        </w:tc>
      </w:tr>
      <w:tr>
        <w:tc>
          <w:tcPr>
            <w:tcW w:type="dxa" w:w="2635"/>
          </w:tcPr>
          <w:p>
            <w:r>
              <w:rPr>
                <w:sz w:val="16"/>
              </w:rPr>
              <w:t>OME-006</w:t>
            </w:r>
          </w:p>
        </w:tc>
        <w:tc>
          <w:tcPr>
            <w:tcW w:type="dxa" w:w="2635"/>
          </w:tcPr>
          <w:p>
            <w:r>
              <w:rPr>
                <w:sz w:val="16"/>
              </w:rPr>
              <w:t>Electric roller hearth kiln</w:t>
            </w:r>
          </w:p>
        </w:tc>
        <w:tc>
          <w:tcPr>
            <w:tcW w:type="dxa" w:w="2635"/>
          </w:tcPr>
          <w:p>
            <w:r>
              <w:rPr>
                <w:sz w:val="16"/>
              </w:rPr>
              <w:t>Step 4 - Calcination</w:t>
            </w:r>
          </w:p>
        </w:tc>
        <w:tc>
          <w:tcPr>
            <w:tcW w:type="dxa" w:w="2635"/>
          </w:tcPr>
          <w:p>
            <w:r>
              <w:rPr>
                <w:sz w:val="16"/>
              </w:rPr>
              <w:t>Multi-zone T, pO2, CO2/CO, IR camera</w:t>
            </w:r>
          </w:p>
        </w:tc>
      </w:tr>
      <w:tr>
        <w:tc>
          <w:tcPr>
            <w:tcW w:type="dxa" w:w="2635"/>
          </w:tcPr>
          <w:p>
            <w:r>
              <w:rPr>
                <w:sz w:val="16"/>
              </w:rPr>
              <w:t>OME-007</w:t>
            </w:r>
          </w:p>
        </w:tc>
        <w:tc>
          <w:tcPr>
            <w:tcW w:type="dxa" w:w="2635"/>
          </w:tcPr>
          <w:p>
            <w:r>
              <w:rPr>
                <w:sz w:val="16"/>
              </w:rPr>
              <w:t>Jet mill</w:t>
            </w:r>
          </w:p>
        </w:tc>
        <w:tc>
          <w:tcPr>
            <w:tcW w:type="dxa" w:w="2635"/>
          </w:tcPr>
          <w:p>
            <w:r>
              <w:rPr>
                <w:sz w:val="16"/>
              </w:rPr>
              <w:t>Step 5 - Milling</w:t>
            </w:r>
          </w:p>
        </w:tc>
        <w:tc>
          <w:tcPr>
            <w:tcW w:type="dxa" w:w="2635"/>
          </w:tcPr>
          <w:p>
            <w:r>
              <w:rPr>
                <w:sz w:val="16"/>
              </w:rPr>
              <w:t>Air pressure, classifier speed, power</w:t>
            </w:r>
          </w:p>
        </w:tc>
      </w:tr>
      <w:tr>
        <w:tc>
          <w:tcPr>
            <w:tcW w:type="dxa" w:w="2635"/>
          </w:tcPr>
          <w:p>
            <w:r>
              <w:rPr>
                <w:sz w:val="16"/>
              </w:rPr>
              <w:t>OME-008</w:t>
            </w:r>
          </w:p>
        </w:tc>
        <w:tc>
          <w:tcPr>
            <w:tcW w:type="dxa" w:w="2635"/>
          </w:tcPr>
          <w:p>
            <w:r>
              <w:rPr>
                <w:sz w:val="16"/>
              </w:rPr>
              <w:t>Ultrasonic sieve</w:t>
            </w:r>
          </w:p>
        </w:tc>
        <w:tc>
          <w:tcPr>
            <w:tcW w:type="dxa" w:w="2635"/>
          </w:tcPr>
          <w:p>
            <w:r>
              <w:rPr>
                <w:sz w:val="16"/>
              </w:rPr>
              <w:t>Step 6 - Classification</w:t>
            </w:r>
          </w:p>
        </w:tc>
        <w:tc>
          <w:tcPr>
            <w:tcW w:type="dxa" w:w="2635"/>
          </w:tcPr>
          <w:p>
            <w:r>
              <w:rPr>
                <w:sz w:val="16"/>
              </w:rPr>
              <w:t>Vibration frequency, throughput</w:t>
            </w:r>
          </w:p>
        </w:tc>
      </w:tr>
      <w:tr>
        <w:tc>
          <w:tcPr>
            <w:tcW w:type="dxa" w:w="2635"/>
          </w:tcPr>
          <w:p>
            <w:r>
              <w:rPr>
                <w:sz w:val="16"/>
              </w:rPr>
              <w:t>OME-009</w:t>
            </w:r>
          </w:p>
        </w:tc>
        <w:tc>
          <w:tcPr>
            <w:tcW w:type="dxa" w:w="2635"/>
          </w:tcPr>
          <w:p>
            <w:r>
              <w:rPr>
                <w:sz w:val="16"/>
              </w:rPr>
              <w:t>Demagnetiser (post-mill)</w:t>
            </w:r>
          </w:p>
        </w:tc>
        <w:tc>
          <w:tcPr>
            <w:tcW w:type="dxa" w:w="2635"/>
          </w:tcPr>
          <w:p>
            <w:r>
              <w:rPr>
                <w:sz w:val="16"/>
              </w:rPr>
              <w:t>Step 6 - Mag separation</w:t>
            </w:r>
          </w:p>
        </w:tc>
        <w:tc>
          <w:tcPr>
            <w:tcW w:type="dxa" w:w="2635"/>
          </w:tcPr>
          <w:p>
            <w:r>
              <w:rPr>
                <w:sz w:val="16"/>
              </w:rPr>
              <w:t>Magnetic field strength</w:t>
            </w:r>
          </w:p>
        </w:tc>
      </w:tr>
      <w:tr>
        <w:tc>
          <w:tcPr>
            <w:tcW w:type="dxa" w:w="2635"/>
          </w:tcPr>
          <w:p>
            <w:r>
              <w:rPr>
                <w:sz w:val="16"/>
              </w:rPr>
              <w:t>OME-010</w:t>
            </w:r>
          </w:p>
        </w:tc>
        <w:tc>
          <w:tcPr>
            <w:tcW w:type="dxa" w:w="2635"/>
          </w:tcPr>
          <w:p>
            <w:r>
              <w:rPr>
                <w:sz w:val="16"/>
              </w:rPr>
              <w:t>Packaging line</w:t>
            </w:r>
          </w:p>
        </w:tc>
        <w:tc>
          <w:tcPr>
            <w:tcW w:type="dxa" w:w="2635"/>
          </w:tcPr>
          <w:p>
            <w:r>
              <w:rPr>
                <w:sz w:val="16"/>
              </w:rPr>
              <w:t>Step 7 - Packaging</w:t>
            </w:r>
          </w:p>
        </w:tc>
        <w:tc>
          <w:tcPr>
            <w:tcW w:type="dxa" w:w="2635"/>
          </w:tcPr>
          <w:p>
            <w:r>
              <w:rPr>
                <w:sz w:val="16"/>
              </w:rPr>
              <w:t>Weight, N2 purity, seal integrity</w:t>
            </w:r>
          </w:p>
        </w:tc>
      </w:tr>
    </w:tbl>
    <w:p>
      <w:pPr>
        <w:pStyle w:val="Heading4"/>
      </w:pPr>
      <w:r>
        <w:t>6.8.2 Layer 2 -- Data Collection and Device Control (DCDC)</w:t>
      </w:r>
    </w:p>
    <w:p>
      <w:r>
        <w:rPr>
          <w:sz w:val="18"/>
        </w:rPr>
        <w:t>Layer 2 manages all physical-digital data exchange through a hierarchical communication architecture:</w:t>
      </w:r>
    </w:p>
    <w:p>
      <w:r>
        <w:rPr>
          <w:b/>
          <w:sz w:val="18"/>
        </w:rPr>
        <w:t>Communication architecture</w:t>
      </w:r>
      <w:r>
        <w:rPr>
          <w:sz w:val="18"/>
        </w:rPr>
        <w:t>:</w:t>
      </w:r>
    </w:p>
    <w:p>
      <w:pPr>
        <w:pStyle w:val="ListBullet"/>
      </w:pPr>
      <w:r>
        <w:rPr>
          <w:b/>
          <w:sz w:val="18"/>
        </w:rPr>
        <w:t>Field level</w:t>
      </w:r>
      <w:r>
        <w:rPr>
          <w:sz w:val="18"/>
        </w:rPr>
        <w:t>: Sensors and actuators communicate via industrial fieldbus (PROFINET, EtherNet/IP) to local PLCs</w:t>
      </w:r>
    </w:p>
    <w:p>
      <w:pPr>
        <w:pStyle w:val="ListBullet"/>
      </w:pPr>
      <w:r>
        <w:rPr>
          <w:b/>
          <w:sz w:val="18"/>
        </w:rPr>
        <w:t>Edge level</w:t>
      </w:r>
      <w:r>
        <w:rPr>
          <w:sz w:val="18"/>
        </w:rPr>
        <w:t>: Edge computing nodes (industrial PCs) aggregate data from PLCs via OPC-UA, perform data pre-processing (filtering, feature extraction, anomaly flagging), and publish to the fog layer via MQTT</w:t>
      </w:r>
    </w:p>
    <w:p>
      <w:pPr>
        <w:pStyle w:val="ListBullet"/>
      </w:pPr>
      <w:r>
        <w:rPr>
          <w:b/>
          <w:sz w:val="18"/>
        </w:rPr>
        <w:t>Fog level</w:t>
      </w:r>
      <w:r>
        <w:rPr>
          <w:sz w:val="18"/>
        </w:rPr>
        <w:t>: On-site fog servers run time-critical DT models (surrogate inference &lt;1 second) and MPC controllers</w:t>
      </w:r>
    </w:p>
    <w:p>
      <w:pPr>
        <w:pStyle w:val="ListBullet"/>
      </w:pPr>
      <w:r>
        <w:rPr>
          <w:b/>
          <w:sz w:val="18"/>
        </w:rPr>
        <w:t>Cloud level</w:t>
      </w:r>
      <w:r>
        <w:rPr>
          <w:sz w:val="18"/>
        </w:rPr>
        <w:t>: Off-site or on-site cloud infrastructure handles batch archival, model retraining, reporting, and long-term analytics</w:t>
      </w:r>
    </w:p>
    <w:p>
      <w:r>
        <w:rPr>
          <w:b/>
          <w:sz w:val="18"/>
        </w:rPr>
        <w:t>Target latencies</w:t>
      </w:r>
      <w:r>
        <w:rPr>
          <w:sz w:val="18"/>
        </w:rPr>
        <w:t>: Field-to-edge &lt;10 ms; edge-to-fog &lt;100 ms; fog-to-cloud &lt;1 second.</w:t>
      </w:r>
    </w:p>
    <w:p>
      <w:r>
        <w:rPr>
          <w:b/>
          <w:sz w:val="18"/>
        </w:rPr>
        <w:t>PAT sensor deployment table</w:t>
      </w:r>
      <w:r>
        <w:rPr>
          <w:sz w:val="18"/>
        </w:rPr>
        <w:t>:</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Measurement</w:t>
            </w:r>
          </w:p>
        </w:tc>
        <w:tc>
          <w:tcPr>
            <w:tcW w:type="dxa" w:w="1506"/>
          </w:tcPr>
          <w:p>
            <w:r>
              <w:rPr>
                <w:b/>
                <w:sz w:val="16"/>
              </w:rPr>
              <w:t>Technology</w:t>
            </w:r>
          </w:p>
        </w:tc>
        <w:tc>
          <w:tcPr>
            <w:tcW w:type="dxa" w:w="1506"/>
          </w:tcPr>
          <w:p>
            <w:r>
              <w:rPr>
                <w:b/>
                <w:sz w:val="16"/>
              </w:rPr>
              <w:t>Location</w:t>
            </w:r>
          </w:p>
        </w:tc>
        <w:tc>
          <w:tcPr>
            <w:tcW w:type="dxa" w:w="1506"/>
          </w:tcPr>
          <w:p>
            <w:r>
              <w:rPr>
                <w:b/>
                <w:sz w:val="16"/>
              </w:rPr>
              <w:t>Frequency</w:t>
            </w:r>
          </w:p>
        </w:tc>
        <w:tc>
          <w:tcPr>
            <w:tcW w:type="dxa" w:w="1506"/>
          </w:tcPr>
          <w:p>
            <w:r>
              <w:rPr>
                <w:b/>
                <w:sz w:val="16"/>
              </w:rPr>
              <w:t>Primary CQA Target</w:t>
            </w:r>
          </w:p>
        </w:tc>
        <w:tc>
          <w:tcPr>
            <w:tcW w:type="dxa" w:w="1506"/>
          </w:tcPr>
          <w:p>
            <w:r>
              <w:rPr>
                <w:b/>
                <w:sz w:val="16"/>
              </w:rPr>
              <w:t>Inline/Atline</w:t>
            </w:r>
          </w:p>
        </w:tc>
      </w:tr>
      <w:tr>
        <w:tc>
          <w:tcPr>
            <w:tcW w:type="dxa" w:w="1506"/>
          </w:tcPr>
          <w:p>
            <w:r>
              <w:rPr>
                <w:sz w:val="16"/>
              </w:rPr>
              <w:t>S1</w:t>
            </w:r>
          </w:p>
        </w:tc>
        <w:tc>
          <w:tcPr>
            <w:tcW w:type="dxa" w:w="1506"/>
          </w:tcPr>
          <w:p>
            <w:r>
              <w:rPr>
                <w:sz w:val="16"/>
              </w:rPr>
              <w:t>Temperature (contact)</w:t>
            </w:r>
          </w:p>
        </w:tc>
        <w:tc>
          <w:tcPr>
            <w:tcW w:type="dxa" w:w="1506"/>
          </w:tcPr>
          <w:p>
            <w:r>
              <w:rPr>
                <w:sz w:val="16"/>
              </w:rPr>
              <w:t>Type K thermocouple (+/-1.5 C)</w:t>
            </w:r>
          </w:p>
        </w:tc>
        <w:tc>
          <w:tcPr>
            <w:tcW w:type="dxa" w:w="1506"/>
          </w:tcPr>
          <w:p>
            <w:r>
              <w:rPr>
                <w:sz w:val="16"/>
              </w:rPr>
              <w:t>Calcination kiln -- multiple zones</w:t>
            </w:r>
          </w:p>
        </w:tc>
        <w:tc>
          <w:tcPr>
            <w:tcW w:type="dxa" w:w="1506"/>
          </w:tcPr>
          <w:p>
            <w:r>
              <w:rPr>
                <w:sz w:val="16"/>
              </w:rPr>
              <w:t>1-10 Hz</w:t>
            </w:r>
          </w:p>
        </w:tc>
        <w:tc>
          <w:tcPr>
            <w:tcW w:type="dxa" w:w="1506"/>
          </w:tcPr>
          <w:p>
            <w:r>
              <w:rPr>
                <w:sz w:val="16"/>
              </w:rPr>
              <w:t>Phase purity, carbon quality</w:t>
            </w:r>
          </w:p>
        </w:tc>
        <w:tc>
          <w:tcPr>
            <w:tcW w:type="dxa" w:w="1506"/>
          </w:tcPr>
          <w:p>
            <w:r>
              <w:rPr>
                <w:sz w:val="16"/>
              </w:rPr>
              <w:t>In-line</w:t>
            </w:r>
          </w:p>
        </w:tc>
      </w:tr>
      <w:tr>
        <w:tc>
          <w:tcPr>
            <w:tcW w:type="dxa" w:w="1506"/>
          </w:tcPr>
          <w:p>
            <w:r>
              <w:rPr>
                <w:sz w:val="16"/>
              </w:rPr>
              <w:t>S2</w:t>
            </w:r>
          </w:p>
        </w:tc>
        <w:tc>
          <w:tcPr>
            <w:tcW w:type="dxa" w:w="1506"/>
          </w:tcPr>
          <w:p>
            <w:r>
              <w:rPr>
                <w:sz w:val="16"/>
              </w:rPr>
              <w:t>Temperature (non-contact)</w:t>
            </w:r>
          </w:p>
        </w:tc>
        <w:tc>
          <w:tcPr>
            <w:tcW w:type="dxa" w:w="1506"/>
          </w:tcPr>
          <w:p>
            <w:r>
              <w:rPr>
                <w:sz w:val="16"/>
              </w:rPr>
              <w:t>Ratio pyrometer (+/-0.5%)</w:t>
            </w:r>
          </w:p>
        </w:tc>
        <w:tc>
          <w:tcPr>
            <w:tcW w:type="dxa" w:w="1506"/>
          </w:tcPr>
          <w:p>
            <w:r>
              <w:rPr>
                <w:sz w:val="16"/>
              </w:rPr>
              <w:t>Calcination kiln exit</w:t>
            </w:r>
          </w:p>
        </w:tc>
        <w:tc>
          <w:tcPr>
            <w:tcW w:type="dxa" w:w="1506"/>
          </w:tcPr>
          <w:p>
            <w:r>
              <w:rPr>
                <w:sz w:val="16"/>
              </w:rPr>
              <w:t>1-10 Hz</w:t>
            </w:r>
          </w:p>
        </w:tc>
        <w:tc>
          <w:tcPr>
            <w:tcW w:type="dxa" w:w="1506"/>
          </w:tcPr>
          <w:p>
            <w:r>
              <w:rPr>
                <w:sz w:val="16"/>
              </w:rPr>
              <w:t>Phase purity</w:t>
            </w:r>
          </w:p>
        </w:tc>
        <w:tc>
          <w:tcPr>
            <w:tcW w:type="dxa" w:w="1506"/>
          </w:tcPr>
          <w:p>
            <w:r>
              <w:rPr>
                <w:sz w:val="16"/>
              </w:rPr>
              <w:t>In-line</w:t>
            </w:r>
          </w:p>
        </w:tc>
      </w:tr>
      <w:tr>
        <w:tc>
          <w:tcPr>
            <w:tcW w:type="dxa" w:w="1506"/>
          </w:tcPr>
          <w:p>
            <w:r>
              <w:rPr>
                <w:sz w:val="16"/>
              </w:rPr>
              <w:t>S3</w:t>
            </w:r>
          </w:p>
        </w:tc>
        <w:tc>
          <w:tcPr>
            <w:tcW w:type="dxa" w:w="1506"/>
          </w:tcPr>
          <w:p>
            <w:r>
              <w:rPr>
                <w:sz w:val="16"/>
              </w:rPr>
              <w:t>Temperature field (2D)</w:t>
            </w:r>
          </w:p>
        </w:tc>
        <w:tc>
          <w:tcPr>
            <w:tcW w:type="dxa" w:w="1506"/>
          </w:tcPr>
          <w:p>
            <w:r>
              <w:rPr>
                <w:sz w:val="16"/>
              </w:rPr>
              <w:t>IR camera</w:t>
            </w:r>
          </w:p>
        </w:tc>
        <w:tc>
          <w:tcPr>
            <w:tcW w:type="dxa" w:w="1506"/>
          </w:tcPr>
          <w:p>
            <w:r>
              <w:rPr>
                <w:sz w:val="16"/>
              </w:rPr>
              <w:t>Kiln exit, spray dryer</w:t>
            </w:r>
          </w:p>
        </w:tc>
        <w:tc>
          <w:tcPr>
            <w:tcW w:type="dxa" w:w="1506"/>
          </w:tcPr>
          <w:p>
            <w:r>
              <w:rPr>
                <w:sz w:val="16"/>
              </w:rPr>
              <w:t>10 Hz</w:t>
            </w:r>
          </w:p>
        </w:tc>
        <w:tc>
          <w:tcPr>
            <w:tcW w:type="dxa" w:w="1506"/>
          </w:tcPr>
          <w:p>
            <w:r>
              <w:rPr>
                <w:sz w:val="16"/>
              </w:rPr>
              <w:t>Temperature uniformity</w:t>
            </w:r>
          </w:p>
        </w:tc>
        <w:tc>
          <w:tcPr>
            <w:tcW w:type="dxa" w:w="1506"/>
          </w:tcPr>
          <w:p>
            <w:r>
              <w:rPr>
                <w:sz w:val="16"/>
              </w:rPr>
              <w:t>In-line</w:t>
            </w:r>
          </w:p>
        </w:tc>
      </w:tr>
      <w:tr>
        <w:tc>
          <w:tcPr>
            <w:tcW w:type="dxa" w:w="1506"/>
          </w:tcPr>
          <w:p>
            <w:r>
              <w:rPr>
                <w:sz w:val="16"/>
              </w:rPr>
              <w:t>S4</w:t>
            </w:r>
          </w:p>
        </w:tc>
        <w:tc>
          <w:tcPr>
            <w:tcW w:type="dxa" w:w="1506"/>
          </w:tcPr>
          <w:p>
            <w:r>
              <w:rPr>
                <w:sz w:val="16"/>
              </w:rPr>
              <w:t>Particle size (slurry)</w:t>
            </w:r>
          </w:p>
        </w:tc>
        <w:tc>
          <w:tcPr>
            <w:tcW w:type="dxa" w:w="1506"/>
          </w:tcPr>
          <w:p>
            <w:r>
              <w:rPr>
                <w:sz w:val="16"/>
              </w:rPr>
              <w:t>FBRM probe (0.5-2000 um)</w:t>
            </w:r>
          </w:p>
        </w:tc>
        <w:tc>
          <w:tcPr>
            <w:tcW w:type="dxa" w:w="1506"/>
          </w:tcPr>
          <w:p>
            <w:r>
              <w:rPr>
                <w:sz w:val="16"/>
              </w:rPr>
              <w:t>Sand mill outlet</w:t>
            </w:r>
          </w:p>
        </w:tc>
        <w:tc>
          <w:tcPr>
            <w:tcW w:type="dxa" w:w="1506"/>
          </w:tcPr>
          <w:p>
            <w:r>
              <w:rPr>
                <w:sz w:val="16"/>
              </w:rPr>
              <w:t>2 sec</w:t>
            </w:r>
          </w:p>
        </w:tc>
        <w:tc>
          <w:tcPr>
            <w:tcW w:type="dxa" w:w="1506"/>
          </w:tcPr>
          <w:p>
            <w:r>
              <w:rPr>
                <w:sz w:val="16"/>
              </w:rPr>
              <w:t>D50 (milled slurry)</w:t>
            </w:r>
          </w:p>
        </w:tc>
        <w:tc>
          <w:tcPr>
            <w:tcW w:type="dxa" w:w="1506"/>
          </w:tcPr>
          <w:p>
            <w:r>
              <w:rPr>
                <w:sz w:val="16"/>
              </w:rPr>
              <w:t>In-line</w:t>
            </w:r>
          </w:p>
        </w:tc>
      </w:tr>
      <w:tr>
        <w:tc>
          <w:tcPr>
            <w:tcW w:type="dxa" w:w="1506"/>
          </w:tcPr>
          <w:p>
            <w:r>
              <w:rPr>
                <w:sz w:val="16"/>
              </w:rPr>
              <w:t>S5</w:t>
            </w:r>
          </w:p>
        </w:tc>
        <w:tc>
          <w:tcPr>
            <w:tcW w:type="dxa" w:w="1506"/>
          </w:tcPr>
          <w:p>
            <w:r>
              <w:rPr>
                <w:sz w:val="16"/>
              </w:rPr>
              <w:t>Particle size (powder)</w:t>
            </w:r>
          </w:p>
        </w:tc>
        <w:tc>
          <w:tcPr>
            <w:tcW w:type="dxa" w:w="1506"/>
          </w:tcPr>
          <w:p>
            <w:r>
              <w:rPr>
                <w:sz w:val="16"/>
              </w:rPr>
              <w:t>Laser diffraction</w:t>
            </w:r>
          </w:p>
        </w:tc>
        <w:tc>
          <w:tcPr>
            <w:tcW w:type="dxa" w:w="1506"/>
          </w:tcPr>
          <w:p>
            <w:r>
              <w:rPr>
                <w:sz w:val="16"/>
              </w:rPr>
              <w:t>Post-jet mill (at-line)</w:t>
            </w:r>
          </w:p>
        </w:tc>
        <w:tc>
          <w:tcPr>
            <w:tcW w:type="dxa" w:w="1506"/>
          </w:tcPr>
          <w:p>
            <w:r>
              <w:rPr>
                <w:sz w:val="16"/>
              </w:rPr>
              <w:t>60 sec</w:t>
            </w:r>
          </w:p>
        </w:tc>
        <w:tc>
          <w:tcPr>
            <w:tcW w:type="dxa" w:w="1506"/>
          </w:tcPr>
          <w:p>
            <w:r>
              <w:rPr>
                <w:sz w:val="16"/>
              </w:rPr>
              <w:t>D50, D10, D90</w:t>
            </w:r>
          </w:p>
        </w:tc>
        <w:tc>
          <w:tcPr>
            <w:tcW w:type="dxa" w:w="1506"/>
          </w:tcPr>
          <w:p>
            <w:r>
              <w:rPr>
                <w:sz w:val="16"/>
              </w:rPr>
              <w:t>At-line</w:t>
            </w:r>
          </w:p>
        </w:tc>
      </w:tr>
      <w:tr>
        <w:tc>
          <w:tcPr>
            <w:tcW w:type="dxa" w:w="1506"/>
          </w:tcPr>
          <w:p>
            <w:r>
              <w:rPr>
                <w:sz w:val="16"/>
              </w:rPr>
              <w:t>S6</w:t>
            </w:r>
          </w:p>
        </w:tc>
        <w:tc>
          <w:tcPr>
            <w:tcW w:type="dxa" w:w="1506"/>
          </w:tcPr>
          <w:p>
            <w:r>
              <w:rPr>
                <w:sz w:val="16"/>
              </w:rPr>
              <w:t>Phase composition</w:t>
            </w:r>
          </w:p>
        </w:tc>
        <w:tc>
          <w:tcPr>
            <w:tcW w:type="dxa" w:w="1506"/>
          </w:tcPr>
          <w:p>
            <w:r>
              <w:rPr>
                <w:sz w:val="16"/>
              </w:rPr>
              <w:t>In-line Raman probe (950 cm-1 olivine)</w:t>
            </w:r>
          </w:p>
        </w:tc>
        <w:tc>
          <w:tcPr>
            <w:tcW w:type="dxa" w:w="1506"/>
          </w:tcPr>
          <w:p>
            <w:r>
              <w:rPr>
                <w:sz w:val="16"/>
              </w:rPr>
              <w:t>Post-calcination sampling</w:t>
            </w:r>
          </w:p>
        </w:tc>
        <w:tc>
          <w:tcPr>
            <w:tcW w:type="dxa" w:w="1506"/>
          </w:tcPr>
          <w:p>
            <w:r>
              <w:rPr>
                <w:sz w:val="16"/>
              </w:rPr>
              <w:t>30-60 sec</w:t>
            </w:r>
          </w:p>
        </w:tc>
        <w:tc>
          <w:tcPr>
            <w:tcW w:type="dxa" w:w="1506"/>
          </w:tcPr>
          <w:p>
            <w:r>
              <w:rPr>
                <w:sz w:val="16"/>
              </w:rPr>
              <w:t>Phase purity, carbon D/G</w:t>
            </w:r>
          </w:p>
        </w:tc>
        <w:tc>
          <w:tcPr>
            <w:tcW w:type="dxa" w:w="1506"/>
          </w:tcPr>
          <w:p>
            <w:r>
              <w:rPr>
                <w:sz w:val="16"/>
              </w:rPr>
              <w:t>At-line</w:t>
            </w:r>
          </w:p>
        </w:tc>
      </w:tr>
      <w:tr>
        <w:tc>
          <w:tcPr>
            <w:tcW w:type="dxa" w:w="1506"/>
          </w:tcPr>
          <w:p>
            <w:r>
              <w:rPr>
                <w:sz w:val="16"/>
              </w:rPr>
              <w:t>S7</w:t>
            </w:r>
          </w:p>
        </w:tc>
        <w:tc>
          <w:tcPr>
            <w:tcW w:type="dxa" w:w="1506"/>
          </w:tcPr>
          <w:p>
            <w:r>
              <w:rPr>
                <w:sz w:val="16"/>
              </w:rPr>
              <w:t>Atmosphere O2</w:t>
            </w:r>
          </w:p>
        </w:tc>
        <w:tc>
          <w:tcPr>
            <w:tcW w:type="dxa" w:w="1506"/>
          </w:tcPr>
          <w:p>
            <w:r>
              <w:rPr>
                <w:sz w:val="16"/>
              </w:rPr>
              <w:t>Zirconia O2 sensor (&lt;10 ppm)</w:t>
            </w:r>
          </w:p>
        </w:tc>
        <w:tc>
          <w:tcPr>
            <w:tcW w:type="dxa" w:w="1506"/>
          </w:tcPr>
          <w:p>
            <w:r>
              <w:rPr>
                <w:sz w:val="16"/>
              </w:rPr>
              <w:t>Calcination kiln atmosphere</w:t>
            </w:r>
          </w:p>
        </w:tc>
        <w:tc>
          <w:tcPr>
            <w:tcW w:type="dxa" w:w="1506"/>
          </w:tcPr>
          <w:p>
            <w:r>
              <w:rPr>
                <w:sz w:val="16"/>
              </w:rPr>
              <w:t>1-5 sec</w:t>
            </w:r>
          </w:p>
        </w:tc>
        <w:tc>
          <w:tcPr>
            <w:tcW w:type="dxa" w:w="1506"/>
          </w:tcPr>
          <w:p>
            <w:r>
              <w:rPr>
                <w:sz w:val="16"/>
              </w:rPr>
              <w:t>Fe2+/Fe3+ ratio</w:t>
            </w:r>
          </w:p>
        </w:tc>
        <w:tc>
          <w:tcPr>
            <w:tcW w:type="dxa" w:w="1506"/>
          </w:tcPr>
          <w:p>
            <w:r>
              <w:rPr>
                <w:sz w:val="16"/>
              </w:rPr>
              <w:t>In-line</w:t>
            </w:r>
          </w:p>
        </w:tc>
      </w:tr>
      <w:tr>
        <w:tc>
          <w:tcPr>
            <w:tcW w:type="dxa" w:w="1506"/>
          </w:tcPr>
          <w:p>
            <w:r>
              <w:rPr>
                <w:sz w:val="16"/>
              </w:rPr>
              <w:t>S8</w:t>
            </w:r>
          </w:p>
        </w:tc>
        <w:tc>
          <w:tcPr>
            <w:tcW w:type="dxa" w:w="1506"/>
          </w:tcPr>
          <w:p>
            <w:r>
              <w:rPr>
                <w:sz w:val="16"/>
              </w:rPr>
              <w:t>Evolved gas</w:t>
            </w:r>
          </w:p>
        </w:tc>
        <w:tc>
          <w:tcPr>
            <w:tcW w:type="dxa" w:w="1506"/>
          </w:tcPr>
          <w:p>
            <w:r>
              <w:rPr>
                <w:sz w:val="16"/>
              </w:rPr>
              <w:t>NDIR (CO2, CO, CH4)</w:t>
            </w:r>
          </w:p>
        </w:tc>
        <w:tc>
          <w:tcPr>
            <w:tcW w:type="dxa" w:w="1506"/>
          </w:tcPr>
          <w:p>
            <w:r>
              <w:rPr>
                <w:sz w:val="16"/>
              </w:rPr>
              <w:t>Calcination kiln exhaust</w:t>
            </w:r>
          </w:p>
        </w:tc>
        <w:tc>
          <w:tcPr>
            <w:tcW w:type="dxa" w:w="1506"/>
          </w:tcPr>
          <w:p>
            <w:r>
              <w:rPr>
                <w:sz w:val="16"/>
              </w:rPr>
              <w:t>1-5 sec</w:t>
            </w:r>
          </w:p>
        </w:tc>
        <w:tc>
          <w:tcPr>
            <w:tcW w:type="dxa" w:w="1506"/>
          </w:tcPr>
          <w:p>
            <w:r>
              <w:rPr>
                <w:sz w:val="16"/>
              </w:rPr>
              <w:t>Reaction progress</w:t>
            </w:r>
          </w:p>
        </w:tc>
        <w:tc>
          <w:tcPr>
            <w:tcW w:type="dxa" w:w="1506"/>
          </w:tcPr>
          <w:p>
            <w:r>
              <w:rPr>
                <w:sz w:val="16"/>
              </w:rPr>
              <w:t>In-line</w:t>
            </w:r>
          </w:p>
        </w:tc>
      </w:tr>
      <w:tr>
        <w:tc>
          <w:tcPr>
            <w:tcW w:type="dxa" w:w="1506"/>
          </w:tcPr>
          <w:p>
            <w:r>
              <w:rPr>
                <w:sz w:val="16"/>
              </w:rPr>
              <w:t>S9</w:t>
            </w:r>
          </w:p>
        </w:tc>
        <w:tc>
          <w:tcPr>
            <w:tcW w:type="dxa" w:w="1506"/>
          </w:tcPr>
          <w:p>
            <w:r>
              <w:rPr>
                <w:sz w:val="16"/>
              </w:rPr>
              <w:t>Elemental composition</w:t>
            </w:r>
          </w:p>
        </w:tc>
        <w:tc>
          <w:tcPr>
            <w:tcW w:type="dxa" w:w="1506"/>
          </w:tcPr>
          <w:p>
            <w:r>
              <w:rPr>
                <w:sz w:val="16"/>
              </w:rPr>
              <w:t>XRF</w:t>
            </w:r>
          </w:p>
        </w:tc>
        <w:tc>
          <w:tcPr>
            <w:tcW w:type="dxa" w:w="1506"/>
          </w:tcPr>
          <w:p>
            <w:r>
              <w:rPr>
                <w:sz w:val="16"/>
              </w:rPr>
              <w:t>Post-milling sampling</w:t>
            </w:r>
          </w:p>
        </w:tc>
        <w:tc>
          <w:tcPr>
            <w:tcW w:type="dxa" w:w="1506"/>
          </w:tcPr>
          <w:p>
            <w:r>
              <w:rPr>
                <w:sz w:val="16"/>
              </w:rPr>
              <w:t>5 min</w:t>
            </w:r>
          </w:p>
        </w:tc>
        <w:tc>
          <w:tcPr>
            <w:tcW w:type="dxa" w:w="1506"/>
          </w:tcPr>
          <w:p>
            <w:r>
              <w:rPr>
                <w:sz w:val="16"/>
              </w:rPr>
              <w:t>Li:Fe:P stoichiometry</w:t>
            </w:r>
          </w:p>
        </w:tc>
        <w:tc>
          <w:tcPr>
            <w:tcW w:type="dxa" w:w="1506"/>
          </w:tcPr>
          <w:p>
            <w:r>
              <w:rPr>
                <w:sz w:val="16"/>
              </w:rPr>
              <w:t>At-line</w:t>
            </w:r>
          </w:p>
        </w:tc>
      </w:tr>
      <w:tr>
        <w:tc>
          <w:tcPr>
            <w:tcW w:type="dxa" w:w="1506"/>
          </w:tcPr>
          <w:p>
            <w:r>
              <w:rPr>
                <w:sz w:val="16"/>
              </w:rPr>
              <w:t>S10</w:t>
            </w:r>
          </w:p>
        </w:tc>
        <w:tc>
          <w:tcPr>
            <w:tcW w:type="dxa" w:w="1506"/>
          </w:tcPr>
          <w:p>
            <w:r>
              <w:rPr>
                <w:sz w:val="16"/>
              </w:rPr>
              <w:t>Moisture</w:t>
            </w:r>
          </w:p>
        </w:tc>
        <w:tc>
          <w:tcPr>
            <w:tcW w:type="dxa" w:w="1506"/>
          </w:tcPr>
          <w:p>
            <w:r>
              <w:rPr>
                <w:sz w:val="16"/>
              </w:rPr>
              <w:t>NIR probe</w:t>
            </w:r>
          </w:p>
        </w:tc>
        <w:tc>
          <w:tcPr>
            <w:tcW w:type="dxa" w:w="1506"/>
          </w:tcPr>
          <w:p>
            <w:r>
              <w:rPr>
                <w:sz w:val="16"/>
              </w:rPr>
              <w:t>Spray dryer product, packaging</w:t>
            </w:r>
          </w:p>
        </w:tc>
        <w:tc>
          <w:tcPr>
            <w:tcW w:type="dxa" w:w="1506"/>
          </w:tcPr>
          <w:p>
            <w:r>
              <w:rPr>
                <w:sz w:val="16"/>
              </w:rPr>
              <w:t>Continuous</w:t>
            </w:r>
          </w:p>
        </w:tc>
        <w:tc>
          <w:tcPr>
            <w:tcW w:type="dxa" w:w="1506"/>
          </w:tcPr>
          <w:p>
            <w:r>
              <w:rPr>
                <w:sz w:val="16"/>
              </w:rPr>
              <w:t>Moisture &lt;750 ppm</w:t>
            </w:r>
          </w:p>
        </w:tc>
        <w:tc>
          <w:tcPr>
            <w:tcW w:type="dxa" w:w="1506"/>
          </w:tcPr>
          <w:p>
            <w:r>
              <w:rPr>
                <w:sz w:val="16"/>
              </w:rPr>
              <w:t>In-line</w:t>
            </w:r>
          </w:p>
        </w:tc>
      </w:tr>
      <w:tr>
        <w:tc>
          <w:tcPr>
            <w:tcW w:type="dxa" w:w="1506"/>
          </w:tcPr>
          <w:p>
            <w:r>
              <w:rPr>
                <w:sz w:val="16"/>
              </w:rPr>
              <w:t>S11</w:t>
            </w:r>
          </w:p>
        </w:tc>
        <w:tc>
          <w:tcPr>
            <w:tcW w:type="dxa" w:w="1506"/>
          </w:tcPr>
          <w:p>
            <w:r>
              <w:rPr>
                <w:sz w:val="16"/>
              </w:rPr>
              <w:t>Magnetic contamination</w:t>
            </w:r>
          </w:p>
        </w:tc>
        <w:tc>
          <w:tcPr>
            <w:tcW w:type="dxa" w:w="1506"/>
          </w:tcPr>
          <w:p>
            <w:r>
              <w:rPr>
                <w:sz w:val="16"/>
              </w:rPr>
              <w:t>Magnetic susceptibility meter</w:t>
            </w:r>
          </w:p>
        </w:tc>
        <w:tc>
          <w:tcPr>
            <w:tcW w:type="dxa" w:w="1506"/>
          </w:tcPr>
          <w:p>
            <w:r>
              <w:rPr>
                <w:sz w:val="16"/>
              </w:rPr>
              <w:t>Post-demagnetisation</w:t>
            </w:r>
          </w:p>
        </w:tc>
        <w:tc>
          <w:tcPr>
            <w:tcW w:type="dxa" w:w="1506"/>
          </w:tcPr>
          <w:p>
            <w:r>
              <w:rPr>
                <w:sz w:val="16"/>
              </w:rPr>
              <w:t>Per batch</w:t>
            </w:r>
          </w:p>
        </w:tc>
        <w:tc>
          <w:tcPr>
            <w:tcW w:type="dxa" w:w="1506"/>
          </w:tcPr>
          <w:p>
            <w:r>
              <w:rPr>
                <w:sz w:val="16"/>
              </w:rPr>
              <w:t>Ferromagnetic particles</w:t>
            </w:r>
          </w:p>
        </w:tc>
        <w:tc>
          <w:tcPr>
            <w:tcW w:type="dxa" w:w="1506"/>
          </w:tcPr>
          <w:p>
            <w:r>
              <w:rPr>
                <w:sz w:val="16"/>
              </w:rPr>
              <w:t>At-line</w:t>
            </w:r>
          </w:p>
        </w:tc>
      </w:tr>
    </w:tbl>
    <w:p>
      <w:pPr>
        <w:pStyle w:val="Heading4"/>
      </w:pPr>
      <w:r>
        <w:t>6.8.3 Layer 3 -- Digital Twin Core Entity</w:t>
      </w:r>
    </w:p>
    <w:p>
      <w:r>
        <w:rPr>
          <w:sz w:val="18"/>
        </w:rPr>
        <w:t>Layer 3 is the computational engine of the DT, comprising physics-based models, data-driven models, and the data management infrastructure.</w:t>
      </w:r>
    </w:p>
    <w:p>
      <w:r>
        <w:rPr>
          <w:b/>
          <w:sz w:val="18"/>
        </w:rPr>
        <w:t>Multi-scale model hierarchy</w:t>
      </w:r>
      <w:r>
        <w:rPr>
          <w:sz w:val="18"/>
        </w:rPr>
        <w:t>:</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Scale</w:t>
            </w:r>
          </w:p>
        </w:tc>
        <w:tc>
          <w:tcPr>
            <w:tcW w:type="dxa" w:w="2108"/>
          </w:tcPr>
          <w:p>
            <w:r>
              <w:rPr>
                <w:b/>
                <w:sz w:val="16"/>
              </w:rPr>
              <w:t>Method</w:t>
            </w:r>
          </w:p>
        </w:tc>
        <w:tc>
          <w:tcPr>
            <w:tcW w:type="dxa" w:w="2108"/>
          </w:tcPr>
          <w:p>
            <w:r>
              <w:rPr>
                <w:b/>
                <w:sz w:val="16"/>
              </w:rPr>
              <w:t>Software</w:t>
            </w:r>
          </w:p>
        </w:tc>
        <w:tc>
          <w:tcPr>
            <w:tcW w:type="dxa" w:w="2108"/>
          </w:tcPr>
          <w:p>
            <w:r>
              <w:rPr>
                <w:b/>
                <w:sz w:val="16"/>
              </w:rPr>
              <w:t>Application</w:t>
            </w:r>
          </w:p>
        </w:tc>
        <w:tc>
          <w:tcPr>
            <w:tcW w:type="dxa" w:w="2108"/>
          </w:tcPr>
          <w:p>
            <w:r>
              <w:rPr>
                <w:b/>
                <w:sz w:val="16"/>
              </w:rPr>
              <w:t>Execution Mode</w:t>
            </w:r>
          </w:p>
        </w:tc>
      </w:tr>
      <w:tr>
        <w:tc>
          <w:tcPr>
            <w:tcW w:type="dxa" w:w="2108"/>
          </w:tcPr>
          <w:p>
            <w:r>
              <w:rPr>
                <w:sz w:val="16"/>
              </w:rPr>
              <w:t>Atomistic</w:t>
            </w:r>
          </w:p>
        </w:tc>
        <w:tc>
          <w:tcPr>
            <w:tcW w:type="dxa" w:w="2108"/>
          </w:tcPr>
          <w:p>
            <w:r>
              <w:rPr>
                <w:sz w:val="16"/>
              </w:rPr>
              <w:t>DFT (Density Functional Theory)</w:t>
            </w:r>
          </w:p>
        </w:tc>
        <w:tc>
          <w:tcPr>
            <w:tcW w:type="dxa" w:w="2108"/>
          </w:tcPr>
          <w:p>
            <w:r>
              <w:rPr>
                <w:sz w:val="16"/>
              </w:rPr>
              <w:t>VASP / Quantum ESPRESSO</w:t>
            </w:r>
          </w:p>
        </w:tc>
        <w:tc>
          <w:tcPr>
            <w:tcW w:type="dxa" w:w="2108"/>
          </w:tcPr>
          <w:p>
            <w:r>
              <w:rPr>
                <w:sz w:val="16"/>
              </w:rPr>
              <w:t>LFP olivine formation energetics, defect energies, Li+ migration barriers</w:t>
            </w:r>
          </w:p>
        </w:tc>
        <w:tc>
          <w:tcPr>
            <w:tcW w:type="dxa" w:w="2108"/>
          </w:tcPr>
          <w:p>
            <w:r>
              <w:rPr>
                <w:sz w:val="16"/>
              </w:rPr>
              <w:t>Offline (hours/run); populates material property database</w:t>
            </w:r>
          </w:p>
        </w:tc>
      </w:tr>
      <w:tr>
        <w:tc>
          <w:tcPr>
            <w:tcW w:type="dxa" w:w="2108"/>
          </w:tcPr>
          <w:p>
            <w:r>
              <w:rPr>
                <w:sz w:val="16"/>
              </w:rPr>
              <w:t>Molecular</w:t>
            </w:r>
          </w:p>
        </w:tc>
        <w:tc>
          <w:tcPr>
            <w:tcW w:type="dxa" w:w="2108"/>
          </w:tcPr>
          <w:p>
            <w:r>
              <w:rPr>
                <w:sz w:val="16"/>
              </w:rPr>
              <w:t>Classical MD</w:t>
            </w:r>
          </w:p>
        </w:tc>
        <w:tc>
          <w:tcPr>
            <w:tcW w:type="dxa" w:w="2108"/>
          </w:tcPr>
          <w:p>
            <w:r>
              <w:rPr>
                <w:sz w:val="16"/>
              </w:rPr>
              <w:t>LAMMPS</w:t>
            </w:r>
          </w:p>
        </w:tc>
        <w:tc>
          <w:tcPr>
            <w:tcW w:type="dxa" w:w="2108"/>
          </w:tcPr>
          <w:p>
            <w:r>
              <w:rPr>
                <w:sz w:val="16"/>
              </w:rPr>
              <w:t>Carbon coating pyrolysis mechanisms, surface adsorption</w:t>
            </w:r>
          </w:p>
        </w:tc>
        <w:tc>
          <w:tcPr>
            <w:tcW w:type="dxa" w:w="2108"/>
          </w:tcPr>
          <w:p>
            <w:r>
              <w:rPr>
                <w:sz w:val="16"/>
              </w:rPr>
              <w:t>Offline (hours/run); calibrates mesoscale models</w:t>
            </w:r>
          </w:p>
        </w:tc>
      </w:tr>
      <w:tr>
        <w:tc>
          <w:tcPr>
            <w:tcW w:type="dxa" w:w="2108"/>
          </w:tcPr>
          <w:p>
            <w:r>
              <w:rPr>
                <w:sz w:val="16"/>
              </w:rPr>
              <w:t>Mesoscale</w:t>
            </w:r>
          </w:p>
        </w:tc>
        <w:tc>
          <w:tcPr>
            <w:tcW w:type="dxa" w:w="2108"/>
          </w:tcPr>
          <w:p>
            <w:r>
              <w:rPr>
                <w:sz w:val="16"/>
              </w:rPr>
              <w:t>Phase-field / Kinetic Monte Carlo</w:t>
            </w:r>
          </w:p>
        </w:tc>
        <w:tc>
          <w:tcPr>
            <w:tcW w:type="dxa" w:w="2108"/>
          </w:tcPr>
          <w:p>
            <w:r>
              <w:rPr>
                <w:sz w:val="16"/>
              </w:rPr>
              <w:t>Custom / MOOSE</w:t>
            </w:r>
          </w:p>
        </w:tc>
        <w:tc>
          <w:tcPr>
            <w:tcW w:type="dxa" w:w="2108"/>
          </w:tcPr>
          <w:p>
            <w:r>
              <w:rPr>
                <w:sz w:val="16"/>
              </w:rPr>
              <w:t>Nucleation and grain growth kinetics during calcination</w:t>
            </w:r>
          </w:p>
        </w:tc>
        <w:tc>
          <w:tcPr>
            <w:tcW w:type="dxa" w:w="2108"/>
          </w:tcPr>
          <w:p>
            <w:r>
              <w:rPr>
                <w:sz w:val="16"/>
              </w:rPr>
              <w:t>Offline (minutes-hours/run); generates kinetic parameters</w:t>
            </w:r>
          </w:p>
        </w:tc>
      </w:tr>
      <w:tr>
        <w:tc>
          <w:tcPr>
            <w:tcW w:type="dxa" w:w="2108"/>
          </w:tcPr>
          <w:p>
            <w:r>
              <w:rPr>
                <w:sz w:val="16"/>
              </w:rPr>
              <w:t>Continuum</w:t>
            </w:r>
          </w:p>
        </w:tc>
        <w:tc>
          <w:tcPr>
            <w:tcW w:type="dxa" w:w="2108"/>
          </w:tcPr>
          <w:p>
            <w:r>
              <w:rPr>
                <w:sz w:val="16"/>
              </w:rPr>
              <w:t>CFD + PBM + reaction kinetics</w:t>
            </w:r>
          </w:p>
        </w:tc>
        <w:tc>
          <w:tcPr>
            <w:tcW w:type="dxa" w:w="2108"/>
          </w:tcPr>
          <w:p>
            <w:r>
              <w:rPr>
                <w:sz w:val="16"/>
              </w:rPr>
              <w:t>COMSOL / OpenFOAM + custom PBM</w:t>
            </w:r>
          </w:p>
        </w:tc>
        <w:tc>
          <w:tcPr>
            <w:tcW w:type="dxa" w:w="2108"/>
          </w:tcPr>
          <w:p>
            <w:r>
              <w:rPr>
                <w:sz w:val="16"/>
              </w:rPr>
              <w:t>Calcination kiln heat/mass transfer; spray dryer droplet drying; Jander/Avrami reaction kinetics</w:t>
            </w:r>
          </w:p>
        </w:tc>
        <w:tc>
          <w:tcPr>
            <w:tcW w:type="dxa" w:w="2108"/>
          </w:tcPr>
          <w:p>
            <w:r>
              <w:rPr>
                <w:sz w:val="16"/>
              </w:rPr>
              <w:t>Offline for training data; surrogate (PINN) for real-time</w:t>
            </w:r>
          </w:p>
        </w:tc>
      </w:tr>
      <w:tr>
        <w:tc>
          <w:tcPr>
            <w:tcW w:type="dxa" w:w="2108"/>
          </w:tcPr>
          <w:p>
            <w:r>
              <w:rPr>
                <w:sz w:val="16"/>
              </w:rPr>
              <w:t>Equipment</w:t>
            </w:r>
          </w:p>
        </w:tc>
        <w:tc>
          <w:tcPr>
            <w:tcW w:type="dxa" w:w="2108"/>
          </w:tcPr>
          <w:p>
            <w:r>
              <w:rPr>
                <w:sz w:val="16"/>
              </w:rPr>
              <w:t>DEM (Discrete Element Method)</w:t>
            </w:r>
          </w:p>
        </w:tc>
        <w:tc>
          <w:tcPr>
            <w:tcW w:type="dxa" w:w="2108"/>
          </w:tcPr>
          <w:p>
            <w:r>
              <w:rPr>
                <w:sz w:val="16"/>
              </w:rPr>
              <w:t>EDEM / LIGGGHTS</w:t>
            </w:r>
          </w:p>
        </w:tc>
        <w:tc>
          <w:tcPr>
            <w:tcW w:type="dxa" w:w="2108"/>
          </w:tcPr>
          <w:p>
            <w:r>
              <w:rPr>
                <w:sz w:val="16"/>
              </w:rPr>
              <w:t>Jet mill particle breakage and classification</w:t>
            </w:r>
          </w:p>
        </w:tc>
        <w:tc>
          <w:tcPr>
            <w:tcW w:type="dxa" w:w="2108"/>
          </w:tcPr>
          <w:p>
            <w:r>
              <w:rPr>
                <w:sz w:val="16"/>
              </w:rPr>
              <w:t>Offline; lookup tables for real-time</w:t>
            </w:r>
          </w:p>
        </w:tc>
      </w:tr>
      <w:tr>
        <w:tc>
          <w:tcPr>
            <w:tcW w:type="dxa" w:w="2108"/>
          </w:tcPr>
          <w:p>
            <w:r>
              <w:rPr>
                <w:sz w:val="16"/>
              </w:rPr>
              <w:t>Plant</w:t>
            </w:r>
          </w:p>
        </w:tc>
        <w:tc>
          <w:tcPr>
            <w:tcW w:type="dxa" w:w="2108"/>
          </w:tcPr>
          <w:p>
            <w:r>
              <w:rPr>
                <w:sz w:val="16"/>
              </w:rPr>
              <w:t>Flowsheet simulation</w:t>
            </w:r>
          </w:p>
        </w:tc>
        <w:tc>
          <w:tcPr>
            <w:tcW w:type="dxa" w:w="2108"/>
          </w:tcPr>
          <w:p>
            <w:r>
              <w:rPr>
                <w:sz w:val="16"/>
              </w:rPr>
              <w:t>Aspen Plus / gPROMS</w:t>
            </w:r>
          </w:p>
        </w:tc>
        <w:tc>
          <w:tcPr>
            <w:tcW w:type="dxa" w:w="2108"/>
          </w:tcPr>
          <w:p>
            <w:r>
              <w:rPr>
                <w:sz w:val="16"/>
              </w:rPr>
              <w:t>Mass/energy balance; throughput optimisation; batch scheduling</w:t>
            </w:r>
          </w:p>
        </w:tc>
        <w:tc>
          <w:tcPr>
            <w:tcW w:type="dxa" w:w="2108"/>
          </w:tcPr>
          <w:p>
            <w:r>
              <w:rPr>
                <w:sz w:val="16"/>
              </w:rPr>
              <w:t>Batch-level (minutes)</w:t>
            </w:r>
          </w:p>
        </w:tc>
      </w:tr>
    </w:tbl>
    <w:p>
      <w:r>
        <w:rPr>
          <w:b/>
          <w:sz w:val="18"/>
        </w:rPr>
        <w:t>Physics-Informed Neural Networks (PINNs)</w:t>
      </w:r>
      <w:r>
        <w:rPr>
          <w:sz w:val="18"/>
        </w:rPr>
        <w:t xml:space="preserve">: The key to real-time capability. High-fidelity CFD and PBM simulations are computationally expensive (hours per calcination cycle simulation). PINNs are trained on libraries of pre-computed simulation results to provide surrogate predictions with &lt;1 second inference time. The PINN architecture encodes the governing physics (energy balance, reaction kinetics) as constraints in the loss function, ensuring predictions remain physically consistent even for extrapolation beyond the training data range. This approach is validated by TwinHeat (MINES Paris), which achieved &lt;1 C prediction accuracy for furnace temperature fields using neural network surrogates trained on CFD data </w:t>
      </w:r>
      <w:r>
        <w:rPr>
          <w:color w:val="0066CC"/>
          <w:sz w:val="16"/>
        </w:rPr>
        <w:t>[CLM-016]</w:t>
      </w:r>
      <w:r>
        <w:rPr>
          <w:sz w:val="18"/>
        </w:rPr>
        <w:t>.</w:t>
      </w:r>
    </w:p>
    <w:p>
      <w:r>
        <w:rPr>
          <w:b/>
          <w:sz w:val="18"/>
        </w:rPr>
        <w:t>Data pipeline</w:t>
      </w:r>
      <w:r>
        <w:rPr>
          <w:sz w:val="18"/>
        </w:rPr>
        <w:t>:</w:t>
      </w:r>
    </w:p>
    <w:p>
      <w:pPr>
        <w:pStyle w:val="ListBullet"/>
      </w:pPr>
      <w:r>
        <w:rPr>
          <w:sz w:val="18"/>
        </w:rPr>
        <w:t>Time-series sensor data: InfluxDB (high-frequency ingestion, retention policies, downsampling)</w:t>
      </w:r>
    </w:p>
    <w:p>
      <w:pPr>
        <w:pStyle w:val="ListBullet"/>
      </w:pPr>
      <w:r>
        <w:rPr>
          <w:sz w:val="18"/>
        </w:rPr>
        <w:t>Batch archival: HDF5 files per batch (complete process trajectory + quality data)</w:t>
      </w:r>
    </w:p>
    <w:p>
      <w:pPr>
        <w:pStyle w:val="ListBullet"/>
      </w:pPr>
      <w:r>
        <w:rPr>
          <w:sz w:val="18"/>
        </w:rPr>
        <w:t>Data lake: Delta Lake on cloud storage for long-term analytics and model retraining</w:t>
      </w:r>
    </w:p>
    <w:p>
      <w:pPr>
        <w:pStyle w:val="ListBullet"/>
      </w:pPr>
      <w:r>
        <w:rPr>
          <w:sz w:val="18"/>
        </w:rPr>
        <w:t>Model registry: MLflow for surrogate model versioning, deployment, and performance tracking</w:t>
      </w:r>
    </w:p>
    <w:p>
      <w:r>
        <w:rPr>
          <w:b/>
          <w:sz w:val="18"/>
        </w:rPr>
        <w:t>ML pipelines</w:t>
      </w:r>
      <w:r>
        <w:rPr>
          <w:sz w:val="18"/>
        </w:rPr>
        <w:t>:</w:t>
      </w:r>
    </w:p>
    <w:p>
      <w:pPr>
        <w:pStyle w:val="ListBullet"/>
      </w:pPr>
      <w:r>
        <w:rPr>
          <w:sz w:val="18"/>
        </w:rPr>
        <w:t xml:space="preserve">Anomaly detection: Autoencoder-based (following Fraunhofer DiBaZ approach </w:t>
      </w:r>
      <w:r>
        <w:rPr>
          <w:color w:val="0066CC"/>
          <w:sz w:val="16"/>
        </w:rPr>
        <w:t>[CLM-017]</w:t>
      </w:r>
      <w:r>
        <w:rPr>
          <w:sz w:val="18"/>
        </w:rPr>
        <w:t>) for detecting out-of-distribution process behaviour</w:t>
      </w:r>
    </w:p>
    <w:p>
      <w:pPr>
        <w:pStyle w:val="ListBullet"/>
      </w:pPr>
      <w:r>
        <w:rPr>
          <w:sz w:val="18"/>
        </w:rPr>
        <w:t>Multivariate SPC: PCA/PLS-based process monitoring with T2 and SPE control charts</w:t>
      </w:r>
    </w:p>
    <w:p>
      <w:pPr>
        <w:pStyle w:val="ListBullet"/>
      </w:pPr>
      <w:r>
        <w:rPr>
          <w:sz w:val="18"/>
        </w:rPr>
        <w:t>Predictive quality: Gradient boosting / neural network models correlating CPP trajectories to final CQAs</w:t>
      </w:r>
    </w:p>
    <w:p>
      <w:pPr>
        <w:pStyle w:val="ListBullet"/>
      </w:pPr>
      <w:r>
        <w:rPr>
          <w:sz w:val="18"/>
        </w:rPr>
        <w:t xml:space="preserve">Bayesian optimisation: For iterative process optimisation during ramp-up (following ARTISTIC approach </w:t>
      </w:r>
      <w:r>
        <w:rPr>
          <w:color w:val="0066CC"/>
          <w:sz w:val="16"/>
        </w:rPr>
        <w:t>[SRC-004]</w:t>
      </w:r>
      <w:r>
        <w:rPr>
          <w:sz w:val="18"/>
        </w:rPr>
        <w:t>)</w:t>
      </w:r>
    </w:p>
    <w:p>
      <w:pPr>
        <w:pStyle w:val="Heading4"/>
      </w:pPr>
      <w:r>
        <w:t>6.8.4 Layer 4 -- User Entity</w:t>
      </w:r>
    </w:p>
    <w:p>
      <w:r>
        <w:rPr>
          <w:sz w:val="18"/>
        </w:rPr>
        <w:t>Layer 4 provides the human-machine interface:</w:t>
      </w:r>
    </w:p>
    <w:p>
      <w:pPr>
        <w:pStyle w:val="ListBullet"/>
      </w:pPr>
      <w:r>
        <w:rPr>
          <w:b/>
          <w:sz w:val="18"/>
        </w:rPr>
        <w:t>Real-time dashboards</w:t>
      </w:r>
      <w:r>
        <w:rPr>
          <w:sz w:val="18"/>
        </w:rPr>
        <w:t xml:space="preserve"> (Grafana): Process state visualisation, CQA predictions with confidence intervals, control action log, equipment health indicators</w:t>
      </w:r>
    </w:p>
    <w:p>
      <w:pPr>
        <w:pStyle w:val="ListBullet"/>
      </w:pPr>
      <w:r>
        <w:rPr>
          <w:b/>
          <w:sz w:val="18"/>
        </w:rPr>
        <w:t>MPC operator interface</w:t>
      </w:r>
      <w:r>
        <w:rPr>
          <w:sz w:val="18"/>
        </w:rPr>
        <w:t>: Model-predictive control for calcination temperature profile optimisation, spray drying parameter adjustment, milling energy control. The MPC operates on a receding-horizon optimisation minimising a cost function combining CQA deviation, energy consumption, and throughput.</w:t>
      </w:r>
    </w:p>
    <w:p>
      <w:pPr>
        <w:pStyle w:val="ListBullet"/>
      </w:pPr>
      <w:r>
        <w:rPr>
          <w:b/>
          <w:sz w:val="18"/>
        </w:rPr>
        <w:t>Batch quality reports</w:t>
      </w:r>
      <w:r>
        <w:rPr>
          <w:sz w:val="18"/>
        </w:rPr>
        <w:t>: Automatic generation at batch completion with CQA measurements vs specifications, process trajectory analysis, DT-predicted vs actual comparison, and pass/fail disposition</w:t>
      </w:r>
    </w:p>
    <w:p>
      <w:pPr>
        <w:pStyle w:val="ListBullet"/>
      </w:pPr>
      <w:r>
        <w:rPr>
          <w:b/>
          <w:sz w:val="18"/>
        </w:rPr>
        <w:t>Predictive maintenance</w:t>
      </w:r>
      <w:r>
        <w:rPr>
          <w:sz w:val="18"/>
        </w:rPr>
        <w:t>: Equipment health indicators derived from DT analysis of sensor trends (heating element degradation, sensor drift, mechanical wear). Maintenance scheduling recommendations based on condition rather than calendar.</w:t>
      </w:r>
    </w:p>
    <w:p>
      <w:pPr>
        <w:pStyle w:val="ListBullet"/>
      </w:pPr>
      <w:r>
        <w:rPr>
          <w:b/>
          <w:sz w:val="18"/>
        </w:rPr>
        <w:t>Battery Passport interface</w:t>
      </w:r>
      <w:r>
        <w:rPr>
          <w:sz w:val="18"/>
        </w:rPr>
        <w:t>: Structured data export compliant with Battery Regulation 2023/1542 requirements, providing full material and process traceability per lot.</w:t>
      </w:r>
    </w:p>
    <w:p>
      <w:r>
        <w:rPr>
          <w:sz w:val="18"/>
        </w:rPr>
        <w:t>---</w:t>
      </w:r>
    </w:p>
    <w:p>
      <w:pPr>
        <w:pStyle w:val="Heading2"/>
      </w:pPr>
      <w:r>
        <w:t>7. Expected Project Output</w:t>
      </w:r>
    </w:p>
    <w:p>
      <w:pPr>
        <w:pStyle w:val="Heading3"/>
      </w:pPr>
      <w:r>
        <w:t>7.1 Production Volume</w:t>
      </w:r>
    </w:p>
    <w:p>
      <w:r>
        <w:rPr>
          <w:sz w:val="18"/>
        </w:rPr>
        <w:t xml:space="preserve">The target annual production capacity is </w:t>
      </w:r>
      <w:r>
        <w:rPr>
          <w:b/>
          <w:sz w:val="18"/>
        </w:rPr>
        <w:t>50,000 tonnes (50 kton/yr)</w:t>
      </w:r>
      <w:r>
        <w:rPr>
          <w:sz w:val="18"/>
        </w:rPr>
        <w:t xml:space="preserve"> of battery-grade LFP CAM, achievable through installation of </w:t>
      </w:r>
      <w:r>
        <w:rPr>
          <w:b/>
          <w:sz w:val="18"/>
        </w:rPr>
        <w:t>4 modular production lines</w:t>
      </w:r>
      <w:r>
        <w:rPr>
          <w:sz w:val="18"/>
        </w:rPr>
        <w:t xml:space="preserve"> of 12,500 t/yr each. This exceeds the comparable FREYR project (30,000 t/yr </w:t>
      </w:r>
      <w:r>
        <w:rPr>
          <w:color w:val="0066CC"/>
          <w:sz w:val="16"/>
        </w:rPr>
        <w:t>[SRC-025]</w:t>
      </w:r>
      <w:r>
        <w:rPr>
          <w:sz w:val="18"/>
        </w:rPr>
        <w:t>). The product mix is 75% nanosized LFP and 25% spherical LFP. The target market is primarily ESS cell manufacturers, where LFP's cycle life (potentially &gt;6,000 cycles at cell level) and safety advantages are decisive.</w:t>
      </w:r>
    </w:p>
    <w:p>
      <w:r>
        <w:rPr>
          <w:b/>
          <w:sz w:val="18"/>
        </w:rPr>
        <w:t>Ramp-up trajectory</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Year</w:t>
            </w:r>
          </w:p>
        </w:tc>
        <w:tc>
          <w:tcPr>
            <w:tcW w:type="dxa" w:w="3513"/>
          </w:tcPr>
          <w:p>
            <w:r>
              <w:rPr>
                <w:b/>
                <w:sz w:val="16"/>
              </w:rPr>
              <w:t>Capacity Utilisation</w:t>
            </w:r>
          </w:p>
        </w:tc>
        <w:tc>
          <w:tcPr>
            <w:tcW w:type="dxa" w:w="3513"/>
          </w:tcPr>
          <w:p>
            <w:r>
              <w:rPr>
                <w:b/>
                <w:sz w:val="16"/>
              </w:rPr>
              <w:t>Estimated Output</w:t>
            </w:r>
          </w:p>
        </w:tc>
      </w:tr>
      <w:tr>
        <w:tc>
          <w:tcPr>
            <w:tcW w:type="dxa" w:w="3513"/>
          </w:tcPr>
          <w:p>
            <w:r>
              <w:rPr>
                <w:sz w:val="16"/>
              </w:rPr>
              <w:t>Year 1 (post-EiO)</w:t>
            </w:r>
          </w:p>
        </w:tc>
        <w:tc>
          <w:tcPr>
            <w:tcW w:type="dxa" w:w="3513"/>
          </w:tcPr>
          <w:p>
            <w:r>
              <w:rPr>
                <w:sz w:val="16"/>
              </w:rPr>
              <w:t>50% average</w:t>
            </w:r>
          </w:p>
        </w:tc>
        <w:tc>
          <w:tcPr>
            <w:tcW w:type="dxa" w:w="3513"/>
          </w:tcPr>
          <w:p>
            <w:r>
              <w:rPr>
                <w:sz w:val="16"/>
              </w:rPr>
              <w:t>~25,000 t</w:t>
            </w:r>
          </w:p>
        </w:tc>
      </w:tr>
      <w:tr>
        <w:tc>
          <w:tcPr>
            <w:tcW w:type="dxa" w:w="3513"/>
          </w:tcPr>
          <w:p>
            <w:r>
              <w:rPr>
                <w:sz w:val="16"/>
              </w:rPr>
              <w:t>Year 2</w:t>
            </w:r>
          </w:p>
        </w:tc>
        <w:tc>
          <w:tcPr>
            <w:tcW w:type="dxa" w:w="3513"/>
          </w:tcPr>
          <w:p>
            <w:r>
              <w:rPr>
                <w:sz w:val="16"/>
              </w:rPr>
              <w:t>80%</w:t>
            </w:r>
          </w:p>
        </w:tc>
        <w:tc>
          <w:tcPr>
            <w:tcW w:type="dxa" w:w="3513"/>
          </w:tcPr>
          <w:p>
            <w:r>
              <w:rPr>
                <w:sz w:val="16"/>
              </w:rPr>
              <w:t>~40,000 t</w:t>
            </w:r>
          </w:p>
        </w:tc>
      </w:tr>
      <w:tr>
        <w:tc>
          <w:tcPr>
            <w:tcW w:type="dxa" w:w="3513"/>
          </w:tcPr>
          <w:p>
            <w:r>
              <w:rPr>
                <w:sz w:val="16"/>
              </w:rPr>
              <w:t>Year 3+</w:t>
            </w:r>
          </w:p>
        </w:tc>
        <w:tc>
          <w:tcPr>
            <w:tcW w:type="dxa" w:w="3513"/>
          </w:tcPr>
          <w:p>
            <w:r>
              <w:rPr>
                <w:sz w:val="16"/>
              </w:rPr>
              <w:t>100% (nameplate)</w:t>
            </w:r>
          </w:p>
        </w:tc>
        <w:tc>
          <w:tcPr>
            <w:tcW w:type="dxa" w:w="3513"/>
          </w:tcPr>
          <w:p>
            <w:r>
              <w:rPr>
                <w:sz w:val="16"/>
              </w:rPr>
              <w:t>50,000 t/yr</w:t>
            </w:r>
          </w:p>
        </w:tc>
      </w:tr>
    </w:tbl>
    <w:p>
      <w:pPr>
        <w:pStyle w:val="Heading3"/>
      </w:pPr>
      <w:r>
        <w:t>7.2 Product Quality</w:t>
      </w:r>
    </w:p>
    <w:p>
      <w:r>
        <w:rPr>
          <w:sz w:val="18"/>
        </w:rPr>
        <w:t>The FACE plant produces battery-grade LiFePO4/C powder meeting the following CQA specifications:</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CQA</w:t>
            </w:r>
          </w:p>
        </w:tc>
        <w:tc>
          <w:tcPr>
            <w:tcW w:type="dxa" w:w="2108"/>
          </w:tcPr>
          <w:p>
            <w:r>
              <w:rPr>
                <w:b/>
                <w:sz w:val="16"/>
              </w:rPr>
              <w:t>Target</w:t>
            </w:r>
          </w:p>
        </w:tc>
        <w:tc>
          <w:tcPr>
            <w:tcW w:type="dxa" w:w="2108"/>
          </w:tcPr>
          <w:p>
            <w:r>
              <w:rPr>
                <w:b/>
                <w:sz w:val="16"/>
              </w:rPr>
              <w:t>Min/Max Specification</w:t>
            </w:r>
          </w:p>
        </w:tc>
        <w:tc>
          <w:tcPr>
            <w:tcW w:type="dxa" w:w="2108"/>
          </w:tcPr>
          <w:p>
            <w:r>
              <w:rPr>
                <w:b/>
                <w:sz w:val="16"/>
              </w:rPr>
              <w:t>Test Method</w:t>
            </w:r>
          </w:p>
        </w:tc>
        <w:tc>
          <w:tcPr>
            <w:tcW w:type="dxa" w:w="2108"/>
          </w:tcPr>
          <w:p>
            <w:r>
              <w:rPr>
                <w:b/>
                <w:sz w:val="16"/>
              </w:rPr>
              <w:t>Test Standard</w:t>
            </w:r>
          </w:p>
        </w:tc>
      </w:tr>
      <w:tr>
        <w:tc>
          <w:tcPr>
            <w:tcW w:type="dxa" w:w="2108"/>
          </w:tcPr>
          <w:p>
            <w:r>
              <w:rPr>
                <w:sz w:val="16"/>
              </w:rPr>
              <w:t>D10 particle size</w:t>
            </w:r>
          </w:p>
        </w:tc>
        <w:tc>
          <w:tcPr>
            <w:tcW w:type="dxa" w:w="2108"/>
          </w:tcPr>
          <w:p>
            <w:r>
              <w:rPr>
                <w:sz w:val="16"/>
              </w:rPr>
              <w:t>0.3-1.0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D50 particle size</w:t>
            </w:r>
          </w:p>
        </w:tc>
        <w:tc>
          <w:tcPr>
            <w:tcW w:type="dxa" w:w="2108"/>
          </w:tcPr>
          <w:p>
            <w:r>
              <w:rPr>
                <w:sz w:val="16"/>
              </w:rPr>
              <w:t>0.7-2.5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D90 particle size</w:t>
            </w:r>
          </w:p>
        </w:tc>
        <w:tc>
          <w:tcPr>
            <w:tcW w:type="dxa" w:w="2108"/>
          </w:tcPr>
          <w:p>
            <w:r>
              <w:rPr>
                <w:sz w:val="16"/>
              </w:rPr>
              <w:t>2.5-12.0 um</w:t>
            </w:r>
          </w:p>
        </w:tc>
        <w:tc>
          <w:tcPr>
            <w:tcW w:type="dxa" w:w="2108"/>
          </w:tcPr>
          <w:p>
            <w:r>
              <w:rPr>
                <w:sz w:val="16"/>
              </w:rPr>
              <w:t>Range</w:t>
            </w:r>
          </w:p>
        </w:tc>
        <w:tc>
          <w:tcPr>
            <w:tcW w:type="dxa" w:w="2108"/>
          </w:tcPr>
          <w:p>
            <w:r>
              <w:rPr>
                <w:sz w:val="16"/>
              </w:rPr>
              <w:t>Laser diffraction</w:t>
            </w:r>
          </w:p>
        </w:tc>
        <w:tc>
          <w:tcPr>
            <w:tcW w:type="dxa" w:w="2108"/>
          </w:tcPr>
          <w:p>
            <w:r>
              <w:rPr>
                <w:sz w:val="16"/>
              </w:rPr>
              <w:t>ISO 13320</w:t>
            </w:r>
          </w:p>
        </w:tc>
      </w:tr>
      <w:tr>
        <w:tc>
          <w:tcPr>
            <w:tcW w:type="dxa" w:w="2108"/>
          </w:tcPr>
          <w:p>
            <w:r>
              <w:rPr>
                <w:sz w:val="16"/>
              </w:rPr>
              <w:t>Specific surface area (SSA)</w:t>
            </w:r>
          </w:p>
        </w:tc>
        <w:tc>
          <w:tcPr>
            <w:tcW w:type="dxa" w:w="2108"/>
          </w:tcPr>
          <w:p>
            <w:r>
              <w:rPr>
                <w:sz w:val="16"/>
              </w:rPr>
              <w:t>10-14 m2/g</w:t>
            </w:r>
          </w:p>
        </w:tc>
        <w:tc>
          <w:tcPr>
            <w:tcW w:type="dxa" w:w="2108"/>
          </w:tcPr>
          <w:p>
            <w:r>
              <w:rPr>
                <w:sz w:val="16"/>
              </w:rPr>
              <w:t>Range</w:t>
            </w:r>
          </w:p>
        </w:tc>
        <w:tc>
          <w:tcPr>
            <w:tcW w:type="dxa" w:w="2108"/>
          </w:tcPr>
          <w:p>
            <w:r>
              <w:rPr>
                <w:sz w:val="16"/>
              </w:rPr>
              <w:t>N2 adsorption (BET)</w:t>
            </w:r>
          </w:p>
        </w:tc>
        <w:tc>
          <w:tcPr>
            <w:tcW w:type="dxa" w:w="2108"/>
          </w:tcPr>
          <w:p>
            <w:r>
              <w:rPr>
                <w:sz w:val="16"/>
              </w:rPr>
              <w:t>ISO 9277</w:t>
            </w:r>
          </w:p>
        </w:tc>
      </w:tr>
      <w:tr>
        <w:tc>
          <w:tcPr>
            <w:tcW w:type="dxa" w:w="2108"/>
          </w:tcPr>
          <w:p>
            <w:r>
              <w:rPr>
                <w:sz w:val="16"/>
              </w:rPr>
              <w:t>Tap density</w:t>
            </w:r>
          </w:p>
        </w:tc>
        <w:tc>
          <w:tcPr>
            <w:tcW w:type="dxa" w:w="2108"/>
          </w:tcPr>
          <w:p>
            <w:r>
              <w:rPr>
                <w:sz w:val="16"/>
              </w:rPr>
              <w:t>1.0-1.4 g/cm3</w:t>
            </w:r>
          </w:p>
        </w:tc>
        <w:tc>
          <w:tcPr>
            <w:tcW w:type="dxa" w:w="2108"/>
          </w:tcPr>
          <w:p>
            <w:r>
              <w:rPr>
                <w:sz w:val="16"/>
              </w:rPr>
              <w:t>&gt;1.0 g/cm3</w:t>
            </w:r>
          </w:p>
        </w:tc>
        <w:tc>
          <w:tcPr>
            <w:tcW w:type="dxa" w:w="2108"/>
          </w:tcPr>
          <w:p>
            <w:r>
              <w:rPr>
                <w:sz w:val="16"/>
              </w:rPr>
              <w:t>Standardised tapping</w:t>
            </w:r>
          </w:p>
        </w:tc>
        <w:tc>
          <w:tcPr>
            <w:tcW w:type="dxa" w:w="2108"/>
          </w:tcPr>
          <w:p>
            <w:r>
              <w:rPr>
                <w:sz w:val="16"/>
              </w:rPr>
              <w:t>ASTM B527</w:t>
            </w:r>
          </w:p>
        </w:tc>
      </w:tr>
      <w:tr>
        <w:tc>
          <w:tcPr>
            <w:tcW w:type="dxa" w:w="2108"/>
          </w:tcPr>
          <w:p>
            <w:r>
              <w:rPr>
                <w:sz w:val="16"/>
              </w:rPr>
              <w:t>Pellet density</w:t>
            </w:r>
          </w:p>
        </w:tc>
        <w:tc>
          <w:tcPr>
            <w:tcW w:type="dxa" w:w="2108"/>
          </w:tcPr>
          <w:p>
            <w:r>
              <w:rPr>
                <w:sz w:val="16"/>
              </w:rPr>
              <w:t>&gt;=2.40 g/cm3</w:t>
            </w:r>
          </w:p>
        </w:tc>
        <w:tc>
          <w:tcPr>
            <w:tcW w:type="dxa" w:w="2108"/>
          </w:tcPr>
          <w:p>
            <w:r>
              <w:rPr>
                <w:sz w:val="16"/>
              </w:rPr>
              <w:t>Min 2.40 g/cm3</w:t>
            </w:r>
          </w:p>
        </w:tc>
        <w:tc>
          <w:tcPr>
            <w:tcW w:type="dxa" w:w="2108"/>
          </w:tcPr>
          <w:p>
            <w:r>
              <w:rPr>
                <w:sz w:val="16"/>
              </w:rPr>
              <w:t>Compaction measurement</w:t>
            </w:r>
          </w:p>
        </w:tc>
        <w:tc>
          <w:tcPr>
            <w:tcW w:type="dxa" w:w="2108"/>
          </w:tcPr>
          <w:p>
            <w:r>
              <w:rPr>
                <w:sz w:val="16"/>
              </w:rPr>
              <w:t>--</w:t>
            </w:r>
          </w:p>
        </w:tc>
      </w:tr>
      <w:tr>
        <w:tc>
          <w:tcPr>
            <w:tcW w:type="dxa" w:w="2108"/>
          </w:tcPr>
          <w:p>
            <w:r>
              <w:rPr>
                <w:sz w:val="16"/>
              </w:rPr>
              <w:t>Electrode press density</w:t>
            </w:r>
          </w:p>
        </w:tc>
        <w:tc>
          <w:tcPr>
            <w:tcW w:type="dxa" w:w="2108"/>
          </w:tcPr>
          <w:p>
            <w:r>
              <w:rPr>
                <w:sz w:val="16"/>
              </w:rPr>
              <w:t>&gt;=2.30 g/cm3</w:t>
            </w:r>
          </w:p>
        </w:tc>
        <w:tc>
          <w:tcPr>
            <w:tcW w:type="dxa" w:w="2108"/>
          </w:tcPr>
          <w:p>
            <w:r>
              <w:rPr>
                <w:sz w:val="16"/>
              </w:rPr>
              <w:t>Min 2.30 g/cm3</w:t>
            </w:r>
          </w:p>
        </w:tc>
        <w:tc>
          <w:tcPr>
            <w:tcW w:type="dxa" w:w="2108"/>
          </w:tcPr>
          <w:p>
            <w:r>
              <w:rPr>
                <w:sz w:val="16"/>
              </w:rPr>
              <w:t>Press density measurement</w:t>
            </w:r>
          </w:p>
        </w:tc>
        <w:tc>
          <w:tcPr>
            <w:tcW w:type="dxa" w:w="2108"/>
          </w:tcPr>
          <w:p>
            <w:r>
              <w:rPr>
                <w:sz w:val="16"/>
              </w:rPr>
              <w:t>--</w:t>
            </w:r>
          </w:p>
        </w:tc>
      </w:tr>
      <w:tr>
        <w:tc>
          <w:tcPr>
            <w:tcW w:type="dxa" w:w="2108"/>
          </w:tcPr>
          <w:p>
            <w:r>
              <w:rPr>
                <w:sz w:val="16"/>
              </w:rPr>
              <w:t>Phase purity (olivine)</w:t>
            </w:r>
          </w:p>
        </w:tc>
        <w:tc>
          <w:tcPr>
            <w:tcW w:type="dxa" w:w="2108"/>
          </w:tcPr>
          <w:p>
            <w:r>
              <w:rPr>
                <w:sz w:val="16"/>
              </w:rPr>
              <w:t>&gt;98% LiFePO4</w:t>
            </w:r>
          </w:p>
        </w:tc>
        <w:tc>
          <w:tcPr>
            <w:tcW w:type="dxa" w:w="2108"/>
          </w:tcPr>
          <w:p>
            <w:r>
              <w:rPr>
                <w:sz w:val="16"/>
              </w:rPr>
              <w:t>Min 97%</w:t>
            </w:r>
          </w:p>
        </w:tc>
        <w:tc>
          <w:tcPr>
            <w:tcW w:type="dxa" w:w="2108"/>
          </w:tcPr>
          <w:p>
            <w:r>
              <w:rPr>
                <w:sz w:val="16"/>
              </w:rPr>
              <w:t>XRD Rietveld refinement</w:t>
            </w:r>
          </w:p>
        </w:tc>
        <w:tc>
          <w:tcPr>
            <w:tcW w:type="dxa" w:w="2108"/>
          </w:tcPr>
          <w:p>
            <w:r>
              <w:rPr>
                <w:sz w:val="16"/>
              </w:rPr>
              <w:t>ISO 16700 (adapted)</w:t>
            </w:r>
          </w:p>
        </w:tc>
      </w:tr>
      <w:tr>
        <w:tc>
          <w:tcPr>
            <w:tcW w:type="dxa" w:w="2108"/>
          </w:tcPr>
          <w:p>
            <w:r>
              <w:rPr>
                <w:sz w:val="16"/>
              </w:rPr>
              <w:t>Fe2+/Fe3+ ratio</w:t>
            </w:r>
          </w:p>
        </w:tc>
        <w:tc>
          <w:tcPr>
            <w:tcW w:type="dxa" w:w="2108"/>
          </w:tcPr>
          <w:p>
            <w:r>
              <w:rPr>
                <w:sz w:val="16"/>
              </w:rPr>
              <w:t>&gt;0.95</w:t>
            </w:r>
          </w:p>
        </w:tc>
        <w:tc>
          <w:tcPr>
            <w:tcW w:type="dxa" w:w="2108"/>
          </w:tcPr>
          <w:p>
            <w:r>
              <w:rPr>
                <w:sz w:val="16"/>
              </w:rPr>
              <w:t>Min 0.90</w:t>
            </w:r>
          </w:p>
        </w:tc>
        <w:tc>
          <w:tcPr>
            <w:tcW w:type="dxa" w:w="2108"/>
          </w:tcPr>
          <w:p>
            <w:r>
              <w:rPr>
                <w:sz w:val="16"/>
              </w:rPr>
              <w:t>Mossbauer spectroscopy / XPS</w:t>
            </w:r>
          </w:p>
        </w:tc>
        <w:tc>
          <w:tcPr>
            <w:tcW w:type="dxa" w:w="2108"/>
          </w:tcPr>
          <w:p>
            <w:r>
              <w:rPr>
                <w:sz w:val="16"/>
              </w:rPr>
              <w:t>--</w:t>
            </w:r>
          </w:p>
        </w:tc>
      </w:tr>
      <w:tr>
        <w:tc>
          <w:tcPr>
            <w:tcW w:type="dxa" w:w="2108"/>
          </w:tcPr>
          <w:p>
            <w:r>
              <w:rPr>
                <w:sz w:val="16"/>
              </w:rPr>
              <w:t>Carbon content</w:t>
            </w:r>
          </w:p>
        </w:tc>
        <w:tc>
          <w:tcPr>
            <w:tcW w:type="dxa" w:w="2108"/>
          </w:tcPr>
          <w:p>
            <w:r>
              <w:rPr>
                <w:sz w:val="16"/>
              </w:rPr>
              <w:t>1.0-1.8 wt%</w:t>
            </w:r>
          </w:p>
        </w:tc>
        <w:tc>
          <w:tcPr>
            <w:tcW w:type="dxa" w:w="2108"/>
          </w:tcPr>
          <w:p>
            <w:r>
              <w:rPr>
                <w:sz w:val="16"/>
              </w:rPr>
              <w:t>Range</w:t>
            </w:r>
          </w:p>
        </w:tc>
        <w:tc>
          <w:tcPr>
            <w:tcW w:type="dxa" w:w="2108"/>
          </w:tcPr>
          <w:p>
            <w:r>
              <w:rPr>
                <w:sz w:val="16"/>
              </w:rPr>
              <w:t>TGA / combustion analysis</w:t>
            </w:r>
          </w:p>
        </w:tc>
        <w:tc>
          <w:tcPr>
            <w:tcW w:type="dxa" w:w="2108"/>
          </w:tcPr>
          <w:p>
            <w:r>
              <w:rPr>
                <w:sz w:val="16"/>
              </w:rPr>
              <w:t>--</w:t>
            </w:r>
          </w:p>
        </w:tc>
      </w:tr>
      <w:tr>
        <w:tc>
          <w:tcPr>
            <w:tcW w:type="dxa" w:w="2108"/>
          </w:tcPr>
          <w:p>
            <w:r>
              <w:rPr>
                <w:sz w:val="16"/>
              </w:rPr>
              <w:t>Carbon D/G ratio (Raman)</w:t>
            </w:r>
          </w:p>
        </w:tc>
        <w:tc>
          <w:tcPr>
            <w:tcW w:type="dxa" w:w="2108"/>
          </w:tcPr>
          <w:p>
            <w:r>
              <w:rPr>
                <w:sz w:val="16"/>
              </w:rPr>
              <w:t>0.8-1.2</w:t>
            </w:r>
          </w:p>
        </w:tc>
        <w:tc>
          <w:tcPr>
            <w:tcW w:type="dxa" w:w="2108"/>
          </w:tcPr>
          <w:p>
            <w:r>
              <w:rPr>
                <w:sz w:val="16"/>
              </w:rPr>
              <w:t>Range</w:t>
            </w:r>
          </w:p>
        </w:tc>
        <w:tc>
          <w:tcPr>
            <w:tcW w:type="dxa" w:w="2108"/>
          </w:tcPr>
          <w:p>
            <w:r>
              <w:rPr>
                <w:sz w:val="16"/>
              </w:rPr>
              <w:t>Raman spectroscopy</w:t>
            </w:r>
          </w:p>
        </w:tc>
        <w:tc>
          <w:tcPr>
            <w:tcW w:type="dxa" w:w="2108"/>
          </w:tcPr>
          <w:p>
            <w:r>
              <w:rPr>
                <w:sz w:val="16"/>
              </w:rPr>
              <w:t>--</w:t>
            </w:r>
          </w:p>
        </w:tc>
      </w:tr>
      <w:tr>
        <w:tc>
          <w:tcPr>
            <w:tcW w:type="dxa" w:w="2108"/>
          </w:tcPr>
          <w:p>
            <w:r>
              <w:rPr>
                <w:sz w:val="16"/>
              </w:rPr>
              <w:t>Discharge capacity (0.1C)</w:t>
            </w:r>
          </w:p>
        </w:tc>
        <w:tc>
          <w:tcPr>
            <w:tcW w:type="dxa" w:w="2108"/>
          </w:tcPr>
          <w:p>
            <w:r>
              <w:rPr>
                <w:sz w:val="16"/>
              </w:rPr>
              <w:t>&gt;=155 mAh/g</w:t>
            </w:r>
          </w:p>
        </w:tc>
        <w:tc>
          <w:tcPr>
            <w:tcW w:type="dxa" w:w="2108"/>
          </w:tcPr>
          <w:p>
            <w:r>
              <w:rPr>
                <w:sz w:val="16"/>
              </w:rPr>
              <w:t>Min 150 mAh/g</w:t>
            </w:r>
          </w:p>
        </w:tc>
        <w:tc>
          <w:tcPr>
            <w:tcW w:type="dxa" w:w="2108"/>
          </w:tcPr>
          <w:p>
            <w:r>
              <w:rPr>
                <w:sz w:val="16"/>
              </w:rPr>
              <w:t>Half-cell electrochemical</w:t>
            </w:r>
          </w:p>
        </w:tc>
        <w:tc>
          <w:tcPr>
            <w:tcW w:type="dxa" w:w="2108"/>
          </w:tcPr>
          <w:p>
            <w:r>
              <w:rPr>
                <w:sz w:val="16"/>
              </w:rPr>
              <w:t>IEC 62660-1 (adapted)</w:t>
            </w:r>
          </w:p>
        </w:tc>
      </w:tr>
      <w:tr>
        <w:tc>
          <w:tcPr>
            <w:tcW w:type="dxa" w:w="2108"/>
          </w:tcPr>
          <w:p>
            <w:r>
              <w:rPr>
                <w:sz w:val="16"/>
              </w:rPr>
              <w:t>Discharge capacity (1C)</w:t>
            </w:r>
          </w:p>
        </w:tc>
        <w:tc>
          <w:tcPr>
            <w:tcW w:type="dxa" w:w="2108"/>
          </w:tcPr>
          <w:p>
            <w:r>
              <w:rPr>
                <w:sz w:val="16"/>
              </w:rPr>
              <w:t>&gt;=140 mAh/g</w:t>
            </w:r>
          </w:p>
        </w:tc>
        <w:tc>
          <w:tcPr>
            <w:tcW w:type="dxa" w:w="2108"/>
          </w:tcPr>
          <w:p>
            <w:r>
              <w:rPr>
                <w:sz w:val="16"/>
              </w:rPr>
              <w:t>Min 135 mAh/g</w:t>
            </w:r>
          </w:p>
        </w:tc>
        <w:tc>
          <w:tcPr>
            <w:tcW w:type="dxa" w:w="2108"/>
          </w:tcPr>
          <w:p>
            <w:r>
              <w:rPr>
                <w:sz w:val="16"/>
              </w:rPr>
              <w:t>Half-cell electrochemical</w:t>
            </w:r>
          </w:p>
        </w:tc>
        <w:tc>
          <w:tcPr>
            <w:tcW w:type="dxa" w:w="2108"/>
          </w:tcPr>
          <w:p>
            <w:r>
              <w:rPr>
                <w:sz w:val="16"/>
              </w:rPr>
              <w:t>IEC 62660-1 (adapted)</w:t>
            </w:r>
          </w:p>
        </w:tc>
      </w:tr>
      <w:tr>
        <w:tc>
          <w:tcPr>
            <w:tcW w:type="dxa" w:w="2108"/>
          </w:tcPr>
          <w:p>
            <w:r>
              <w:rPr>
                <w:sz w:val="16"/>
              </w:rPr>
              <w:t>Initial Coulombic Efficiency</w:t>
            </w:r>
          </w:p>
        </w:tc>
        <w:tc>
          <w:tcPr>
            <w:tcW w:type="dxa" w:w="2108"/>
          </w:tcPr>
          <w:p>
            <w:r>
              <w:rPr>
                <w:sz w:val="16"/>
              </w:rPr>
              <w:t>~98%</w:t>
            </w:r>
          </w:p>
        </w:tc>
        <w:tc>
          <w:tcPr>
            <w:tcW w:type="dxa" w:w="2108"/>
          </w:tcPr>
          <w:p>
            <w:r>
              <w:rPr>
                <w:sz w:val="16"/>
              </w:rPr>
              <w:t>Min 96%</w:t>
            </w:r>
          </w:p>
        </w:tc>
        <w:tc>
          <w:tcPr>
            <w:tcW w:type="dxa" w:w="2108"/>
          </w:tcPr>
          <w:p>
            <w:r>
              <w:rPr>
                <w:sz w:val="16"/>
              </w:rPr>
              <w:t>Half-cell electrochemical</w:t>
            </w:r>
          </w:p>
        </w:tc>
        <w:tc>
          <w:tcPr>
            <w:tcW w:type="dxa" w:w="2108"/>
          </w:tcPr>
          <w:p>
            <w:r>
              <w:rPr>
                <w:sz w:val="16"/>
              </w:rPr>
              <w:t>--</w:t>
            </w:r>
          </w:p>
        </w:tc>
      </w:tr>
      <w:tr>
        <w:tc>
          <w:tcPr>
            <w:tcW w:type="dxa" w:w="2108"/>
          </w:tcPr>
          <w:p>
            <w:r>
              <w:rPr>
                <w:sz w:val="16"/>
              </w:rPr>
              <w:t>Moisture</w:t>
            </w:r>
          </w:p>
        </w:tc>
        <w:tc>
          <w:tcPr>
            <w:tcW w:type="dxa" w:w="2108"/>
          </w:tcPr>
          <w:p>
            <w:r>
              <w:rPr>
                <w:sz w:val="16"/>
              </w:rPr>
              <w:t>&lt;750 ppm</w:t>
            </w:r>
          </w:p>
        </w:tc>
        <w:tc>
          <w:tcPr>
            <w:tcW w:type="dxa" w:w="2108"/>
          </w:tcPr>
          <w:p>
            <w:r>
              <w:rPr>
                <w:sz w:val="16"/>
              </w:rPr>
              <w:t>Max 750 ppm</w:t>
            </w:r>
          </w:p>
        </w:tc>
        <w:tc>
          <w:tcPr>
            <w:tcW w:type="dxa" w:w="2108"/>
          </w:tcPr>
          <w:p>
            <w:r>
              <w:rPr>
                <w:sz w:val="16"/>
              </w:rPr>
              <w:t>Karl Fischer titration</w:t>
            </w:r>
          </w:p>
        </w:tc>
        <w:tc>
          <w:tcPr>
            <w:tcW w:type="dxa" w:w="2108"/>
          </w:tcPr>
          <w:p>
            <w:r>
              <w:rPr>
                <w:sz w:val="16"/>
              </w:rPr>
              <w:t>ASTM E203</w:t>
            </w:r>
          </w:p>
        </w:tc>
      </w:tr>
      <w:tr>
        <w:tc>
          <w:tcPr>
            <w:tcW w:type="dxa" w:w="2108"/>
          </w:tcPr>
          <w:p>
            <w:r>
              <w:rPr>
                <w:sz w:val="16"/>
              </w:rPr>
              <w:t>Magnetic impurities</w:t>
            </w:r>
          </w:p>
        </w:tc>
        <w:tc>
          <w:tcPr>
            <w:tcW w:type="dxa" w:w="2108"/>
          </w:tcPr>
          <w:p>
            <w:r>
              <w:rPr>
                <w:sz w:val="16"/>
              </w:rPr>
              <w:t>&lt;=1000 ppb</w:t>
            </w:r>
          </w:p>
        </w:tc>
        <w:tc>
          <w:tcPr>
            <w:tcW w:type="dxa" w:w="2108"/>
          </w:tcPr>
          <w:p>
            <w:r>
              <w:rPr>
                <w:sz w:val="16"/>
              </w:rPr>
              <w:t>Max 1000 ppb</w:t>
            </w:r>
          </w:p>
        </w:tc>
        <w:tc>
          <w:tcPr>
            <w:tcW w:type="dxa" w:w="2108"/>
          </w:tcPr>
          <w:p>
            <w:r>
              <w:rPr>
                <w:sz w:val="16"/>
              </w:rPr>
              <w:t>Magnetic susceptibility</w:t>
            </w:r>
          </w:p>
        </w:tc>
        <w:tc>
          <w:tcPr>
            <w:tcW w:type="dxa" w:w="2108"/>
          </w:tcPr>
          <w:p>
            <w:r>
              <w:rPr>
                <w:sz w:val="16"/>
              </w:rPr>
              <w:t>--</w:t>
            </w:r>
          </w:p>
        </w:tc>
      </w:tr>
    </w:tbl>
    <w:p>
      <w:r>
        <w:rPr>
          <w:sz w:val="18"/>
        </w:rPr>
        <w:t>These specifications are competitive with Tier-1 Chinese LFP CAM (CATL, BYD) and aligned with the requirements published by European cell manufacturers for LFP cathode qualification.</w:t>
      </w:r>
    </w:p>
    <w:p>
      <w:pPr>
        <w:pStyle w:val="Heading3"/>
      </w:pPr>
      <w:r>
        <w:t>7.3 Turndown, Availability, and Reliability</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Target</w:t>
            </w:r>
          </w:p>
        </w:tc>
        <w:tc>
          <w:tcPr>
            <w:tcW w:type="dxa" w:w="3513"/>
          </w:tcPr>
          <w:p>
            <w:r>
              <w:rPr>
                <w:b/>
                <w:sz w:val="16"/>
              </w:rPr>
              <w:t>Basis</w:t>
            </w:r>
          </w:p>
        </w:tc>
      </w:tr>
      <w:tr>
        <w:tc>
          <w:tcPr>
            <w:tcW w:type="dxa" w:w="3513"/>
          </w:tcPr>
          <w:p>
            <w:r>
              <w:rPr>
                <w:sz w:val="16"/>
              </w:rPr>
              <w:t>Minimum turndown</w:t>
            </w:r>
          </w:p>
        </w:tc>
        <w:tc>
          <w:tcPr>
            <w:tcW w:type="dxa" w:w="3513"/>
          </w:tcPr>
          <w:p>
            <w:r>
              <w:rPr>
                <w:sz w:val="16"/>
              </w:rPr>
              <w:t>25% of nameplate capacity</w:t>
            </w:r>
          </w:p>
        </w:tc>
        <w:tc>
          <w:tcPr>
            <w:tcW w:type="dxa" w:w="3513"/>
          </w:tcPr>
          <w:p>
            <w:r>
              <w:rPr>
                <w:sz w:val="16"/>
              </w:rPr>
              <w:t>Minimum batch size for spray dryer and kiln operation</w:t>
            </w:r>
          </w:p>
        </w:tc>
      </w:tr>
      <w:tr>
        <w:tc>
          <w:tcPr>
            <w:tcW w:type="dxa" w:w="3513"/>
          </w:tcPr>
          <w:p>
            <w:r>
              <w:rPr>
                <w:sz w:val="16"/>
              </w:rPr>
              <w:t>Plant availability</w:t>
            </w:r>
          </w:p>
        </w:tc>
        <w:tc>
          <w:tcPr>
            <w:tcW w:type="dxa" w:w="3513"/>
          </w:tcPr>
          <w:p>
            <w:r>
              <w:rPr>
                <w:sz w:val="16"/>
              </w:rPr>
              <w:t>&gt;90% (Year 2+)</w:t>
            </w:r>
          </w:p>
        </w:tc>
        <w:tc>
          <w:tcPr>
            <w:tcW w:type="dxa" w:w="3513"/>
          </w:tcPr>
          <w:p>
            <w:r>
              <w:rPr>
                <w:sz w:val="16"/>
              </w:rPr>
              <w:t>Industry benchmark for continuous chemical process plants</w:t>
            </w:r>
          </w:p>
        </w:tc>
      </w:tr>
      <w:tr>
        <w:tc>
          <w:tcPr>
            <w:tcW w:type="dxa" w:w="3513"/>
          </w:tcPr>
          <w:p>
            <w:r>
              <w:rPr>
                <w:sz w:val="16"/>
              </w:rPr>
              <w:t>On-stream factor</w:t>
            </w:r>
          </w:p>
        </w:tc>
        <w:tc>
          <w:tcPr>
            <w:tcW w:type="dxa" w:w="3513"/>
          </w:tcPr>
          <w:p>
            <w:r>
              <w:rPr>
                <w:sz w:val="16"/>
              </w:rPr>
              <w:t>&gt;85% (Year 2+)</w:t>
            </w:r>
          </w:p>
        </w:tc>
        <w:tc>
          <w:tcPr>
            <w:tcW w:type="dxa" w:w="3513"/>
          </w:tcPr>
          <w:p>
            <w:r>
              <w:rPr>
                <w:sz w:val="16"/>
              </w:rPr>
              <w:t>Accounting for planned maintenance, batch changeover, QC holds</w:t>
            </w:r>
          </w:p>
        </w:tc>
      </w:tr>
      <w:tr>
        <w:tc>
          <w:tcPr>
            <w:tcW w:type="dxa" w:w="3513"/>
          </w:tcPr>
          <w:p>
            <w:r>
              <w:rPr>
                <w:sz w:val="16"/>
              </w:rPr>
              <w:t>Mean time between failures (MTBF)</w:t>
            </w:r>
          </w:p>
        </w:tc>
        <w:tc>
          <w:tcPr>
            <w:tcW w:type="dxa" w:w="3513"/>
          </w:tcPr>
          <w:p>
            <w:r>
              <w:rPr>
                <w:sz w:val="16"/>
              </w:rPr>
              <w:t>[TO BE COMPLETED: To be established from vendor MTBF data for critical equipment (kiln, spray dryer)]</w:t>
            </w:r>
          </w:p>
        </w:tc>
        <w:tc>
          <w:tcPr>
            <w:tcW w:type="dxa" w:w="3513"/>
          </w:tcPr>
          <w:p>
            <w:r>
              <w:rPr>
                <w:sz w:val="16"/>
              </w:rPr>
              <w:t>Vendor specifications</w:t>
            </w:r>
          </w:p>
        </w:tc>
      </w:tr>
      <w:tr>
        <w:tc>
          <w:tcPr>
            <w:tcW w:type="dxa" w:w="3513"/>
          </w:tcPr>
          <w:p>
            <w:r>
              <w:rPr>
                <w:sz w:val="16"/>
              </w:rPr>
              <w:t>Mean time to repair (MTTR)</w:t>
            </w:r>
          </w:p>
        </w:tc>
        <w:tc>
          <w:tcPr>
            <w:tcW w:type="dxa" w:w="3513"/>
          </w:tcPr>
          <w:p>
            <w:r>
              <w:rPr>
                <w:sz w:val="16"/>
              </w:rPr>
              <w:t>&lt;8 hours for non-critical failures; &lt;48 hours for critical equipment</w:t>
            </w:r>
          </w:p>
        </w:tc>
        <w:tc>
          <w:tcPr>
            <w:tcW w:type="dxa" w:w="3513"/>
          </w:tcPr>
          <w:p>
            <w:r>
              <w:rPr>
                <w:sz w:val="16"/>
              </w:rPr>
              <w:t>Based on spare parts inventory and maintenance team capability</w:t>
            </w:r>
          </w:p>
        </w:tc>
      </w:tr>
    </w:tbl>
    <w:p>
      <w:pPr>
        <w:pStyle w:val="Heading3"/>
      </w:pPr>
      <w:r>
        <w:t>7.4 Maintenance Strategy</w:t>
      </w:r>
    </w:p>
    <w:p>
      <w:r>
        <w:rPr>
          <w:sz w:val="18"/>
        </w:rPr>
        <w:t xml:space="preserve">The FACE plant implements a </w:t>
      </w:r>
      <w:r>
        <w:rPr>
          <w:b/>
          <w:sz w:val="18"/>
        </w:rPr>
        <w:t>DT-enabled predictive maintenance</w:t>
      </w:r>
      <w:r>
        <w:rPr>
          <w:sz w:val="18"/>
        </w:rPr>
        <w:t xml:space="preserve"> strategy that progresses from time-based to condition-based to predictive maintenance over the first two years of operation:</w:t>
      </w:r>
    </w:p>
    <w:p>
      <w:r>
        <w:rPr>
          <w:b/>
          <w:sz w:val="18"/>
        </w:rPr>
        <w:t>Year 1</w:t>
      </w:r>
      <w:r>
        <w:rPr>
          <w:sz w:val="18"/>
        </w:rPr>
        <w:t>: Time-based maintenance per vendor recommendations, supplemented by DT monitoring of equipment health indicators (heating element resistance trends, sensor calibration drift, motor vibration signatures, bearing temperature).</w:t>
      </w:r>
    </w:p>
    <w:p>
      <w:r>
        <w:rPr>
          <w:b/>
          <w:sz w:val="18"/>
        </w:rPr>
        <w:t>Year 2+</w:t>
      </w:r>
      <w:r>
        <w:rPr>
          <w:sz w:val="18"/>
        </w:rPr>
        <w:t>: Transition to condition-based and predictive maintenance as the DT accumulates sufficient operational data to train equipment degradation models. Key predictive maintenance targets:</w:t>
      </w:r>
    </w:p>
    <w:p>
      <w:pPr>
        <w:pStyle w:val="ListBullet"/>
      </w:pPr>
      <w:r>
        <w:rPr>
          <w:sz w:val="18"/>
        </w:rPr>
        <w:t>Heating element degradation in calcination kiln (resistance increase → temperature non-uniformity → predict replacement timing)</w:t>
      </w:r>
    </w:p>
    <w:p>
      <w:pPr>
        <w:pStyle w:val="ListBullet"/>
      </w:pPr>
      <w:r>
        <w:rPr>
          <w:sz w:val="18"/>
        </w:rPr>
        <w:t>Sensor drift (particularly zirconia O2 sensors at high temperature) → automated recalibration scheduling</w:t>
      </w:r>
    </w:p>
    <w:p>
      <w:pPr>
        <w:pStyle w:val="ListBullet"/>
      </w:pPr>
      <w:r>
        <w:rPr>
          <w:sz w:val="18"/>
        </w:rPr>
        <w:t>Grinding media wear in sand mill → predict replacement interval from particle size evolution trends</w:t>
      </w:r>
    </w:p>
    <w:p>
      <w:pPr>
        <w:pStyle w:val="ListBullet"/>
      </w:pPr>
      <w:r>
        <w:rPr>
          <w:sz w:val="18"/>
        </w:rPr>
        <w:t>Spray dryer nozzle wear → predict atomisation degradation from product particle size trends</w:t>
      </w:r>
    </w:p>
    <w:p>
      <w:r>
        <w:rPr>
          <w:sz w:val="18"/>
        </w:rPr>
        <w:t xml:space="preserve">DT-enabled predictive maintenance is projected to reduce unplanned downtime by 20-50% versus calendar-based maintenance </w:t>
      </w:r>
      <w:r>
        <w:rPr>
          <w:color w:val="0066CC"/>
          <w:sz w:val="16"/>
        </w:rPr>
        <w:t>[CLM-007]</w:t>
      </w:r>
      <w:r>
        <w:rPr>
          <w:sz w:val="18"/>
        </w:rPr>
        <w:t>.</w:t>
      </w:r>
    </w:p>
    <w:p>
      <w:pPr>
        <w:pStyle w:val="Heading3"/>
      </w:pPr>
      <w:r>
        <w:t>7.5 GHG Emission Avoidance</w:t>
      </w:r>
    </w:p>
    <w:p>
      <w:r>
        <w:rPr>
          <w:b/>
          <w:sz w:val="18"/>
        </w:rPr>
        <w:t>GHG Methodology Classification: ES / Manufacturing of Components.</w:t>
      </w:r>
      <w:r>
        <w:rPr>
          <w:sz w:val="18"/>
        </w:rPr>
        <w:t xml:space="preserve"> Per the Innovation Fund GHG emission avoidance methodology, the project is classified as </w:t>
      </w:r>
      <w:r>
        <w:rPr>
          <w:b/>
          <w:sz w:val="18"/>
        </w:rPr>
        <w:t>Energy Storage (ES) / Manufacturing of Components</w:t>
      </w:r>
      <w:r>
        <w:rPr>
          <w:sz w:val="18"/>
        </w:rPr>
        <w:t xml:space="preserve"> (Section 1.3.2). LFP CAM is a specialised battery-grade cathode material — a "component" as exemplified in the methodology. The GHG system boundary therefore encompasses the </w:t>
      </w:r>
      <w:r>
        <w:rPr>
          <w:b/>
          <w:sz w:val="18"/>
        </w:rPr>
        <w:t>use phase of the BESS systems</w:t>
      </w:r>
      <w:r>
        <w:rPr>
          <w:sz w:val="18"/>
        </w:rPr>
        <w:t xml:space="preserve"> in which the LFP CAM is deployed, not the manufacturing plant itself. The manufacturing plant's own emissions (Scope 1 and 2) fall outside the GHG calculation boundary.</w:t>
      </w:r>
    </w:p>
    <w:p>
      <w:r>
        <w:rPr>
          <w:b/>
          <w:sz w:val="18"/>
        </w:rPr>
        <w:t>GHG avoidance calculation framework (for CFO team):</w:t>
      </w:r>
    </w:p>
    <w:p>
      <w:pPr>
        <w:pStyle w:val="ListBullet"/>
      </w:pPr>
      <w:r>
        <w:rPr>
          <w:b/>
          <w:sz w:val="18"/>
        </w:rPr>
        <w:t>Use phase</w:t>
      </w:r>
      <w:r>
        <w:rPr>
          <w:sz w:val="18"/>
        </w:rPr>
        <w:t>: BESS systems containing FACE LFP CAM displacing fossil fuel peaking plants on the Italian electricity grid</w:t>
      </w:r>
    </w:p>
    <w:p>
      <w:pPr>
        <w:pStyle w:val="ListBullet"/>
      </w:pPr>
      <w:r>
        <w:rPr>
          <w:b/>
          <w:sz w:val="18"/>
        </w:rPr>
        <w:t>Reference scenario</w:t>
      </w:r>
      <w:r>
        <w:rPr>
          <w:sz w:val="18"/>
        </w:rPr>
        <w:t>: Conventional electricity generation from gas peaking plants (CCGT or OCGT)</w:t>
      </w:r>
    </w:p>
    <w:p>
      <w:pPr>
        <w:pStyle w:val="ListBullet"/>
      </w:pPr>
      <w:r>
        <w:rPr>
          <w:b/>
          <w:sz w:val="18"/>
        </w:rPr>
        <w:t>Project scenario</w:t>
      </w:r>
      <w:r>
        <w:rPr>
          <w:sz w:val="18"/>
        </w:rPr>
        <w:t>: BESS charged from grid (increasingly renewable) providing grid stabilisation services</w:t>
      </w:r>
    </w:p>
    <w:p>
      <w:pPr>
        <w:pStyle w:val="ListBullet"/>
      </w:pPr>
      <w:r>
        <w:rPr>
          <w:b/>
          <w:sz w:val="18"/>
        </w:rPr>
        <w:t>Cost share (CScomponent)</w:t>
      </w:r>
      <w:r>
        <w:rPr>
          <w:sz w:val="18"/>
        </w:rPr>
        <w:t>: Fraction of CAM cost in total BESS cost. CAM is typically 30-40% of cell cost, and cells are 60-70% of BESS cost, giving CScomponent of approximately 20-28% of total BESS cost. However, if the co-located FIB-Eni JV factory is treated as part of the same project consortium, the CScomponent could be significantly higher (potentially covering the full cell or even the full BESS if the JV is an affiliated entity). [CFO TEAM: this CScomponent determination is critical for the GHG calculator and requires careful analysis of the JV structure.]</w:t>
      </w:r>
    </w:p>
    <w:p>
      <w:pPr>
        <w:pStyle w:val="ListBullet"/>
      </w:pPr>
      <w:r>
        <w:rPr>
          <w:b/>
          <w:sz w:val="18"/>
        </w:rPr>
        <w:t>Use period</w:t>
      </w:r>
      <w:r>
        <w:rPr>
          <w:sz w:val="18"/>
        </w:rPr>
        <w:t>: 5 years per methodology, or component lifetime if shorter</w:t>
      </w:r>
    </w:p>
    <w:p>
      <w:pPr>
        <w:pStyle w:val="ListBullet"/>
      </w:pPr>
      <w:r>
        <w:rPr>
          <w:b/>
          <w:sz w:val="18"/>
        </w:rPr>
        <w:t>Output volume</w:t>
      </w:r>
      <w:r>
        <w:rPr>
          <w:sz w:val="18"/>
        </w:rPr>
        <w:t>: 50,000 t/yr LFP CAM. At approximately 3 kWh/kg cell energy density, this could produce approximately 150 GWh/yr of battery capacity — a potentially massive GHG avoidance if the BESS displaces gas peakers.</w:t>
      </w:r>
    </w:p>
    <w:p>
      <w:r>
        <w:rPr>
          <w:b/>
          <w:sz w:val="18"/>
        </w:rPr>
        <w:t>Note on plant-level GHG</w:t>
      </w:r>
      <w:r>
        <w:rPr>
          <w:sz w:val="18"/>
        </w:rPr>
        <w:t>: The following plant-level comparison is provided for context (innovation and replicability argument) but is NOT the basis of the scored GHG avoidance calculation, which is based on BESS use-phase as described above.</w:t>
      </w:r>
    </w:p>
    <w:p>
      <w:r>
        <w:rPr>
          <w:sz w:val="18"/>
        </w:rPr>
        <w:t>The Innovation Fund GHG avoidance calculation compares the FACE electrified plant against a gas-fired reference case (Asian benchmark technology). The key parameters are: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sz w:val="16"/>
              </w:rPr>
              <w:t>Parameter</w:t>
            </w:r>
          </w:p>
        </w:tc>
        <w:tc>
          <w:tcPr>
            <w:tcW w:type="dxa" w:w="2635"/>
          </w:tcPr>
          <w:p>
            <w:r>
              <w:rPr>
                <w:b/>
                <w:sz w:val="16"/>
              </w:rPr>
              <w:t>Gas-Fired Reference</w:t>
            </w:r>
          </w:p>
        </w:tc>
        <w:tc>
          <w:tcPr>
            <w:tcW w:type="dxa" w:w="2635"/>
          </w:tcPr>
          <w:p>
            <w:r>
              <w:rPr>
                <w:b/>
                <w:sz w:val="16"/>
              </w:rPr>
              <w:t>FACE (Electrified)</w:t>
            </w:r>
          </w:p>
        </w:tc>
        <w:tc>
          <w:tcPr>
            <w:tcW w:type="dxa" w:w="2635"/>
          </w:tcPr>
          <w:p>
            <w:r>
              <w:rPr>
                <w:b/>
                <w:sz w:val="16"/>
              </w:rPr>
              <w:t>Source</w:t>
            </w:r>
          </w:p>
        </w:tc>
      </w:tr>
      <w:tr>
        <w:tc>
          <w:tcPr>
            <w:tcW w:type="dxa" w:w="2635"/>
          </w:tcPr>
          <w:p>
            <w:r>
              <w:rPr>
                <w:sz w:val="16"/>
              </w:rPr>
              <w:t>Process energy source</w:t>
            </w:r>
          </w:p>
        </w:tc>
        <w:tc>
          <w:tcPr>
            <w:tcW w:type="dxa" w:w="2635"/>
          </w:tcPr>
          <w:p>
            <w:r>
              <w:rPr>
                <w:sz w:val="16"/>
              </w:rPr>
              <w:t>Natural gas (spray drying + calcination)</w:t>
            </w:r>
          </w:p>
        </w:tc>
        <w:tc>
          <w:tcPr>
            <w:tcW w:type="dxa" w:w="2635"/>
          </w:tcPr>
          <w:p>
            <w:r>
              <w:rPr>
                <w:sz w:val="16"/>
              </w:rPr>
              <w:t>Electricity (3,580 kWh/t) + limited gas (189 m3/t) with progressive electrification pathway</w:t>
            </w:r>
          </w:p>
        </w:tc>
        <w:tc>
          <w:tcPr>
            <w:tcW w:type="dxa" w:w="2635"/>
          </w:tcPr>
          <w:p>
            <w:r>
              <w:rPr>
                <w:sz w:val="16"/>
              </w:rPr>
              <w:t>Production information document</w:t>
            </w:r>
          </w:p>
        </w:tc>
      </w:tr>
      <w:tr>
        <w:tc>
          <w:tcPr>
            <w:tcW w:type="dxa" w:w="2635"/>
          </w:tcPr>
          <w:p>
            <w:r>
              <w:rPr>
                <w:sz w:val="16"/>
              </w:rPr>
              <w:t>Thermal efficiency (calcination)</w:t>
            </w:r>
          </w:p>
        </w:tc>
        <w:tc>
          <w:tcPr>
            <w:tcW w:type="dxa" w:w="2635"/>
          </w:tcPr>
          <w:p>
            <w:r>
              <w:rPr>
                <w:sz w:val="16"/>
              </w:rPr>
              <w:t>25-60%</w:t>
            </w:r>
          </w:p>
        </w:tc>
        <w:tc>
          <w:tcPr>
            <w:tcW w:type="dxa" w:w="2635"/>
          </w:tcPr>
          <w:p>
            <w:r>
              <w:rPr>
                <w:sz w:val="16"/>
              </w:rPr>
              <w:t>95%</w:t>
            </w:r>
          </w:p>
        </w:tc>
        <w:tc>
          <w:tcPr>
            <w:tcW w:type="dxa" w:w="2635"/>
          </w:tcPr>
          <w:p>
            <w:r>
              <w:rPr>
                <w:sz w:val="16"/>
              </w:rPr>
              <w:t>[CLM-023, SRC-ED-009]</w:t>
            </w:r>
          </w:p>
        </w:tc>
      </w:tr>
      <w:tr>
        <w:tc>
          <w:tcPr>
            <w:tcW w:type="dxa" w:w="2635"/>
          </w:tcPr>
          <w:p>
            <w:r>
              <w:rPr>
                <w:sz w:val="16"/>
              </w:rPr>
              <w:t>Grid carbon intensity</w:t>
            </w:r>
          </w:p>
        </w:tc>
        <w:tc>
          <w:tcPr>
            <w:tcW w:type="dxa" w:w="2635"/>
          </w:tcPr>
          <w:p>
            <w:r>
              <w:rPr>
                <w:sz w:val="16"/>
              </w:rPr>
              <w:t>N/A (gas: ~0.2 kgCO2/kWh_th)</w:t>
            </w:r>
          </w:p>
        </w:tc>
        <w:tc>
          <w:tcPr>
            <w:tcW w:type="dxa" w:w="2635"/>
          </w:tcPr>
          <w:p>
            <w:r>
              <w:rPr>
                <w:sz w:val="16"/>
              </w:rPr>
              <w:t>Italy 2030: ~146 gCO2/kWh_e [SRC-ED-017]; PPA: ~0 gCO2/kWh_e</w:t>
            </w:r>
          </w:p>
        </w:tc>
        <w:tc>
          <w:tcPr>
            <w:tcW w:type="dxa" w:w="2635"/>
          </w:tcPr>
          <w:p>
            <w:r>
              <w:rPr>
                <w:sz w:val="16"/>
              </w:rPr>
              <w:t>[SRC-ED-016, SRC-ED-017]</w:t>
            </w:r>
          </w:p>
        </w:tc>
      </w:tr>
      <w:tr>
        <w:tc>
          <w:tcPr>
            <w:tcW w:type="dxa" w:w="2635"/>
          </w:tcPr>
          <w:p>
            <w:r>
              <w:rPr>
                <w:sz w:val="16"/>
              </w:rPr>
              <w:t>Process CO2 (from Li2CO3 decomposition)</w:t>
            </w:r>
          </w:p>
        </w:tc>
        <w:tc>
          <w:tcPr>
            <w:tcW w:type="dxa" w:w="2635"/>
          </w:tcPr>
          <w:p>
            <w:r>
              <w:rPr>
                <w:sz w:val="16"/>
              </w:rPr>
              <w:t>~280 kgCO2/t LFP (same for both)</w:t>
            </w:r>
          </w:p>
        </w:tc>
        <w:tc>
          <w:tcPr>
            <w:tcW w:type="dxa" w:w="2635"/>
          </w:tcPr>
          <w:p>
            <w:r>
              <w:rPr>
                <w:sz w:val="16"/>
              </w:rPr>
              <w:t>~280 kgCO2/t LFP (same for both)</w:t>
            </w:r>
          </w:p>
        </w:tc>
        <w:tc>
          <w:tcPr>
            <w:tcW w:type="dxa" w:w="2635"/>
          </w:tcPr>
          <w:p>
            <w:r>
              <w:rPr>
                <w:sz w:val="16"/>
              </w:rPr>
              <w:t>Stoichiometric</w:t>
            </w:r>
          </w:p>
        </w:tc>
      </w:tr>
      <w:tr>
        <w:tc>
          <w:tcPr>
            <w:tcW w:type="dxa" w:w="2635"/>
          </w:tcPr>
          <w:p>
            <w:r>
              <w:rPr>
                <w:sz w:val="16"/>
              </w:rPr>
              <w:t>Total GHG per t LFP CAM</w:t>
            </w:r>
          </w:p>
        </w:tc>
        <w:tc>
          <w:tcPr>
            <w:tcW w:type="dxa" w:w="2635"/>
          </w:tcPr>
          <w:p>
            <w:r>
              <w:rPr>
                <w:sz w:val="16"/>
              </w:rPr>
              <w:t>[TO BE COMPLETED: To be calculated in GHG calculator by CFO team]</w:t>
            </w:r>
          </w:p>
        </w:tc>
        <w:tc>
          <w:tcPr>
            <w:tcW w:type="dxa" w:w="2635"/>
          </w:tcPr>
          <w:p>
            <w:r>
              <w:rPr>
                <w:sz w:val="16"/>
              </w:rPr>
              <w:t>[TO BE COMPLETED: To be calculated using 3,580 kWh_e/t + 189 m3 gas/t]</w:t>
            </w:r>
          </w:p>
        </w:tc>
        <w:tc>
          <w:tcPr>
            <w:tcW w:type="dxa" w:w="2635"/>
          </w:tcPr>
          <w:p>
            <w:r>
              <w:rPr>
                <w:sz w:val="16"/>
              </w:rPr>
              <w:t>Innovation Fund GHG methodology</w:t>
            </w:r>
          </w:p>
        </w:tc>
      </w:tr>
      <w:tr>
        <w:tc>
          <w:tcPr>
            <w:tcW w:type="dxa" w:w="2635"/>
          </w:tcPr>
          <w:p>
            <w:r>
              <w:rPr>
                <w:sz w:val="16"/>
              </w:rPr>
              <w:t>Relative GHG avoidance</w:t>
            </w:r>
          </w:p>
        </w:tc>
        <w:tc>
          <w:tcPr>
            <w:tcW w:type="dxa" w:w="2635"/>
          </w:tcPr>
          <w:p>
            <w:r>
              <w:rPr>
                <w:sz w:val="16"/>
              </w:rPr>
              <w:t>Reference case</w:t>
            </w:r>
          </w:p>
        </w:tc>
        <w:tc>
          <w:tcPr>
            <w:tcW w:type="dxa" w:w="2635"/>
          </w:tcPr>
          <w:p>
            <w:r>
              <w:rPr>
                <w:sz w:val="16"/>
              </w:rPr>
              <w:t>Target: &gt;=50% [CLM-026]</w:t>
            </w:r>
          </w:p>
        </w:tc>
        <w:tc>
          <w:tcPr>
            <w:tcW w:type="dxa" w:w="2635"/>
          </w:tcPr>
          <w:p>
            <w:r>
              <w:rPr>
                <w:sz w:val="16"/>
              </w:rPr>
            </w:r>
          </w:p>
        </w:tc>
      </w:tr>
    </w:tbl>
    <w:p>
      <w:r>
        <w:rPr>
          <w:b/>
          <w:sz w:val="18"/>
        </w:rPr>
        <w:t>GHG trajectory</w:t>
      </w:r>
      <w:r>
        <w:rPr>
          <w:sz w:val="18"/>
        </w:rPr>
        <w:t>:</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Scenario</w:t>
            </w:r>
          </w:p>
        </w:tc>
        <w:tc>
          <w:tcPr>
            <w:tcW w:type="dxa" w:w="3513"/>
          </w:tcPr>
          <w:p>
            <w:r>
              <w:rPr>
                <w:b/>
                <w:sz w:val="16"/>
              </w:rPr>
              <w:t>Grid Intensity</w:t>
            </w:r>
          </w:p>
        </w:tc>
        <w:tc>
          <w:tcPr>
            <w:tcW w:type="dxa" w:w="3513"/>
          </w:tcPr>
          <w:p>
            <w:r>
              <w:rPr>
                <w:b/>
                <w:sz w:val="16"/>
              </w:rPr>
              <w:t>Relative GHG Avoidance vs Gas-Fired</w:t>
            </w:r>
          </w:p>
        </w:tc>
      </w:tr>
      <w:tr>
        <w:tc>
          <w:tcPr>
            <w:tcW w:type="dxa" w:w="3513"/>
          </w:tcPr>
          <w:p>
            <w:r>
              <w:rPr>
                <w:sz w:val="16"/>
              </w:rPr>
              <w:t>2028 (EiO, grid only)</w:t>
            </w:r>
          </w:p>
        </w:tc>
        <w:tc>
          <w:tcPr>
            <w:tcW w:type="dxa" w:w="3513"/>
          </w:tcPr>
          <w:p>
            <w:r>
              <w:rPr>
                <w:sz w:val="16"/>
              </w:rPr>
              <w:t>~180 gCO2/kWh</w:t>
            </w:r>
          </w:p>
        </w:tc>
        <w:tc>
          <w:tcPr>
            <w:tcW w:type="dxa" w:w="3513"/>
          </w:tcPr>
          <w:p>
            <w:r>
              <w:rPr>
                <w:sz w:val="16"/>
              </w:rPr>
              <w:t>~30-40%</w:t>
            </w:r>
          </w:p>
        </w:tc>
      </w:tr>
      <w:tr>
        <w:tc>
          <w:tcPr>
            <w:tcW w:type="dxa" w:w="3513"/>
          </w:tcPr>
          <w:p>
            <w:r>
              <w:rPr>
                <w:sz w:val="16"/>
              </w:rPr>
              <w:t>2028 (EiO, with PPA)</w:t>
            </w:r>
          </w:p>
        </w:tc>
        <w:tc>
          <w:tcPr>
            <w:tcW w:type="dxa" w:w="3513"/>
          </w:tcPr>
          <w:p>
            <w:r>
              <w:rPr>
                <w:sz w:val="16"/>
              </w:rPr>
              <w:t>~50 gCO2/kWh (blended)</w:t>
            </w:r>
          </w:p>
        </w:tc>
        <w:tc>
          <w:tcPr>
            <w:tcW w:type="dxa" w:w="3513"/>
          </w:tcPr>
          <w:p>
            <w:r>
              <w:rPr>
                <w:sz w:val="16"/>
              </w:rPr>
              <w:t>~55-65%</w:t>
            </w:r>
          </w:p>
        </w:tc>
      </w:tr>
      <w:tr>
        <w:tc>
          <w:tcPr>
            <w:tcW w:type="dxa" w:w="3513"/>
          </w:tcPr>
          <w:p>
            <w:r>
              <w:rPr>
                <w:sz w:val="16"/>
              </w:rPr>
              <w:t>2030 (NECP target)</w:t>
            </w:r>
          </w:p>
        </w:tc>
        <w:tc>
          <w:tcPr>
            <w:tcW w:type="dxa" w:w="3513"/>
          </w:tcPr>
          <w:p>
            <w:r>
              <w:rPr>
                <w:sz w:val="16"/>
              </w:rPr>
              <w:t>~146 gCO2/kWh</w:t>
            </w:r>
          </w:p>
        </w:tc>
        <w:tc>
          <w:tcPr>
            <w:tcW w:type="dxa" w:w="3513"/>
          </w:tcPr>
          <w:p>
            <w:r>
              <w:rPr>
                <w:sz w:val="16"/>
              </w:rPr>
              <w:t>55-70% [CLM-026]</w:t>
            </w:r>
          </w:p>
        </w:tc>
      </w:tr>
      <w:tr>
        <w:tc>
          <w:tcPr>
            <w:tcW w:type="dxa" w:w="3513"/>
          </w:tcPr>
          <w:p>
            <w:r>
              <w:rPr>
                <w:sz w:val="16"/>
              </w:rPr>
              <w:t>2035 (G7 commitment)</w:t>
            </w:r>
          </w:p>
        </w:tc>
        <w:tc>
          <w:tcPr>
            <w:tcW w:type="dxa" w:w="3513"/>
          </w:tcPr>
          <w:p>
            <w:r>
              <w:rPr>
                <w:sz w:val="16"/>
              </w:rPr>
              <w:t>~30-60 gCO2/kWh</w:t>
            </w:r>
          </w:p>
        </w:tc>
        <w:tc>
          <w:tcPr>
            <w:tcW w:type="dxa" w:w="3513"/>
          </w:tcPr>
          <w:p>
            <w:r>
              <w:rPr>
                <w:sz w:val="16"/>
              </w:rPr>
              <w:t>80-90% [CLM-026]</w:t>
            </w:r>
          </w:p>
        </w:tc>
      </w:tr>
    </w:tbl>
    <w:p>
      <w:r>
        <w:rPr>
          <w:b/>
          <w:color w:val="CC0000"/>
          <w:sz w:val="18"/>
        </w:rPr>
        <w:t>[TO BE COMPLETED BY CFO TEAM — CRITICAL GHG CALCULATION ITEMS:</w:t>
      </w:r>
    </w:p>
    <w:p>
      <w:pPr>
        <w:pStyle w:val="ListNumber"/>
      </w:pPr>
      <w:r>
        <w:rPr>
          <w:b/>
          <w:sz w:val="18"/>
        </w:rPr>
        <w:t>PRIMARY GHG CALCULATION (scored)</w:t>
      </w:r>
      <w:r>
        <w:rPr>
          <w:sz w:val="18"/>
        </w:rPr>
        <w:t>: Use-phase BESS displacing fossil peakers. Classification: ES / Manufacturing of Components (Section 1.3.2). The CFO team must calculate GHG avoidance based on BESS displacing gas peaking plants (CCGT/OCGT) on the Italian grid, NOT on plant-level manufacturing emissions.</w:t>
      </w:r>
    </w:p>
    <w:p>
      <w:pPr>
        <w:pStyle w:val="ListNumber"/>
      </w:pPr>
      <w:r>
        <w:rPr>
          <w:b/>
          <w:sz w:val="18"/>
        </w:rPr>
        <w:t>CScomponent determination</w:t>
      </w:r>
      <w:r>
        <w:rPr>
          <w:sz w:val="18"/>
        </w:rPr>
        <w:t>: The cost share of LFP CAM in the total BESS system cost is critical. Baseline estimate: 20-28% (CAM as 30-40% of cell cost, cells as 60-70% of BESS cost). HOWEVER: if the FIB-Eni JV factory qualifies as an affiliated entity within the project boundary, the CScomponent could be substantially higher. This determination could significantly increase the GHG avoidance claim. Legal/structural analysis of the JV is needed.</w:t>
      </w:r>
    </w:p>
    <w:p>
      <w:pPr>
        <w:pStyle w:val="ListNumber"/>
      </w:pPr>
      <w:r>
        <w:rPr>
          <w:b/>
          <w:sz w:val="18"/>
        </w:rPr>
        <w:t>Production volume to GWh conversion</w:t>
      </w:r>
      <w:r>
        <w:rPr>
          <w:sz w:val="18"/>
        </w:rPr>
        <w:t>: 50,000 t/yr LFP CAM at ~3 kWh/kg cell energy density = ~150 GWh/yr of battery capacity. This is the basis for calculating use-phase GHG avoidance.</w:t>
      </w:r>
    </w:p>
    <w:p>
      <w:pPr>
        <w:pStyle w:val="ListNumber"/>
      </w:pPr>
      <w:r>
        <w:rPr>
          <w:b/>
          <w:sz w:val="18"/>
        </w:rPr>
        <w:t>Reference emission factor</w:t>
      </w:r>
      <w:r>
        <w:rPr>
          <w:sz w:val="18"/>
        </w:rPr>
        <w:t>: Italian grid marginal emission factor for gas peakers (CCGT: ~350-400 gCO2/kWh; OCGT: ~500-600 gCO2/kWh). The choice of reference technology significantly affects the GHG avoidance.</w:t>
      </w:r>
    </w:p>
    <w:p>
      <w:pPr>
        <w:pStyle w:val="ListNumber"/>
      </w:pPr>
      <w:r>
        <w:rPr>
          <w:b/>
          <w:sz w:val="18"/>
        </w:rPr>
        <w:t>Plant-level GHG (contextual only)</w:t>
      </w:r>
      <w:r>
        <w:rPr>
          <w:sz w:val="18"/>
        </w:rPr>
        <w:t>: The above plant-level figures are directional estimates for the innovation/replicability argument. The natural gas component (189 m3/t) must be included in Scope 1 but this is NOT the scored GHG calculation.]</w:t>
      </w:r>
    </w:p>
    <w:p>
      <w:r>
        <w:rPr>
          <w:sz w:val="18"/>
        </w:rPr>
        <w:t>---</w:t>
      </w:r>
    </w:p>
    <w:p>
      <w:pPr>
        <w:pStyle w:val="Heading2"/>
      </w:pPr>
      <w:r>
        <w:t>8. Techno-Economic Analysis</w:t>
      </w:r>
    </w:p>
    <w:p>
      <w:r>
        <w:rPr>
          <w:b/>
          <w:sz w:val="18"/>
        </w:rPr>
        <w:t>[CFO TEAM TO COMPLETE THIS SECTION]</w:t>
      </w:r>
    </w:p>
    <w:p>
      <w:r>
        <w:rPr>
          <w:sz w:val="18"/>
        </w:rPr>
        <w:t>This section requires the following content to be developed by the CFO/finance team in coordination with the technical team:</w:t>
      </w:r>
    </w:p>
    <w:p>
      <w:pPr>
        <w:pStyle w:val="Heading3"/>
      </w:pPr>
      <w:r>
        <w:t>8.1 CAPEX Estimation</w:t>
      </w:r>
    </w:p>
    <w:p>
      <w:r>
        <w:rPr>
          <w:sz w:val="18"/>
        </w:rPr>
        <w:t>Required:</w:t>
      </w:r>
    </w:p>
    <w:p>
      <w:pPr>
        <w:pStyle w:val="ListBullet"/>
      </w:pPr>
      <w:r>
        <w:rPr>
          <w:sz w:val="18"/>
        </w:rPr>
        <w:t>Total CAPEX breakdown by category (equipment, civil works, utilities, DT infrastructure, engineering, contingency)</w:t>
      </w:r>
    </w:p>
    <w:p>
      <w:pPr>
        <w:pStyle w:val="ListBullet"/>
      </w:pPr>
      <w:r>
        <w:rPr>
          <w:sz w:val="18"/>
        </w:rPr>
        <w:t>AACE cost estimation class (target Class 3 or better for Innovation Fund)</w:t>
      </w:r>
    </w:p>
    <w:p>
      <w:pPr>
        <w:pStyle w:val="ListBullet"/>
      </w:pPr>
      <w:r>
        <w:rPr>
          <w:sz w:val="18"/>
        </w:rPr>
        <w:t>Quotes from technology suppliers (kiln vendor, spray dryer vendor, DT platform vendor) where available</w:t>
      </w:r>
    </w:p>
    <w:p>
      <w:pPr>
        <w:pStyle w:val="ListBullet"/>
      </w:pPr>
      <w:r>
        <w:rPr>
          <w:sz w:val="18"/>
        </w:rPr>
        <w:t>Comparison with gas-fired alternative CAPEX (to demonstrate the CAPEX premium for electrification and DT that the Innovation Fund grant addresses)</w:t>
      </w:r>
    </w:p>
    <w:p>
      <w:pPr>
        <w:pStyle w:val="ListBullet"/>
      </w:pPr>
      <w:r>
        <w:rPr>
          <w:sz w:val="18"/>
        </w:rPr>
        <w:t>Currency and base date for cost estimates</w:t>
      </w:r>
    </w:p>
    <w:p>
      <w:pPr>
        <w:pStyle w:val="Heading3"/>
      </w:pPr>
      <w:r>
        <w:t>8.2 OPEX Estimation</w:t>
      </w:r>
    </w:p>
    <w:p>
      <w:r>
        <w:rPr>
          <w:sz w:val="18"/>
        </w:rPr>
        <w:t>Required:</w:t>
      </w:r>
    </w:p>
    <w:p>
      <w:pPr>
        <w:pStyle w:val="ListBullet"/>
      </w:pPr>
      <w:r>
        <w:rPr>
          <w:sz w:val="18"/>
        </w:rPr>
        <w:t>Annual OPEX breakdown: raw materials (FePO4, Li2CO3, glucose), electricity, N2, water, labour, maintenance, insurance, DT operating costs</w:t>
      </w:r>
    </w:p>
    <w:p>
      <w:pPr>
        <w:pStyle w:val="ListBullet"/>
      </w:pPr>
      <w:r>
        <w:rPr>
          <w:sz w:val="18"/>
        </w:rPr>
        <w:t>Unit production cost (EUR/t LFP CAM and EUR/kg)</w:t>
      </w:r>
    </w:p>
    <w:p>
      <w:pPr>
        <w:pStyle w:val="ListBullet"/>
      </w:pPr>
      <w:r>
        <w:rPr>
          <w:sz w:val="18"/>
        </w:rPr>
        <w:t>Sensitivity analysis to key cost drivers (lithium price +/-50%, electricity price +/-30%, production volume +/-25%)</w:t>
      </w:r>
    </w:p>
    <w:p>
      <w:pPr>
        <w:pStyle w:val="ListBullet"/>
      </w:pPr>
      <w:r>
        <w:rPr>
          <w:sz w:val="18"/>
        </w:rPr>
        <w:t>Comparison with estimated Chinese production cost (benchmark)</w:t>
      </w:r>
    </w:p>
    <w:p>
      <w:pPr>
        <w:pStyle w:val="Heading3"/>
      </w:pPr>
      <w:r>
        <w:t>8.3 Technology Supplier Quotes</w:t>
      </w:r>
    </w:p>
    <w:p>
      <w:r>
        <w:rPr>
          <w:sz w:val="18"/>
        </w:rPr>
        <w:t>Required:</w:t>
      </w:r>
    </w:p>
    <w:p>
      <w:pPr>
        <w:pStyle w:val="ListBullet"/>
      </w:pPr>
      <w:r>
        <w:rPr>
          <w:sz w:val="18"/>
        </w:rPr>
        <w:t>Budgetary quotes or LOIs from: calcination kiln vendor (NGK, ONEJOON, or equivalent); spray dryer vendor (GEA, Buchi Industrial, or equivalent); DT platform/integration vendor</w:t>
      </w:r>
    </w:p>
    <w:p>
      <w:pPr>
        <w:pStyle w:val="ListBullet"/>
      </w:pPr>
      <w:r>
        <w:rPr>
          <w:sz w:val="18"/>
        </w:rPr>
        <w:t>These quotes should be attached as confidential annexes if available</w:t>
      </w:r>
    </w:p>
    <w:p>
      <w:pPr>
        <w:pStyle w:val="Heading3"/>
      </w:pPr>
      <w:r>
        <w:t>8.4 Comparison with Gas-Fired Alternative</w:t>
      </w:r>
    </w:p>
    <w:p>
      <w:r>
        <w:rPr>
          <w:sz w:val="18"/>
        </w:rPr>
        <w:t>Required:</w:t>
      </w:r>
    </w:p>
    <w:p>
      <w:pPr>
        <w:pStyle w:val="ListBullet"/>
      </w:pPr>
      <w:r>
        <w:rPr>
          <w:sz w:val="18"/>
        </w:rPr>
        <w:t>Side-by-side CAPEX/OPEX comparison: electrified plant (FACE) vs hypothetical gas-fired plant (same capacity)</w:t>
      </w:r>
    </w:p>
    <w:p>
      <w:pPr>
        <w:pStyle w:val="ListBullet"/>
      </w:pPr>
      <w:r>
        <w:rPr>
          <w:sz w:val="18"/>
        </w:rPr>
        <w:t>TCO analysis over 20-year plant life including: gas price volatility, EU ETS carbon price trajectory, avoided stranded asset costs</w:t>
      </w:r>
    </w:p>
    <w:p>
      <w:pPr>
        <w:pStyle w:val="ListBullet"/>
      </w:pPr>
      <w:r>
        <w:rPr>
          <w:sz w:val="18"/>
        </w:rPr>
        <w:t>Demonstration that Innovation Fund grant is necessary to close the CAPEX gap between electrified and gas-fired alternatives</w:t>
      </w:r>
    </w:p>
    <w:p>
      <w:pPr>
        <w:pStyle w:val="Heading3"/>
      </w:pPr>
      <w:r>
        <w:t>8.5 Environmental and Socio-Economic Impacts</w:t>
      </w:r>
    </w:p>
    <w:p>
      <w:r>
        <w:rPr>
          <w:sz w:val="18"/>
        </w:rPr>
        <w:t>Required:</w:t>
      </w:r>
    </w:p>
    <w:p>
      <w:pPr>
        <w:pStyle w:val="ListBullet"/>
      </w:pPr>
      <w:r>
        <w:rPr>
          <w:sz w:val="18"/>
        </w:rPr>
        <w:t>Job creation (direct and indirect): construction phase and operational phase</w:t>
      </w:r>
    </w:p>
    <w:p>
      <w:pPr>
        <w:pStyle w:val="ListBullet"/>
      </w:pPr>
      <w:r>
        <w:rPr>
          <w:sz w:val="18"/>
        </w:rPr>
        <w:t>Tax revenue contribution to Comune di Brindisi and Regione Puglia</w:t>
      </w:r>
    </w:p>
    <w:p>
      <w:pPr>
        <w:pStyle w:val="ListBullet"/>
      </w:pPr>
      <w:r>
        <w:rPr>
          <w:sz w:val="18"/>
        </w:rPr>
        <w:t>Training and skills development programme for local workforce</w:t>
      </w:r>
    </w:p>
    <w:p>
      <w:pPr>
        <w:pStyle w:val="ListBullet"/>
      </w:pPr>
      <w:r>
        <w:rPr>
          <w:sz w:val="18"/>
        </w:rPr>
        <w:t>Health and safety assessment (no combustion-related workplace emissions; reduced NOx/SOx exposure)</w:t>
      </w:r>
    </w:p>
    <w:p>
      <w:pPr>
        <w:pStyle w:val="ListBullet"/>
      </w:pPr>
      <w:r>
        <w:rPr>
          <w:sz w:val="18"/>
        </w:rPr>
        <w:t>Contribution to Puglia convergence region economic development</w:t>
      </w:r>
    </w:p>
    <w:p>
      <w:pPr>
        <w:pStyle w:val="Heading3"/>
      </w:pPr>
      <w:r>
        <w:t>8.6 Tabular Summary</w:t>
      </w:r>
    </w:p>
    <w:p>
      <w:r>
        <w:rPr>
          <w:sz w:val="18"/>
        </w:rPr>
        <w:t>Required: Summary table consistent with the Business Plan annex, showing:</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Parameter</w:t>
            </w:r>
          </w:p>
        </w:tc>
        <w:tc>
          <w:tcPr>
            <w:tcW w:type="dxa" w:w="3513"/>
          </w:tcPr>
          <w:p>
            <w:r>
              <w:rPr>
                <w:b/>
                <w:sz w:val="16"/>
              </w:rPr>
              <w:t>Value</w:t>
            </w:r>
          </w:p>
        </w:tc>
        <w:tc>
          <w:tcPr>
            <w:tcW w:type="dxa" w:w="3513"/>
          </w:tcPr>
          <w:p>
            <w:r>
              <w:rPr>
                <w:b/>
                <w:sz w:val="16"/>
              </w:rPr>
              <w:t>Unit</w:t>
            </w:r>
          </w:p>
        </w:tc>
      </w:tr>
      <w:tr>
        <w:tc>
          <w:tcPr>
            <w:tcW w:type="dxa" w:w="3513"/>
          </w:tcPr>
          <w:p>
            <w:r>
              <w:rPr>
                <w:sz w:val="16"/>
              </w:rPr>
              <w:t>Total CAPEX</w:t>
            </w:r>
          </w:p>
        </w:tc>
        <w:tc>
          <w:tcPr>
            <w:tcW w:type="dxa" w:w="3513"/>
          </w:tcPr>
          <w:p>
            <w:r>
              <w:rPr>
                <w:sz w:val="16"/>
              </w:rPr>
              <w:t>[CFO to complete]</w:t>
            </w:r>
          </w:p>
        </w:tc>
        <w:tc>
          <w:tcPr>
            <w:tcW w:type="dxa" w:w="3513"/>
          </w:tcPr>
          <w:p>
            <w:r>
              <w:rPr>
                <w:sz w:val="16"/>
              </w:rPr>
              <w:t>EUR million</w:t>
            </w:r>
          </w:p>
        </w:tc>
      </w:tr>
      <w:tr>
        <w:tc>
          <w:tcPr>
            <w:tcW w:type="dxa" w:w="3513"/>
          </w:tcPr>
          <w:p>
            <w:r>
              <w:rPr>
                <w:sz w:val="16"/>
              </w:rPr>
              <w:t>Annual OPEX (at nameplate)</w:t>
            </w:r>
          </w:p>
        </w:tc>
        <w:tc>
          <w:tcPr>
            <w:tcW w:type="dxa" w:w="3513"/>
          </w:tcPr>
          <w:p>
            <w:r>
              <w:rPr>
                <w:sz w:val="16"/>
              </w:rPr>
              <w:t>[CFO to complete]</w:t>
            </w:r>
          </w:p>
        </w:tc>
        <w:tc>
          <w:tcPr>
            <w:tcW w:type="dxa" w:w="3513"/>
          </w:tcPr>
          <w:p>
            <w:r>
              <w:rPr>
                <w:sz w:val="16"/>
              </w:rPr>
              <w:t>EUR million/year</w:t>
            </w:r>
          </w:p>
        </w:tc>
      </w:tr>
      <w:tr>
        <w:tc>
          <w:tcPr>
            <w:tcW w:type="dxa" w:w="3513"/>
          </w:tcPr>
          <w:p>
            <w:r>
              <w:rPr>
                <w:sz w:val="16"/>
              </w:rPr>
              <w:t>Production capacity</w:t>
            </w:r>
          </w:p>
        </w:tc>
        <w:tc>
          <w:tcPr>
            <w:tcW w:type="dxa" w:w="3513"/>
          </w:tcPr>
          <w:p>
            <w:r>
              <w:rPr>
                <w:sz w:val="16"/>
              </w:rPr>
              <w:t>[CFO to complete]</w:t>
            </w:r>
          </w:p>
        </w:tc>
        <w:tc>
          <w:tcPr>
            <w:tcW w:type="dxa" w:w="3513"/>
          </w:tcPr>
          <w:p>
            <w:r>
              <w:rPr>
                <w:sz w:val="16"/>
              </w:rPr>
              <w:t>t LFP CAM/year</w:t>
            </w:r>
          </w:p>
        </w:tc>
      </w:tr>
      <w:tr>
        <w:tc>
          <w:tcPr>
            <w:tcW w:type="dxa" w:w="3513"/>
          </w:tcPr>
          <w:p>
            <w:r>
              <w:rPr>
                <w:sz w:val="16"/>
              </w:rPr>
              <w:t>Unit cost</w:t>
            </w:r>
          </w:p>
        </w:tc>
        <w:tc>
          <w:tcPr>
            <w:tcW w:type="dxa" w:w="3513"/>
          </w:tcPr>
          <w:p>
            <w:r>
              <w:rPr>
                <w:sz w:val="16"/>
              </w:rPr>
              <w:t>[CFO to complete]</w:t>
            </w:r>
          </w:p>
        </w:tc>
        <w:tc>
          <w:tcPr>
            <w:tcW w:type="dxa" w:w="3513"/>
          </w:tcPr>
          <w:p>
            <w:r>
              <w:rPr>
                <w:sz w:val="16"/>
              </w:rPr>
              <w:t>EUR/kg LFP CAM</w:t>
            </w:r>
          </w:p>
        </w:tc>
      </w:tr>
      <w:tr>
        <w:tc>
          <w:tcPr>
            <w:tcW w:type="dxa" w:w="3513"/>
          </w:tcPr>
          <w:p>
            <w:r>
              <w:rPr>
                <w:sz w:val="16"/>
              </w:rPr>
              <w:t>Innovation Fund grant requested</w:t>
            </w:r>
          </w:p>
        </w:tc>
        <w:tc>
          <w:tcPr>
            <w:tcW w:type="dxa" w:w="3513"/>
          </w:tcPr>
          <w:p>
            <w:r>
              <w:rPr>
                <w:sz w:val="16"/>
              </w:rPr>
              <w:t>[CFO to complete]</w:t>
            </w:r>
          </w:p>
        </w:tc>
        <w:tc>
          <w:tcPr>
            <w:tcW w:type="dxa" w:w="3513"/>
          </w:tcPr>
          <w:p>
            <w:r>
              <w:rPr>
                <w:sz w:val="16"/>
              </w:rPr>
              <w:t>EUR million</w:t>
            </w:r>
          </w:p>
        </w:tc>
      </w:tr>
      <w:tr>
        <w:tc>
          <w:tcPr>
            <w:tcW w:type="dxa" w:w="3513"/>
          </w:tcPr>
          <w:p>
            <w:r>
              <w:rPr>
                <w:sz w:val="16"/>
              </w:rPr>
              <w:t>Co-funding rate</w:t>
            </w:r>
          </w:p>
        </w:tc>
        <w:tc>
          <w:tcPr>
            <w:tcW w:type="dxa" w:w="3513"/>
          </w:tcPr>
          <w:p>
            <w:r>
              <w:rPr>
                <w:sz w:val="16"/>
              </w:rPr>
              <w:t>60%</w:t>
            </w:r>
          </w:p>
        </w:tc>
        <w:tc>
          <w:tcPr>
            <w:tcW w:type="dxa" w:w="3513"/>
          </w:tcPr>
          <w:p>
            <w:r>
              <w:rPr>
                <w:sz w:val="16"/>
              </w:rPr>
              <w:t>% of relevant costs</w:t>
            </w:r>
          </w:p>
        </w:tc>
      </w:tr>
      <w:tr>
        <w:tc>
          <w:tcPr>
            <w:tcW w:type="dxa" w:w="3513"/>
          </w:tcPr>
          <w:p>
            <w:r>
              <w:rPr>
                <w:sz w:val="16"/>
              </w:rPr>
              <w:t>NPV (20-year)</w:t>
            </w:r>
          </w:p>
        </w:tc>
        <w:tc>
          <w:tcPr>
            <w:tcW w:type="dxa" w:w="3513"/>
          </w:tcPr>
          <w:p>
            <w:r>
              <w:rPr>
                <w:sz w:val="16"/>
              </w:rPr>
              <w:t>[CFO to complete]</w:t>
            </w:r>
          </w:p>
        </w:tc>
        <w:tc>
          <w:tcPr>
            <w:tcW w:type="dxa" w:w="3513"/>
          </w:tcPr>
          <w:p>
            <w:r>
              <w:rPr>
                <w:sz w:val="16"/>
              </w:rPr>
              <w:t>EUR million</w:t>
            </w:r>
          </w:p>
        </w:tc>
      </w:tr>
      <w:tr>
        <w:tc>
          <w:tcPr>
            <w:tcW w:type="dxa" w:w="3513"/>
          </w:tcPr>
          <w:p>
            <w:r>
              <w:rPr>
                <w:sz w:val="16"/>
              </w:rPr>
              <w:t>IRR</w:t>
            </w:r>
          </w:p>
        </w:tc>
        <w:tc>
          <w:tcPr>
            <w:tcW w:type="dxa" w:w="3513"/>
          </w:tcPr>
          <w:p>
            <w:r>
              <w:rPr>
                <w:sz w:val="16"/>
              </w:rPr>
              <w:t>[CFO to complete]</w:t>
            </w:r>
          </w:p>
        </w:tc>
        <w:tc>
          <w:tcPr>
            <w:tcW w:type="dxa" w:w="3513"/>
          </w:tcPr>
          <w:p>
            <w:r>
              <w:rPr>
                <w:sz w:val="16"/>
              </w:rPr>
              <w:t>%</w:t>
            </w:r>
          </w:p>
        </w:tc>
      </w:tr>
      <w:tr>
        <w:tc>
          <w:tcPr>
            <w:tcW w:type="dxa" w:w="3513"/>
          </w:tcPr>
          <w:p>
            <w:r>
              <w:rPr>
                <w:sz w:val="16"/>
              </w:rPr>
              <w:t>Payback period</w:t>
            </w:r>
          </w:p>
        </w:tc>
        <w:tc>
          <w:tcPr>
            <w:tcW w:type="dxa" w:w="3513"/>
          </w:tcPr>
          <w:p>
            <w:r>
              <w:rPr>
                <w:sz w:val="16"/>
              </w:rPr>
              <w:t>[CFO to complete]</w:t>
            </w:r>
          </w:p>
        </w:tc>
        <w:tc>
          <w:tcPr>
            <w:tcW w:type="dxa" w:w="3513"/>
          </w:tcPr>
          <w:p>
            <w:r>
              <w:rPr>
                <w:sz w:val="16"/>
              </w:rPr>
              <w:t>Years</w:t>
            </w:r>
          </w:p>
        </w:tc>
      </w:tr>
    </w:tbl>
    <w:p>
      <w:r>
        <w:rPr>
          <w:sz w:val="18"/>
        </w:rPr>
        <w:t>---</w:t>
      </w:r>
    </w:p>
    <w:p>
      <w:pPr>
        <w:pStyle w:val="Heading2"/>
      </w:pPr>
      <w:r>
        <w:t>9. Risk Analysis and Management</w:t>
      </w:r>
    </w:p>
    <w:p>
      <w:pPr>
        <w:pStyle w:val="Heading3"/>
      </w:pPr>
      <w:r>
        <w:t>9.1 Technical Risks</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Risk Description</w:t>
            </w:r>
          </w:p>
        </w:tc>
        <w:tc>
          <w:tcPr>
            <w:tcW w:type="dxa" w:w="1506"/>
          </w:tcPr>
          <w:p>
            <w:r>
              <w:rPr>
                <w:b/>
                <w:sz w:val="16"/>
              </w:rPr>
              <w:t>Likelihood</w:t>
            </w:r>
          </w:p>
        </w:tc>
        <w:tc>
          <w:tcPr>
            <w:tcW w:type="dxa" w:w="1506"/>
          </w:tcPr>
          <w:p>
            <w:r>
              <w:rPr>
                <w:b/>
                <w:sz w:val="16"/>
              </w:rPr>
              <w:t>Impact</w:t>
            </w:r>
          </w:p>
        </w:tc>
        <w:tc>
          <w:tcPr>
            <w:tcW w:type="dxa" w:w="1506"/>
          </w:tcPr>
          <w:p>
            <w:r>
              <w:rPr>
                <w:b/>
                <w:sz w:val="16"/>
              </w:rPr>
              <w:t>Risk Level</w:t>
            </w:r>
          </w:p>
        </w:tc>
        <w:tc>
          <w:tcPr>
            <w:tcW w:type="dxa" w:w="1506"/>
          </w:tcPr>
          <w:p>
            <w:r>
              <w:rPr>
                <w:b/>
                <w:sz w:val="16"/>
              </w:rPr>
              <w:t>Ownership</w:t>
            </w:r>
          </w:p>
        </w:tc>
        <w:tc>
          <w:tcPr>
            <w:tcW w:type="dxa" w:w="1506"/>
          </w:tcPr>
          <w:p>
            <w:r>
              <w:rPr>
                <w:b/>
                <w:sz w:val="16"/>
              </w:rPr>
              <w:t>Mitigation Measures</w:t>
            </w:r>
          </w:p>
        </w:tc>
      </w:tr>
      <w:tr>
        <w:tc>
          <w:tcPr>
            <w:tcW w:type="dxa" w:w="1506"/>
          </w:tcPr>
          <w:p>
            <w:r>
              <w:rPr>
                <w:sz w:val="16"/>
              </w:rPr>
              <w:t>TR1</w:t>
            </w:r>
          </w:p>
        </w:tc>
        <w:tc>
          <w:tcPr>
            <w:tcW w:type="dxa" w:w="1506"/>
          </w:tcPr>
          <w:p>
            <w:r>
              <w:rPr>
                <w:sz w:val="16"/>
              </w:rPr>
              <w:t>**Calcination scale-up**: Difficulty achieving target CQAs (phase purity &gt;98%, D50 0.7-2.5 um) at production scale due to thermal non-uniformity in larger kiln</w:t>
            </w:r>
          </w:p>
        </w:tc>
        <w:tc>
          <w:tcPr>
            <w:tcW w:type="dxa" w:w="1506"/>
          </w:tcPr>
          <w:p>
            <w:r>
              <w:rPr>
                <w:sz w:val="16"/>
              </w:rPr>
              <w:t>Medium</w:t>
            </w:r>
          </w:p>
        </w:tc>
        <w:tc>
          <w:tcPr>
            <w:tcW w:type="dxa" w:w="1506"/>
          </w:tcPr>
          <w:p>
            <w:r>
              <w:rPr>
                <w:sz w:val="16"/>
              </w:rPr>
              <w:t>High</w:t>
            </w:r>
          </w:p>
        </w:tc>
        <w:tc>
          <w:tcPr>
            <w:tcW w:type="dxa" w:w="1506"/>
          </w:tcPr>
          <w:p>
            <w:r>
              <w:rPr>
                <w:sz w:val="16"/>
              </w:rPr>
              <w:t>**High**</w:t>
            </w:r>
          </w:p>
        </w:tc>
        <w:tc>
          <w:tcPr>
            <w:tcW w:type="dxa" w:w="1506"/>
          </w:tcPr>
          <w:p>
            <w:r>
              <w:rPr>
                <w:sz w:val="16"/>
              </w:rPr>
              <w:t>FIB (Technical Director)</w:t>
            </w:r>
          </w:p>
        </w:tc>
        <w:tc>
          <w:tcPr>
            <w:tcW w:type="dxa" w:w="1506"/>
          </w:tcPr>
          <w:p>
            <w:r>
              <w:rPr>
                <w:sz w:val="16"/>
              </w:rPr>
              <w:t>(a) Pilot-scale trials at kiln vendor facility (M6-M12) to validate temperature uniformity and product quality before equipment purchase; (b) phased production ramp-up from 25% to 100% nameplate capacity (M48-M54); (c) DT-driven furnace zone optimisation using CFD-calibrated models [CLM-016, SRC-ED-010]; (d) multi-zone independent PID + MPC control</w:t>
            </w:r>
          </w:p>
        </w:tc>
      </w:tr>
      <w:tr>
        <w:tc>
          <w:tcPr>
            <w:tcW w:type="dxa" w:w="1506"/>
          </w:tcPr>
          <w:p>
            <w:r>
              <w:rPr>
                <w:sz w:val="16"/>
              </w:rPr>
              <w:t>TR2</w:t>
            </w:r>
          </w:p>
        </w:tc>
        <w:tc>
          <w:tcPr>
            <w:tcW w:type="dxa" w:w="1506"/>
          </w:tcPr>
          <w:p>
            <w:r>
              <w:rPr>
                <w:sz w:val="16"/>
              </w:rPr>
              <w:t>**DT model accuracy at production scale**: Physics-based models calibrated on literature data and vendor test data may not accurately predict production-scale behaviour</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(DT Lead)</w:t>
            </w:r>
          </w:p>
        </w:tc>
        <w:tc>
          <w:tcPr>
            <w:tcW w:type="dxa" w:w="1506"/>
          </w:tcPr>
          <w:p>
            <w:r>
              <w:rPr>
                <w:sz w:val="16"/>
              </w:rPr>
              <w:t>(a) Systematic model calibration protocol using commissioning batch data (M42-M48); (b) hybrid physics + ML approach where data-driven corrections compensate for model discrepancies [CLM-018]; (c) conservative initial operating setpoints with gradual DT-guided optimisation; (d) independent model validation by academic partner</w:t>
            </w:r>
          </w:p>
        </w:tc>
      </w:tr>
      <w:tr>
        <w:tc>
          <w:tcPr>
            <w:tcW w:type="dxa" w:w="1506"/>
          </w:tcPr>
          <w:p>
            <w:r>
              <w:rPr>
                <w:sz w:val="16"/>
              </w:rPr>
              <w:t>TR3</w:t>
            </w:r>
          </w:p>
        </w:tc>
        <w:tc>
          <w:tcPr>
            <w:tcW w:type="dxa" w:w="1506"/>
          </w:tcPr>
          <w:p>
            <w:r>
              <w:rPr>
                <w:sz w:val="16"/>
              </w:rPr>
              <w:t>**Sensor degradation at high temperature**: Raman probes, thermocouples, and O2 sensors operating at &gt;600 C may experience fouling, drift, or failure during extended campaigns</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(Process Engineering)</w:t>
            </w:r>
          </w:p>
        </w:tc>
        <w:tc>
          <w:tcPr>
            <w:tcW w:type="dxa" w:w="1506"/>
          </w:tcPr>
          <w:p>
            <w:r>
              <w:rPr>
                <w:sz w:val="16"/>
              </w:rPr>
              <w:t>(a) Redundant sensing architecture: multiple sensor types per critical measurement (thermocouples + pyrometers + IR cameras for temperature) [CLM-019]; (b) scheduled preventive maintenance with sensor replacement intervals; (c) virtual sensors (ML-inferred predictions from correlated measurements) as backup</w:t>
            </w:r>
          </w:p>
        </w:tc>
      </w:tr>
      <w:tr>
        <w:tc>
          <w:tcPr>
            <w:tcW w:type="dxa" w:w="1506"/>
          </w:tcPr>
          <w:p>
            <w:r>
              <w:rPr>
                <w:sz w:val="16"/>
              </w:rPr>
              <w:t>TR4</w:t>
            </w:r>
          </w:p>
        </w:tc>
        <w:tc>
          <w:tcPr>
            <w:tcW w:type="dxa" w:w="1506"/>
          </w:tcPr>
          <w:p>
            <w:r>
              <w:rPr>
                <w:sz w:val="16"/>
              </w:rPr>
              <w:t>**Spray drying optimisation for LFP**: Electric spray dryer parameters (inlet T, feed rate, atomiser speed) may require extensive optimisation to achieve target particle morphology for LFP precursor</w:t>
            </w:r>
          </w:p>
        </w:tc>
        <w:tc>
          <w:tcPr>
            <w:tcW w:type="dxa" w:w="1506"/>
          </w:tcPr>
          <w:p>
            <w:r>
              <w:rPr>
                <w:sz w:val="16"/>
              </w:rPr>
              <w:t>Low</w:t>
            </w:r>
          </w:p>
        </w:tc>
        <w:tc>
          <w:tcPr>
            <w:tcW w:type="dxa" w:w="1506"/>
          </w:tcPr>
          <w:p>
            <w:r>
              <w:rPr>
                <w:sz w:val="16"/>
              </w:rPr>
              <w:t>Medium</w:t>
            </w:r>
          </w:p>
        </w:tc>
        <w:tc>
          <w:tcPr>
            <w:tcW w:type="dxa" w:w="1506"/>
          </w:tcPr>
          <w:p>
            <w:r>
              <w:rPr>
                <w:sz w:val="16"/>
              </w:rPr>
              <w:t>**Low-Medium**</w:t>
            </w:r>
          </w:p>
        </w:tc>
        <w:tc>
          <w:tcPr>
            <w:tcW w:type="dxa" w:w="1506"/>
          </w:tcPr>
          <w:p>
            <w:r>
              <w:rPr>
                <w:sz w:val="16"/>
              </w:rPr>
              <w:t>FIB (Process Engineering)</w:t>
            </w:r>
          </w:p>
        </w:tc>
        <w:tc>
          <w:tcPr>
            <w:tcW w:type="dxa" w:w="1506"/>
          </w:tcPr>
          <w:p>
            <w:r>
              <w:rPr>
                <w:sz w:val="16"/>
              </w:rPr>
              <w:t>(a) Spray drying trials at vendor test facility using LFP precursor slurry (M12-M18); (b) DT-based DoE to efficiently explore parameter space; (c) electric heating enables precise temperature control (+/-1 C) aiding reproducibility [SRC-ED-018]</w:t>
            </w:r>
          </w:p>
        </w:tc>
      </w:tr>
      <w:tr>
        <w:tc>
          <w:tcPr>
            <w:tcW w:type="dxa" w:w="1506"/>
          </w:tcPr>
          <w:p>
            <w:r>
              <w:rPr>
                <w:sz w:val="16"/>
              </w:rPr>
              <w:t>TR5</w:t>
            </w:r>
          </w:p>
        </w:tc>
        <w:tc>
          <w:tcPr>
            <w:tcW w:type="dxa" w:w="1506"/>
          </w:tcPr>
          <w:p>
            <w:r>
              <w:rPr>
                <w:sz w:val="16"/>
              </w:rPr>
              <w:t>**Product quality consistency across batches**: Batch-to-batch variability in CQAs may exceed customer specifications during early production</w:t>
            </w:r>
          </w:p>
        </w:tc>
        <w:tc>
          <w:tcPr>
            <w:tcW w:type="dxa" w:w="1506"/>
          </w:tcPr>
          <w:p>
            <w:r>
              <w:rPr>
                <w:sz w:val="16"/>
              </w:rPr>
              <w:t>Medium</w:t>
            </w:r>
          </w:p>
        </w:tc>
        <w:tc>
          <w:tcPr>
            <w:tcW w:type="dxa" w:w="1506"/>
          </w:tcPr>
          <w:p>
            <w:r>
              <w:rPr>
                <w:sz w:val="16"/>
              </w:rPr>
              <w:t>High</w:t>
            </w:r>
          </w:p>
        </w:tc>
        <w:tc>
          <w:tcPr>
            <w:tcW w:type="dxa" w:w="1506"/>
          </w:tcPr>
          <w:p>
            <w:r>
              <w:rPr>
                <w:sz w:val="16"/>
              </w:rPr>
              <w:t>**High**</w:t>
            </w:r>
          </w:p>
        </w:tc>
        <w:tc>
          <w:tcPr>
            <w:tcW w:type="dxa" w:w="1506"/>
          </w:tcPr>
          <w:p>
            <w:r>
              <w:rPr>
                <w:sz w:val="16"/>
              </w:rPr>
              <w:t>FIB (Quality Director)</w:t>
            </w:r>
          </w:p>
        </w:tc>
        <w:tc>
          <w:tcPr>
            <w:tcW w:type="dxa" w:w="1506"/>
          </w:tcPr>
          <w:p>
            <w:r>
              <w:rPr>
                <w:sz w:val="16"/>
              </w:rPr>
              <w:t>(a) DT-driven MPC to maintain operation within validated design space; (b) Bayesian optimisation for iterative process improvement [SRC-004]; (c) statistical process capability monitoring (target Cpk &gt; 1.33); (d) conservative production ramp-up with progressive quality qualification</w:t>
            </w:r>
          </w:p>
        </w:tc>
      </w:tr>
      <w:tr>
        <w:tc>
          <w:tcPr>
            <w:tcW w:type="dxa" w:w="1506"/>
          </w:tcPr>
          <w:p>
            <w:r>
              <w:rPr>
                <w:sz w:val="16"/>
              </w:rPr>
              <w:t>TR6</w:t>
            </w:r>
          </w:p>
        </w:tc>
        <w:tc>
          <w:tcPr>
            <w:tcW w:type="dxa" w:w="1506"/>
          </w:tcPr>
          <w:p>
            <w:r>
              <w:rPr>
                <w:sz w:val="16"/>
              </w:rPr>
              <w:t>**IP/licensing risk**: Third-party patents (LG Chem EP2360117B1, AspenTech EP4222563A4) may constrain product specifications or DT platform choice</w:t>
            </w:r>
          </w:p>
        </w:tc>
        <w:tc>
          <w:tcPr>
            <w:tcW w:type="dxa" w:w="1506"/>
          </w:tcPr>
          <w:p>
            <w:r>
              <w:rPr>
                <w:sz w:val="16"/>
              </w:rPr>
              <w:t>Low</w:t>
            </w:r>
          </w:p>
        </w:tc>
        <w:tc>
          <w:tcPr>
            <w:tcW w:type="dxa" w:w="1506"/>
          </w:tcPr>
          <w:p>
            <w:r>
              <w:rPr>
                <w:sz w:val="16"/>
              </w:rPr>
              <w:t>Medium</w:t>
            </w:r>
          </w:p>
        </w:tc>
        <w:tc>
          <w:tcPr>
            <w:tcW w:type="dxa" w:w="1506"/>
          </w:tcPr>
          <w:p>
            <w:r>
              <w:rPr>
                <w:sz w:val="16"/>
              </w:rPr>
              <w:t>**Low**</w:t>
            </w:r>
          </w:p>
        </w:tc>
        <w:tc>
          <w:tcPr>
            <w:tcW w:type="dxa" w:w="1506"/>
          </w:tcPr>
          <w:p>
            <w:r>
              <w:rPr>
                <w:sz w:val="16"/>
              </w:rPr>
              <w:t>FIB (Legal)</w:t>
            </w:r>
          </w:p>
        </w:tc>
        <w:tc>
          <w:tcPr>
            <w:tcW w:type="dxa" w:w="1506"/>
          </w:tcPr>
          <w:p>
            <w:r>
              <w:rPr>
                <w:sz w:val="16"/>
              </w:rPr>
              <w:t>(a) Freedom-to-operate assessment completed -- no blocking patents identified [CLM-014]; (b) LG Chem patent expires ~2029 -- design product specifications outside claim scope; (c) if AspenTech platform used, licence included; (d) proactive patent filing for novel DT-electrification combination</w:t>
            </w:r>
          </w:p>
        </w:tc>
      </w:tr>
      <w:tr>
        <w:tc>
          <w:tcPr>
            <w:tcW w:type="dxa" w:w="1506"/>
          </w:tcPr>
          <w:p>
            <w:r>
              <w:rPr>
                <w:sz w:val="16"/>
              </w:rPr>
              <w:t>TR7</w:t>
            </w:r>
          </w:p>
        </w:tc>
        <w:tc>
          <w:tcPr>
            <w:tcW w:type="dxa" w:w="1506"/>
          </w:tcPr>
          <w:p>
            <w:r>
              <w:rPr>
                <w:sz w:val="16"/>
              </w:rPr>
              <w:t>**Precursor quality variability**: Incoming FePO4 and Li2CO3 quality variation from different suppliers may affect process stability and product quality</w:t>
            </w:r>
          </w:p>
        </w:tc>
        <w:tc>
          <w:tcPr>
            <w:tcW w:type="dxa" w:w="1506"/>
          </w:tcPr>
          <w:p>
            <w:r>
              <w:rPr>
                <w:sz w:val="16"/>
              </w:rPr>
              <w:t>Low</w:t>
            </w:r>
          </w:p>
        </w:tc>
        <w:tc>
          <w:tcPr>
            <w:tcW w:type="dxa" w:w="1506"/>
          </w:tcPr>
          <w:p>
            <w:r>
              <w:rPr>
                <w:sz w:val="16"/>
              </w:rPr>
              <w:t>Medium</w:t>
            </w:r>
          </w:p>
        </w:tc>
        <w:tc>
          <w:tcPr>
            <w:tcW w:type="dxa" w:w="1506"/>
          </w:tcPr>
          <w:p>
            <w:r>
              <w:rPr>
                <w:sz w:val="16"/>
              </w:rPr>
              <w:t>**Low-Medium**</w:t>
            </w:r>
          </w:p>
        </w:tc>
        <w:tc>
          <w:tcPr>
            <w:tcW w:type="dxa" w:w="1506"/>
          </w:tcPr>
          <w:p>
            <w:r>
              <w:rPr>
                <w:sz w:val="16"/>
              </w:rPr>
              <w:t>FIB (Quality / Procurement)</w:t>
            </w:r>
          </w:p>
        </w:tc>
        <w:tc>
          <w:tcPr>
            <w:tcW w:type="dxa" w:w="1506"/>
          </w:tcPr>
          <w:p>
            <w:r>
              <w:rPr>
                <w:sz w:val="16"/>
              </w:rPr>
              <w:t>(a) Incoming raw material QC testing (XRF, PSD, moisture) before use; (b) supplier qualification programme with CQA-relevant specifications; (c) DT adaptive control adjusts process parameters based on measured precursor properties</w:t>
            </w:r>
          </w:p>
        </w:tc>
      </w:tr>
      <w:tr>
        <w:tc>
          <w:tcPr>
            <w:tcW w:type="dxa" w:w="1506"/>
          </w:tcPr>
          <w:p>
            <w:r>
              <w:rPr>
                <w:sz w:val="16"/>
              </w:rPr>
              <w:t>TR8</w:t>
            </w:r>
          </w:p>
        </w:tc>
        <w:tc>
          <w:tcPr>
            <w:tcW w:type="dxa" w:w="1506"/>
          </w:tcPr>
          <w:p>
            <w:r>
              <w:rPr>
                <w:sz w:val="16"/>
              </w:rPr>
              <w:t>**N2 atmosphere control under electric heating**: Maintaining pO2 &lt;10 ppm in electric roller hearth kiln requires careful sealing and N2 flow design</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FIB (Process Engineering)</w:t>
            </w:r>
          </w:p>
        </w:tc>
        <w:tc>
          <w:tcPr>
            <w:tcW w:type="dxa" w:w="1506"/>
          </w:tcPr>
          <w:p>
            <w:r>
              <w:rPr>
                <w:sz w:val="16"/>
              </w:rPr>
              <w:t>(a) Kiln specification includes sealed enclosure with N2 purge design; (b) electric kilns for NMC operate at even stricter atmosphere requirements [SRC-ED-010]; (c) continuous pO2 monitoring with automatic N2 flow increase on deviation; (d) DT monitors atmosphere trends and predicts seal degradation</w:t>
            </w:r>
          </w:p>
        </w:tc>
      </w:tr>
      <w:tr>
        <w:tc>
          <w:tcPr>
            <w:tcW w:type="dxa" w:w="1506"/>
          </w:tcPr>
          <w:p>
            <w:r>
              <w:rPr>
                <w:sz w:val="16"/>
              </w:rPr>
              <w:t>TR9</w:t>
            </w:r>
          </w:p>
        </w:tc>
        <w:tc>
          <w:tcPr>
            <w:tcW w:type="dxa" w:w="1506"/>
          </w:tcPr>
          <w:p>
            <w:r>
              <w:rPr>
                <w:sz w:val="16"/>
              </w:rPr>
              <w:t>**Grid reliability**: Power grid interruption during calcination could result in batch loss (incomplete reaction, thermal shock to crucibles/product)</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Eni (Site Operations)</w:t>
            </w:r>
          </w:p>
        </w:tc>
        <w:tc>
          <w:tcPr>
            <w:tcW w:type="dxa" w:w="1506"/>
          </w:tcPr>
          <w:p>
            <w:r>
              <w:rPr>
                <w:sz w:val="16"/>
              </w:rPr>
              <w:t>(a) Uninterruptible power supply (UPS) for critical control systems; (b) controlled shutdown procedure activated within 30 seconds of grid failure; (c) on-site emergency generator for orderly plant shutdown (not for full production continuation); (d) evaluate battery energy storage for short-duration ride-through</w:t>
            </w:r>
          </w:p>
        </w:tc>
      </w:tr>
      <w:tr>
        <w:tc>
          <w:tcPr>
            <w:tcW w:type="dxa" w:w="1506"/>
          </w:tcPr>
          <w:p>
            <w:r>
              <w:rPr>
                <w:sz w:val="16"/>
              </w:rPr>
              <w:t>TR10</w:t>
            </w:r>
          </w:p>
        </w:tc>
        <w:tc>
          <w:tcPr>
            <w:tcW w:type="dxa" w:w="1506"/>
          </w:tcPr>
          <w:p>
            <w:r>
              <w:rPr>
                <w:sz w:val="16"/>
              </w:rPr>
              <w:t>**Equipment integration**: Integration of DT infrastructure (sensors, OPC-UA gateways, edge computing) with production equipment from multiple vendors may present interoperability challenges</w:t>
            </w:r>
          </w:p>
        </w:tc>
        <w:tc>
          <w:tcPr>
            <w:tcW w:type="dxa" w:w="1506"/>
          </w:tcPr>
          <w:p>
            <w:r>
              <w:rPr>
                <w:sz w:val="16"/>
              </w:rPr>
              <w:t>Medium</w:t>
            </w:r>
          </w:p>
        </w:tc>
        <w:tc>
          <w:tcPr>
            <w:tcW w:type="dxa" w:w="1506"/>
          </w:tcPr>
          <w:p>
            <w:r>
              <w:rPr>
                <w:sz w:val="16"/>
              </w:rPr>
              <w:t>Low</w:t>
            </w:r>
          </w:p>
        </w:tc>
        <w:tc>
          <w:tcPr>
            <w:tcW w:type="dxa" w:w="1506"/>
          </w:tcPr>
          <w:p>
            <w:r>
              <w:rPr>
                <w:sz w:val="16"/>
              </w:rPr>
              <w:t>**Low-Medium**</w:t>
            </w:r>
          </w:p>
        </w:tc>
        <w:tc>
          <w:tcPr>
            <w:tcW w:type="dxa" w:w="1506"/>
          </w:tcPr>
          <w:p>
            <w:r>
              <w:rPr>
                <w:sz w:val="16"/>
              </w:rPr>
              <w:t>FIB (DT Lead / Automation)</w:t>
            </w:r>
          </w:p>
        </w:tc>
        <w:tc>
          <w:tcPr>
            <w:tcW w:type="dxa" w:w="1506"/>
          </w:tcPr>
          <w:p>
            <w:r>
              <w:rPr>
                <w:sz w:val="16"/>
              </w:rPr>
              <w:t>(a) OPC-UA as mandatory communication standard in all equipment specifications; (b) Factory Acceptance Testing (FAT) with DT connectivity verification; (c) dedicated integration testing phase (M36-M42) before production commissioning; (d) industrial integration partner (e.g., Siemens, ABB) for system integration</w:t>
            </w:r>
          </w:p>
        </w:tc>
      </w:tr>
    </w:tbl>
    <w:p>
      <w:pPr>
        <w:pStyle w:val="Heading3"/>
      </w:pPr>
      <w:r>
        <w:t>9.2 Operational Risks</w:t>
      </w:r>
    </w:p>
    <w:tbl>
      <w:tblPr>
        <w:tblStyle w:val="LightGrid-Accent1"/>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tcPr>
          <w:p>
            <w:r>
              <w:rPr>
                <w:b/>
                <w:sz w:val="16"/>
              </w:rPr>
              <w:t>#</w:t>
            </w:r>
          </w:p>
        </w:tc>
        <w:tc>
          <w:tcPr>
            <w:tcW w:type="dxa" w:w="1506"/>
          </w:tcPr>
          <w:p>
            <w:r>
              <w:rPr>
                <w:b/>
                <w:sz w:val="16"/>
              </w:rPr>
              <w:t>Risk Description</w:t>
            </w:r>
          </w:p>
        </w:tc>
        <w:tc>
          <w:tcPr>
            <w:tcW w:type="dxa" w:w="1506"/>
          </w:tcPr>
          <w:p>
            <w:r>
              <w:rPr>
                <w:b/>
                <w:sz w:val="16"/>
              </w:rPr>
              <w:t>Likelihood</w:t>
            </w:r>
          </w:p>
        </w:tc>
        <w:tc>
          <w:tcPr>
            <w:tcW w:type="dxa" w:w="1506"/>
          </w:tcPr>
          <w:p>
            <w:r>
              <w:rPr>
                <w:b/>
                <w:sz w:val="16"/>
              </w:rPr>
              <w:t>Impact</w:t>
            </w:r>
          </w:p>
        </w:tc>
        <w:tc>
          <w:tcPr>
            <w:tcW w:type="dxa" w:w="1506"/>
          </w:tcPr>
          <w:p>
            <w:r>
              <w:rPr>
                <w:b/>
                <w:sz w:val="16"/>
              </w:rPr>
              <w:t>Risk Level</w:t>
            </w:r>
          </w:p>
        </w:tc>
        <w:tc>
          <w:tcPr>
            <w:tcW w:type="dxa" w:w="1506"/>
          </w:tcPr>
          <w:p>
            <w:r>
              <w:rPr>
                <w:b/>
                <w:sz w:val="16"/>
              </w:rPr>
              <w:t>Ownership</w:t>
            </w:r>
          </w:p>
        </w:tc>
        <w:tc>
          <w:tcPr>
            <w:tcW w:type="dxa" w:w="1506"/>
          </w:tcPr>
          <w:p>
            <w:r>
              <w:rPr>
                <w:b/>
                <w:sz w:val="16"/>
              </w:rPr>
              <w:t>Mitigation Measures</w:t>
            </w:r>
          </w:p>
        </w:tc>
      </w:tr>
      <w:tr>
        <w:tc>
          <w:tcPr>
            <w:tcW w:type="dxa" w:w="1506"/>
          </w:tcPr>
          <w:p>
            <w:r>
              <w:rPr>
                <w:sz w:val="16"/>
              </w:rPr>
              <w:t>OR1</w:t>
            </w:r>
          </w:p>
        </w:tc>
        <w:tc>
          <w:tcPr>
            <w:tcW w:type="dxa" w:w="1506"/>
          </w:tcPr>
          <w:p>
            <w:r>
              <w:rPr>
                <w:sz w:val="16"/>
              </w:rPr>
              <w:t>**Construction timeline delay**: Civil works, equipment delivery, or installation exceeds schedule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(Project Manager)</w:t>
            </w:r>
          </w:p>
        </w:tc>
        <w:tc>
          <w:tcPr>
            <w:tcW w:type="dxa" w:w="1506"/>
          </w:tcPr>
          <w:p>
            <w:r>
              <w:rPr>
                <w:sz w:val="16"/>
              </w:rPr>
              <w:t>(a) Critical path scheduling with early procurement of long-lead items (kiln M0+3, spray dryer M0+6); (b) brownfield site reduces civil works scope; (c) 3-month schedule buffer in overall timeline; (d) experienced EPC contractor selection</w:t>
            </w:r>
          </w:p>
        </w:tc>
      </w:tr>
      <w:tr>
        <w:tc>
          <w:tcPr>
            <w:tcW w:type="dxa" w:w="1506"/>
          </w:tcPr>
          <w:p>
            <w:r>
              <w:rPr>
                <w:sz w:val="16"/>
              </w:rPr>
              <w:t>OR2</w:t>
            </w:r>
          </w:p>
        </w:tc>
        <w:tc>
          <w:tcPr>
            <w:tcW w:type="dxa" w:w="1506"/>
          </w:tcPr>
          <w:p>
            <w:r>
              <w:rPr>
                <w:sz w:val="16"/>
              </w:rPr>
              <w:t>**Permitting delays**: VIA or AIA permitting exceeds expected timeline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Eni (Regulatory Affairs)</w:t>
            </w:r>
          </w:p>
        </w:tc>
        <w:tc>
          <w:tcPr>
            <w:tcW w:type="dxa" w:w="1506"/>
          </w:tcPr>
          <w:p>
            <w:r>
              <w:rPr>
                <w:sz w:val="16"/>
              </w:rPr>
              <w:t>(a) Early engagement with Regione Puglia and MASE; (b) leverage Eni's established Brindisi regulatory relationships; (c) experienced environmental permitting consultants; (d) 3-month schedule buffer; (e) electrified process simplifies air emissions assessment</w:t>
            </w:r>
          </w:p>
        </w:tc>
      </w:tr>
      <w:tr>
        <w:tc>
          <w:tcPr>
            <w:tcW w:type="dxa" w:w="1506"/>
          </w:tcPr>
          <w:p>
            <w:r>
              <w:rPr>
                <w:sz w:val="16"/>
              </w:rPr>
              <w:t>OR3</w:t>
            </w:r>
          </w:p>
        </w:tc>
        <w:tc>
          <w:tcPr>
            <w:tcW w:type="dxa" w:w="1506"/>
          </w:tcPr>
          <w:p>
            <w:r>
              <w:rPr>
                <w:sz w:val="16"/>
              </w:rPr>
              <w:t>**Workforce recruitment**: Difficulty recruiting qualified process engineers, DT specialists, and production operators in Brindisi</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(HR Director)</w:t>
            </w:r>
          </w:p>
        </w:tc>
        <w:tc>
          <w:tcPr>
            <w:tcW w:type="dxa" w:w="1506"/>
          </w:tcPr>
          <w:p>
            <w:r>
              <w:rPr>
                <w:sz w:val="16"/>
              </w:rPr>
              <w:t>(a) Recruitment campaign starting M0; (b) partnerships with Politecnico di Bari and Universita del Salento for graduate recruitment; (c) training programme for existing FIB employees to cross-skill into CAM production; (d) competitive salary packages for DT specialists</w:t>
            </w:r>
          </w:p>
        </w:tc>
      </w:tr>
      <w:tr>
        <w:tc>
          <w:tcPr>
            <w:tcW w:type="dxa" w:w="1506"/>
          </w:tcPr>
          <w:p>
            <w:r>
              <w:rPr>
                <w:sz w:val="16"/>
              </w:rPr>
              <w:t>OR4</w:t>
            </w:r>
          </w:p>
        </w:tc>
        <w:tc>
          <w:tcPr>
            <w:tcW w:type="dxa" w:w="1506"/>
          </w:tcPr>
          <w:p>
            <w:r>
              <w:rPr>
                <w:sz w:val="16"/>
              </w:rPr>
              <w:t>**Commissioning challenges**: Extended commissioning period due to integration complexity of electrified equipment + DT</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(Commissioning Manager)</w:t>
            </w:r>
          </w:p>
        </w:tc>
        <w:tc>
          <w:tcPr>
            <w:tcW w:type="dxa" w:w="1506"/>
          </w:tcPr>
          <w:p>
            <w:r>
              <w:rPr>
                <w:sz w:val="16"/>
              </w:rPr>
              <w:t>(a) Phased commissioning: equipment mechanical completion -&gt; cold commissioning -&gt; hot commissioning with non-critical material -&gt; production trials with actual precursors; (b) DT commissioning in parallel (digital commissioning before physical); (c) vendor technical support during commissioning</w:t>
            </w:r>
          </w:p>
        </w:tc>
      </w:tr>
      <w:tr>
        <w:tc>
          <w:tcPr>
            <w:tcW w:type="dxa" w:w="1506"/>
          </w:tcPr>
          <w:p>
            <w:r>
              <w:rPr>
                <w:sz w:val="16"/>
              </w:rPr>
              <w:t>OR5</w:t>
            </w:r>
          </w:p>
        </w:tc>
        <w:tc>
          <w:tcPr>
            <w:tcW w:type="dxa" w:w="1506"/>
          </w:tcPr>
          <w:p>
            <w:r>
              <w:rPr>
                <w:sz w:val="16"/>
              </w:rPr>
              <w:t>**Market timing**: Delay in European EV/ESS market growth or LFP chemistry adoption may reduce demand below plant capacity</w:t>
            </w:r>
          </w:p>
        </w:tc>
        <w:tc>
          <w:tcPr>
            <w:tcW w:type="dxa" w:w="1506"/>
          </w:tcPr>
          <w:p>
            <w:r>
              <w:rPr>
                <w:sz w:val="16"/>
              </w:rPr>
              <w:t>Very Low</w:t>
            </w:r>
          </w:p>
        </w:tc>
        <w:tc>
          <w:tcPr>
            <w:tcW w:type="dxa" w:w="1506"/>
          </w:tcPr>
          <w:p>
            <w:r>
              <w:rPr>
                <w:sz w:val="16"/>
              </w:rPr>
              <w:t>Medium</w:t>
            </w:r>
          </w:p>
        </w:tc>
        <w:tc>
          <w:tcPr>
            <w:tcW w:type="dxa" w:w="1506"/>
          </w:tcPr>
          <w:p>
            <w:r>
              <w:rPr>
                <w:sz w:val="16"/>
              </w:rPr>
              <w:t>**Very Low**</w:t>
            </w:r>
          </w:p>
        </w:tc>
        <w:tc>
          <w:tcPr>
            <w:tcW w:type="dxa" w:w="1506"/>
          </w:tcPr>
          <w:p>
            <w:r>
              <w:rPr>
                <w:sz w:val="16"/>
              </w:rPr>
              <w:t>FIB (Commercial Director)</w:t>
            </w:r>
          </w:p>
        </w:tc>
        <w:tc>
          <w:tcPr>
            <w:tcW w:type="dxa" w:w="1506"/>
          </w:tcPr>
          <w:p>
            <w:r>
              <w:rPr>
                <w:sz w:val="16"/>
              </w:rPr>
              <w:t>(a) **Offtake risk eliminated**: Eni is the guaranteed internal customer through the co-located FIB-Eni JV battery cell and BESS factory — captive demand absorbs production regardless of external market dynamics; (b) growing EU LFP demand driven by EV and ESS growth [SRC-015]; (c) Battery Regulation carbon footprint requirements create preference for EU-manufactured CAM; (d) external off-take agreements or LOIs with additional cell manufacturers represent upside; (e) plant design allows capacity modulation (turndown to 25%)</w:t>
            </w:r>
          </w:p>
        </w:tc>
      </w:tr>
      <w:tr>
        <w:tc>
          <w:tcPr>
            <w:tcW w:type="dxa" w:w="1506"/>
          </w:tcPr>
          <w:p>
            <w:r>
              <w:rPr>
                <w:sz w:val="16"/>
              </w:rPr>
              <w:t>OR6</w:t>
            </w:r>
          </w:p>
        </w:tc>
        <w:tc>
          <w:tcPr>
            <w:tcW w:type="dxa" w:w="1506"/>
          </w:tcPr>
          <w:p>
            <w:r>
              <w:rPr>
                <w:sz w:val="16"/>
              </w:rPr>
              <w:t>**Regulatory changes**: Changes to EU Battery Regulation, NZIA, or Innovation Fund rules during project implementation</w:t>
            </w:r>
          </w:p>
        </w:tc>
        <w:tc>
          <w:tcPr>
            <w:tcW w:type="dxa" w:w="1506"/>
          </w:tcPr>
          <w:p>
            <w:r>
              <w:rPr>
                <w:sz w:val="16"/>
              </w:rPr>
              <w:t>Low</w:t>
            </w:r>
          </w:p>
        </w:tc>
        <w:tc>
          <w:tcPr>
            <w:tcW w:type="dxa" w:w="1506"/>
          </w:tcPr>
          <w:p>
            <w:r>
              <w:rPr>
                <w:sz w:val="16"/>
              </w:rPr>
              <w:t>Low</w:t>
            </w:r>
          </w:p>
        </w:tc>
        <w:tc>
          <w:tcPr>
            <w:tcW w:type="dxa" w:w="1506"/>
          </w:tcPr>
          <w:p>
            <w:r>
              <w:rPr>
                <w:sz w:val="16"/>
              </w:rPr>
              <w:t>**Low**</w:t>
            </w:r>
          </w:p>
        </w:tc>
        <w:tc>
          <w:tcPr>
            <w:tcW w:type="dxa" w:w="1506"/>
          </w:tcPr>
          <w:p>
            <w:r>
              <w:rPr>
                <w:sz w:val="16"/>
              </w:rPr>
              <w:t>FIB (Legal / Regulatory)</w:t>
            </w:r>
          </w:p>
        </w:tc>
        <w:tc>
          <w:tcPr>
            <w:tcW w:type="dxa" w:w="1506"/>
          </w:tcPr>
          <w:p>
            <w:r>
              <w:rPr>
                <w:sz w:val="16"/>
              </w:rPr>
              <w:t>(a) Project aligned with long-term EU strategic direction; (b) regulatory risk is downside-limited (any changes likely to increase, not decrease, demand for EU-manufactured low-carbon CAM); (c) monitoring of regulatory developments</w:t>
            </w:r>
          </w:p>
        </w:tc>
      </w:tr>
      <w:tr>
        <w:tc>
          <w:tcPr>
            <w:tcW w:type="dxa" w:w="1506"/>
          </w:tcPr>
          <w:p>
            <w:r>
              <w:rPr>
                <w:sz w:val="16"/>
              </w:rPr>
              <w:t>OR7</w:t>
            </w:r>
          </w:p>
        </w:tc>
        <w:tc>
          <w:tcPr>
            <w:tcW w:type="dxa" w:w="1506"/>
          </w:tcPr>
          <w:p>
            <w:r>
              <w:rPr>
                <w:sz w:val="16"/>
              </w:rPr>
              <w:t>**Supply chain disruption**: Extended interruption of precursor supply (FePO4, Li2CO3) due to geopolitical events, logistics failures, or supplier insolvency</w:t>
            </w:r>
          </w:p>
        </w:tc>
        <w:tc>
          <w:tcPr>
            <w:tcW w:type="dxa" w:w="1506"/>
          </w:tcPr>
          <w:p>
            <w:r>
              <w:rPr>
                <w:sz w:val="16"/>
              </w:rPr>
              <w:t>Low</w:t>
            </w:r>
          </w:p>
        </w:tc>
        <w:tc>
          <w:tcPr>
            <w:tcW w:type="dxa" w:w="1506"/>
          </w:tcPr>
          <w:p>
            <w:r>
              <w:rPr>
                <w:sz w:val="16"/>
              </w:rPr>
              <w:t>High</w:t>
            </w:r>
          </w:p>
        </w:tc>
        <w:tc>
          <w:tcPr>
            <w:tcW w:type="dxa" w:w="1506"/>
          </w:tcPr>
          <w:p>
            <w:r>
              <w:rPr>
                <w:sz w:val="16"/>
              </w:rPr>
              <w:t>**Medium**</w:t>
            </w:r>
          </w:p>
        </w:tc>
        <w:tc>
          <w:tcPr>
            <w:tcW w:type="dxa" w:w="1506"/>
          </w:tcPr>
          <w:p>
            <w:r>
              <w:rPr>
                <w:sz w:val="16"/>
              </w:rPr>
              <w:t>FIB (Procurement Director)</w:t>
            </w:r>
          </w:p>
        </w:tc>
        <w:tc>
          <w:tcPr>
            <w:tcW w:type="dxa" w:w="1506"/>
          </w:tcPr>
          <w:p>
            <w:r>
              <w:rPr>
                <w:sz w:val="16"/>
              </w:rPr>
              <w:t>(a) Dual-sourcing strategy; (b) minimum 3-month strategic inventory; (c) long-term supply agreements; (d) supplier financial health monitoring; (e) emergency spot market access</w:t>
            </w:r>
          </w:p>
        </w:tc>
      </w:tr>
      <w:tr>
        <w:tc>
          <w:tcPr>
            <w:tcW w:type="dxa" w:w="1506"/>
          </w:tcPr>
          <w:p>
            <w:r>
              <w:rPr>
                <w:sz w:val="16"/>
              </w:rPr>
              <w:t>OR8</w:t>
            </w:r>
          </w:p>
        </w:tc>
        <w:tc>
          <w:tcPr>
            <w:tcW w:type="dxa" w:w="1506"/>
          </w:tcPr>
          <w:p>
            <w:r>
              <w:rPr>
                <w:sz w:val="16"/>
              </w:rPr>
              <w:t>**Quality certification delay**: Customer qualification of FACE LFP CAM takes longer than expected, delaying commercial revenue</w:t>
            </w:r>
          </w:p>
        </w:tc>
        <w:tc>
          <w:tcPr>
            <w:tcW w:type="dxa" w:w="1506"/>
          </w:tcPr>
          <w:p>
            <w:r>
              <w:rPr>
                <w:sz w:val="16"/>
              </w:rPr>
              <w:t>Medium</w:t>
            </w:r>
          </w:p>
        </w:tc>
        <w:tc>
          <w:tcPr>
            <w:tcW w:type="dxa" w:w="1506"/>
          </w:tcPr>
          <w:p>
            <w:r>
              <w:rPr>
                <w:sz w:val="16"/>
              </w:rPr>
              <w:t>Medium</w:t>
            </w:r>
          </w:p>
        </w:tc>
        <w:tc>
          <w:tcPr>
            <w:tcW w:type="dxa" w:w="1506"/>
          </w:tcPr>
          <w:p>
            <w:r>
              <w:rPr>
                <w:sz w:val="16"/>
              </w:rPr>
              <w:t>**Medium**</w:t>
            </w:r>
          </w:p>
        </w:tc>
        <w:tc>
          <w:tcPr>
            <w:tcW w:type="dxa" w:w="1506"/>
          </w:tcPr>
          <w:p>
            <w:r>
              <w:rPr>
                <w:sz w:val="16"/>
              </w:rPr>
              <w:t>FIB (Quality / Commercial)</w:t>
            </w:r>
          </w:p>
        </w:tc>
        <w:tc>
          <w:tcPr>
            <w:tcW w:type="dxa" w:w="1506"/>
          </w:tcPr>
          <w:p>
            <w:r>
              <w:rPr>
                <w:sz w:val="16"/>
              </w:rPr>
              <w:t>(a) Early customer engagement with sample material from vendor trial batches (M24-M36); (b) qualification programme aligned with customer timelines; (c) DT-enabled consistency accelerates qualification (fewer qualification batches needed); (d) multiple customer qualification tracks in parallel</w:t>
            </w:r>
          </w:p>
        </w:tc>
      </w:tr>
    </w:tbl>
    <w:p>
      <w:pPr>
        <w:pStyle w:val="Heading3"/>
      </w:pPr>
      <w:r>
        <w:t>9.3 Risk Heat Map</w:t>
      </w:r>
    </w:p>
    <w:p>
      <w:r>
        <w:rPr>
          <w:i/>
          <w:sz w:val="18"/>
        </w:rPr>
        <w:t>Note: The visual risk heat map is to be created in the Word document. The following describes the positioning of each risk on a 5x5 probability/impact matrix.</w:t>
      </w:r>
    </w:p>
    <w:p>
      <w:r>
        <w:rPr>
          <w:b/>
          <w:sz w:val="18"/>
        </w:rPr>
        <w:t>5x5 Probability/Impact Matrix Description</w:t>
      </w:r>
      <w:r>
        <w:rPr>
          <w:sz w:val="18"/>
        </w:rPr>
        <w:t>:</w:t>
      </w:r>
    </w:p>
    <w:p>
      <w:pPr>
        <w:pStyle w:val="ListBullet"/>
      </w:pPr>
      <w:r>
        <w:rPr>
          <w:b/>
          <w:sz w:val="18"/>
        </w:rPr>
        <w:t>Vertical axis</w:t>
      </w:r>
      <w:r>
        <w:rPr>
          <w:sz w:val="18"/>
        </w:rPr>
        <w:t>: Probability (1 = Very Low, 2 = Low, 3 = Medium, 4 = High, 5 = Very High)</w:t>
      </w:r>
    </w:p>
    <w:p>
      <w:pPr>
        <w:pStyle w:val="ListBullet"/>
      </w:pPr>
      <w:r>
        <w:rPr>
          <w:b/>
          <w:sz w:val="18"/>
        </w:rPr>
        <w:t>Horizontal axis</w:t>
      </w:r>
      <w:r>
        <w:rPr>
          <w:sz w:val="18"/>
        </w:rPr>
        <w:t>: Impact (1 = Negligible, 2 = Low, 3 = Medium, 4 = High, 5 = Critical)</w:t>
      </w:r>
    </w:p>
    <w:p>
      <w:pPr>
        <w:pStyle w:val="ListBullet"/>
      </w:pPr>
      <w:r>
        <w:rPr>
          <w:b/>
          <w:sz w:val="18"/>
        </w:rPr>
        <w:t>Risk zones</w:t>
      </w:r>
      <w:r>
        <w:rPr>
          <w:sz w:val="18"/>
        </w:rPr>
        <w:t>: Green (1-4), Yellow (5-9), Orange (10-15), Red (16-25)</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6"/>
              </w:rPr>
              <w:t>Risk ID</w:t>
            </w:r>
          </w:p>
        </w:tc>
        <w:tc>
          <w:tcPr>
            <w:tcW w:type="dxa" w:w="2108"/>
          </w:tcPr>
          <w:p>
            <w:r>
              <w:rPr>
                <w:b/>
                <w:sz w:val="16"/>
              </w:rPr>
              <w:t>Probability Score</w:t>
            </w:r>
          </w:p>
        </w:tc>
        <w:tc>
          <w:tcPr>
            <w:tcW w:type="dxa" w:w="2108"/>
          </w:tcPr>
          <w:p>
            <w:r>
              <w:rPr>
                <w:b/>
                <w:sz w:val="16"/>
              </w:rPr>
              <w:t>Impact Score</w:t>
            </w:r>
          </w:p>
        </w:tc>
        <w:tc>
          <w:tcPr>
            <w:tcW w:type="dxa" w:w="2108"/>
          </w:tcPr>
          <w:p>
            <w:r>
              <w:rPr>
                <w:b/>
                <w:sz w:val="16"/>
              </w:rPr>
              <w:t>Risk Score</w:t>
            </w:r>
          </w:p>
        </w:tc>
        <w:tc>
          <w:tcPr>
            <w:tcW w:type="dxa" w:w="2108"/>
          </w:tcPr>
          <w:p>
            <w:r>
              <w:rPr>
                <w:b/>
                <w:sz w:val="16"/>
              </w:rPr>
              <w:t>Zone</w:t>
            </w:r>
          </w:p>
        </w:tc>
      </w:tr>
      <w:tr>
        <w:tc>
          <w:tcPr>
            <w:tcW w:type="dxa" w:w="2108"/>
          </w:tcPr>
          <w:p>
            <w:r>
              <w:rPr>
                <w:sz w:val="16"/>
              </w:rPr>
              <w:t>TR1</w:t>
            </w:r>
          </w:p>
        </w:tc>
        <w:tc>
          <w:tcPr>
            <w:tcW w:type="dxa" w:w="2108"/>
          </w:tcPr>
          <w:p>
            <w:r>
              <w:rPr>
                <w:sz w:val="16"/>
              </w:rPr>
              <w:t>3</w:t>
            </w:r>
          </w:p>
        </w:tc>
        <w:tc>
          <w:tcPr>
            <w:tcW w:type="dxa" w:w="2108"/>
          </w:tcPr>
          <w:p>
            <w:r>
              <w:rPr>
                <w:sz w:val="16"/>
              </w:rPr>
              <w:t>4</w:t>
            </w:r>
          </w:p>
        </w:tc>
        <w:tc>
          <w:tcPr>
            <w:tcW w:type="dxa" w:w="2108"/>
          </w:tcPr>
          <w:p>
            <w:r>
              <w:rPr>
                <w:sz w:val="16"/>
              </w:rPr>
              <w:t>12</w:t>
            </w:r>
          </w:p>
        </w:tc>
        <w:tc>
          <w:tcPr>
            <w:tcW w:type="dxa" w:w="2108"/>
          </w:tcPr>
          <w:p>
            <w:r>
              <w:rPr>
                <w:sz w:val="16"/>
              </w:rPr>
              <w:t>Orange</w:t>
            </w:r>
          </w:p>
        </w:tc>
      </w:tr>
      <w:tr>
        <w:tc>
          <w:tcPr>
            <w:tcW w:type="dxa" w:w="2108"/>
          </w:tcPr>
          <w:p>
            <w:r>
              <w:rPr>
                <w:sz w:val="16"/>
              </w:rPr>
              <w:t>TR2</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TR3</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TR4</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TR5</w:t>
            </w:r>
          </w:p>
        </w:tc>
        <w:tc>
          <w:tcPr>
            <w:tcW w:type="dxa" w:w="2108"/>
          </w:tcPr>
          <w:p>
            <w:r>
              <w:rPr>
                <w:sz w:val="16"/>
              </w:rPr>
              <w:t>3</w:t>
            </w:r>
          </w:p>
        </w:tc>
        <w:tc>
          <w:tcPr>
            <w:tcW w:type="dxa" w:w="2108"/>
          </w:tcPr>
          <w:p>
            <w:r>
              <w:rPr>
                <w:sz w:val="16"/>
              </w:rPr>
              <w:t>4</w:t>
            </w:r>
          </w:p>
        </w:tc>
        <w:tc>
          <w:tcPr>
            <w:tcW w:type="dxa" w:w="2108"/>
          </w:tcPr>
          <w:p>
            <w:r>
              <w:rPr>
                <w:sz w:val="16"/>
              </w:rPr>
              <w:t>12</w:t>
            </w:r>
          </w:p>
        </w:tc>
        <w:tc>
          <w:tcPr>
            <w:tcW w:type="dxa" w:w="2108"/>
          </w:tcPr>
          <w:p>
            <w:r>
              <w:rPr>
                <w:sz w:val="16"/>
              </w:rPr>
              <w:t>Orange</w:t>
            </w:r>
          </w:p>
        </w:tc>
      </w:tr>
      <w:tr>
        <w:tc>
          <w:tcPr>
            <w:tcW w:type="dxa" w:w="2108"/>
          </w:tcPr>
          <w:p>
            <w:r>
              <w:rPr>
                <w:sz w:val="16"/>
              </w:rPr>
              <w:t>TR6</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TR7</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TR8</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TR9</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TR10</w:t>
            </w:r>
          </w:p>
        </w:tc>
        <w:tc>
          <w:tcPr>
            <w:tcW w:type="dxa" w:w="2108"/>
          </w:tcPr>
          <w:p>
            <w:r>
              <w:rPr>
                <w:sz w:val="16"/>
              </w:rPr>
              <w:t>3</w:t>
            </w:r>
          </w:p>
        </w:tc>
        <w:tc>
          <w:tcPr>
            <w:tcW w:type="dxa" w:w="2108"/>
          </w:tcPr>
          <w:p>
            <w:r>
              <w:rPr>
                <w:sz w:val="16"/>
              </w:rPr>
              <w:t>2</w:t>
            </w:r>
          </w:p>
        </w:tc>
        <w:tc>
          <w:tcPr>
            <w:tcW w:type="dxa" w:w="2108"/>
          </w:tcPr>
          <w:p>
            <w:r>
              <w:rPr>
                <w:sz w:val="16"/>
              </w:rPr>
              <w:t>6</w:t>
            </w:r>
          </w:p>
        </w:tc>
        <w:tc>
          <w:tcPr>
            <w:tcW w:type="dxa" w:w="2108"/>
          </w:tcPr>
          <w:p>
            <w:r>
              <w:rPr>
                <w:sz w:val="16"/>
              </w:rPr>
              <w:t>Yellow</w:t>
            </w:r>
          </w:p>
        </w:tc>
      </w:tr>
      <w:tr>
        <w:tc>
          <w:tcPr>
            <w:tcW w:type="dxa" w:w="2108"/>
          </w:tcPr>
          <w:p>
            <w:r>
              <w:rPr>
                <w:sz w:val="16"/>
              </w:rPr>
              <w:t>OR1</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OR2</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OR3</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OR4</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r>
        <w:tc>
          <w:tcPr>
            <w:tcW w:type="dxa" w:w="2108"/>
          </w:tcPr>
          <w:p>
            <w:r>
              <w:rPr>
                <w:sz w:val="16"/>
              </w:rPr>
              <w:t>OR5</w:t>
            </w:r>
          </w:p>
        </w:tc>
        <w:tc>
          <w:tcPr>
            <w:tcW w:type="dxa" w:w="2108"/>
          </w:tcPr>
          <w:p>
            <w:r>
              <w:rPr>
                <w:sz w:val="16"/>
              </w:rPr>
              <w:t>2</w:t>
            </w:r>
          </w:p>
        </w:tc>
        <w:tc>
          <w:tcPr>
            <w:tcW w:type="dxa" w:w="2108"/>
          </w:tcPr>
          <w:p>
            <w:r>
              <w:rPr>
                <w:sz w:val="16"/>
              </w:rPr>
              <w:t>3</w:t>
            </w:r>
          </w:p>
        </w:tc>
        <w:tc>
          <w:tcPr>
            <w:tcW w:type="dxa" w:w="2108"/>
          </w:tcPr>
          <w:p>
            <w:r>
              <w:rPr>
                <w:sz w:val="16"/>
              </w:rPr>
              <w:t>6</w:t>
            </w:r>
          </w:p>
        </w:tc>
        <w:tc>
          <w:tcPr>
            <w:tcW w:type="dxa" w:w="2108"/>
          </w:tcPr>
          <w:p>
            <w:r>
              <w:rPr>
                <w:sz w:val="16"/>
              </w:rPr>
              <w:t>Yellow</w:t>
            </w:r>
          </w:p>
        </w:tc>
      </w:tr>
      <w:tr>
        <w:tc>
          <w:tcPr>
            <w:tcW w:type="dxa" w:w="2108"/>
          </w:tcPr>
          <w:p>
            <w:r>
              <w:rPr>
                <w:sz w:val="16"/>
              </w:rPr>
              <w:t>OR6</w:t>
            </w:r>
          </w:p>
        </w:tc>
        <w:tc>
          <w:tcPr>
            <w:tcW w:type="dxa" w:w="2108"/>
          </w:tcPr>
          <w:p>
            <w:r>
              <w:rPr>
                <w:sz w:val="16"/>
              </w:rPr>
              <w:t>2</w:t>
            </w:r>
          </w:p>
        </w:tc>
        <w:tc>
          <w:tcPr>
            <w:tcW w:type="dxa" w:w="2108"/>
          </w:tcPr>
          <w:p>
            <w:r>
              <w:rPr>
                <w:sz w:val="16"/>
              </w:rPr>
              <w:t>2</w:t>
            </w:r>
          </w:p>
        </w:tc>
        <w:tc>
          <w:tcPr>
            <w:tcW w:type="dxa" w:w="2108"/>
          </w:tcPr>
          <w:p>
            <w:r>
              <w:rPr>
                <w:sz w:val="16"/>
              </w:rPr>
              <w:t>4</w:t>
            </w:r>
          </w:p>
        </w:tc>
        <w:tc>
          <w:tcPr>
            <w:tcW w:type="dxa" w:w="2108"/>
          </w:tcPr>
          <w:p>
            <w:r>
              <w:rPr>
                <w:sz w:val="16"/>
              </w:rPr>
              <w:t>Green</w:t>
            </w:r>
          </w:p>
        </w:tc>
      </w:tr>
      <w:tr>
        <w:tc>
          <w:tcPr>
            <w:tcW w:type="dxa" w:w="2108"/>
          </w:tcPr>
          <w:p>
            <w:r>
              <w:rPr>
                <w:sz w:val="16"/>
              </w:rPr>
              <w:t>OR7</w:t>
            </w:r>
          </w:p>
        </w:tc>
        <w:tc>
          <w:tcPr>
            <w:tcW w:type="dxa" w:w="2108"/>
          </w:tcPr>
          <w:p>
            <w:r>
              <w:rPr>
                <w:sz w:val="16"/>
              </w:rPr>
              <w:t>2</w:t>
            </w:r>
          </w:p>
        </w:tc>
        <w:tc>
          <w:tcPr>
            <w:tcW w:type="dxa" w:w="2108"/>
          </w:tcPr>
          <w:p>
            <w:r>
              <w:rPr>
                <w:sz w:val="16"/>
              </w:rPr>
              <w:t>4</w:t>
            </w:r>
          </w:p>
        </w:tc>
        <w:tc>
          <w:tcPr>
            <w:tcW w:type="dxa" w:w="2108"/>
          </w:tcPr>
          <w:p>
            <w:r>
              <w:rPr>
                <w:sz w:val="16"/>
              </w:rPr>
              <w:t>8</w:t>
            </w:r>
          </w:p>
        </w:tc>
        <w:tc>
          <w:tcPr>
            <w:tcW w:type="dxa" w:w="2108"/>
          </w:tcPr>
          <w:p>
            <w:r>
              <w:rPr>
                <w:sz w:val="16"/>
              </w:rPr>
              <w:t>Yellow</w:t>
            </w:r>
          </w:p>
        </w:tc>
      </w:tr>
      <w:tr>
        <w:tc>
          <w:tcPr>
            <w:tcW w:type="dxa" w:w="2108"/>
          </w:tcPr>
          <w:p>
            <w:r>
              <w:rPr>
                <w:sz w:val="16"/>
              </w:rPr>
              <w:t>OR8</w:t>
            </w:r>
          </w:p>
        </w:tc>
        <w:tc>
          <w:tcPr>
            <w:tcW w:type="dxa" w:w="2108"/>
          </w:tcPr>
          <w:p>
            <w:r>
              <w:rPr>
                <w:sz w:val="16"/>
              </w:rPr>
              <w:t>3</w:t>
            </w:r>
          </w:p>
        </w:tc>
        <w:tc>
          <w:tcPr>
            <w:tcW w:type="dxa" w:w="2108"/>
          </w:tcPr>
          <w:p>
            <w:r>
              <w:rPr>
                <w:sz w:val="16"/>
              </w:rPr>
              <w:t>3</w:t>
            </w:r>
          </w:p>
        </w:tc>
        <w:tc>
          <w:tcPr>
            <w:tcW w:type="dxa" w:w="2108"/>
          </w:tcPr>
          <w:p>
            <w:r>
              <w:rPr>
                <w:sz w:val="16"/>
              </w:rPr>
              <w:t>9</w:t>
            </w:r>
          </w:p>
        </w:tc>
        <w:tc>
          <w:tcPr>
            <w:tcW w:type="dxa" w:w="2108"/>
          </w:tcPr>
          <w:p>
            <w:r>
              <w:rPr>
                <w:sz w:val="16"/>
              </w:rPr>
              <w:t>Yellow</w:t>
            </w:r>
          </w:p>
        </w:tc>
      </w:tr>
    </w:tbl>
    <w:p>
      <w:r>
        <w:rPr>
          <w:b/>
          <w:sz w:val="18"/>
        </w:rPr>
        <w:t>Summary</w:t>
      </w:r>
      <w:r>
        <w:rPr>
          <w:sz w:val="18"/>
        </w:rPr>
        <w:t>: Two risks in the Orange zone (TR1 calcination scale-up, TR5 product quality consistency) require priority attention through the piloting-before-procurement strategy and DT-driven quality control. All remaining risks are in the Yellow or Green zones, indicating manageable risk levels with the defined mitigation measures. No risks are assessed as Red (unacceptable).</w:t>
      </w:r>
    </w:p>
    <w:p>
      <w:r>
        <w:rPr>
          <w:sz w:val="18"/>
        </w:rPr>
        <w:t xml:space="preserve">The digital twin itself functions as a cross-cutting risk mitigation instrument: by providing real-time process visibility, predictive quality monitoring, and closed-loop control, the DT reduces the probability and impact of technical risks TR1-TR5 and TR7-TR10 during the operational phase </w:t>
      </w:r>
      <w:r>
        <w:rPr>
          <w:color w:val="0066CC"/>
          <w:sz w:val="16"/>
        </w:rPr>
        <w:t>[CLM-007]</w:t>
      </w:r>
      <w:r>
        <w:rPr>
          <w:sz w:val="18"/>
        </w:rPr>
        <w:t>.</w:t>
      </w:r>
    </w:p>
    <w:p>
      <w:r>
        <w:rPr>
          <w:sz w:val="18"/>
        </w:rPr>
        <w:t>---</w:t>
      </w:r>
    </w:p>
    <w:p>
      <w:pPr>
        <w:pStyle w:val="Heading2"/>
      </w:pPr>
      <w:r>
        <w:t>History of Changes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sz w:val="16"/>
              </w:rPr>
              <w:t>Version</w:t>
            </w:r>
          </w:p>
        </w:tc>
        <w:tc>
          <w:tcPr>
            <w:tcW w:type="dxa" w:w="3513"/>
          </w:tcPr>
          <w:p>
            <w:r>
              <w:rPr>
                <w:b/>
                <w:sz w:val="16"/>
              </w:rPr>
              <w:t>Date</w:t>
            </w:r>
          </w:p>
        </w:tc>
        <w:tc>
          <w:tcPr>
            <w:tcW w:type="dxa" w:w="3513"/>
          </w:tcPr>
          <w:p>
            <w:r>
              <w:rPr>
                <w:b/>
                <w:sz w:val="16"/>
              </w:rPr>
              <w:t>Change</w:t>
            </w:r>
          </w:p>
        </w:tc>
      </w:tr>
      <w:tr>
        <w:tc>
          <w:tcPr>
            <w:tcW w:type="dxa" w:w="3513"/>
          </w:tcPr>
          <w:p>
            <w:r>
              <w:rPr>
                <w:sz w:val="16"/>
              </w:rPr>
              <w:t>1.0</w:t>
            </w:r>
          </w:p>
        </w:tc>
        <w:tc>
          <w:tcPr>
            <w:tcW w:type="dxa" w:w="3513"/>
          </w:tcPr>
          <w:p>
            <w:r>
              <w:rPr>
                <w:sz w:val="16"/>
              </w:rPr>
              <w:t>April 2026</w:t>
            </w:r>
          </w:p>
        </w:tc>
        <w:tc>
          <w:tcPr>
            <w:tcW w:type="dxa" w:w="3513"/>
          </w:tcPr>
          <w:p>
            <w:r>
              <w:rPr>
                <w:sz w:val="16"/>
              </w:rPr>
              <w:t>Initial draft for Innovation Fund submission</w:t>
            </w:r>
          </w:p>
        </w:tc>
      </w:tr>
    </w:tbl>
    <w:p>
      <w:r>
        <w:rPr>
          <w:sz w:val="18"/>
        </w:rPr>
        <w:t>---</w:t>
      </w:r>
    </w:p>
    <w:p>
      <w:r>
        <w:rPr>
          <w:i/>
          <w:sz w:val="18"/>
        </w:rPr>
        <w:t>End of Feasibility Study</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