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4E01" w14:textId="472734B5" w:rsidR="00B02032" w:rsidRPr="009C06B9" w:rsidRDefault="00B02032" w:rsidP="00B02032">
      <w:pPr>
        <w:ind w:left="360"/>
        <w:rPr>
          <w:b/>
          <w:bCs/>
          <w:u w:val="single"/>
        </w:rPr>
      </w:pPr>
      <w:r w:rsidRPr="009C06B9">
        <w:rPr>
          <w:b/>
          <w:bCs/>
          <w:u w:val="single"/>
        </w:rPr>
        <w:t>Technical characteristics and scope</w:t>
      </w:r>
    </w:p>
    <w:p w14:paraId="30CBF0FB" w14:textId="30D6391C" w:rsidR="00BF0642" w:rsidRPr="009C06B9" w:rsidRDefault="00BF0642" w:rsidP="009C06B9">
      <w:pPr>
        <w:ind w:firstLine="360"/>
        <w:jc w:val="both"/>
        <w:rPr>
          <w:u w:val="single"/>
        </w:rPr>
      </w:pPr>
      <w:r w:rsidRPr="009C06B9">
        <w:rPr>
          <w:u w:val="single"/>
        </w:rPr>
        <w:t>LFP Cathode Active Material Production</w:t>
      </w:r>
    </w:p>
    <w:p w14:paraId="059329C8" w14:textId="32FE64D1" w:rsidR="0003507B" w:rsidRDefault="0003507B" w:rsidP="0003507B">
      <w:pPr>
        <w:ind w:left="360"/>
        <w:jc w:val="both"/>
      </w:pPr>
      <w:r>
        <w:t>The project consists of the construction and operation of a high-performance Lithium Iron Phosphate (LFP) cathode active material (CAM) plant in Brindisi, Italy, with a total nameplate production capacity of 50 kton/year. The plant will be developed on an ENI-owned brownfield industrial site with direct access to port infrastructure, road logistics, grid connection, and water supply, thereby offering strong conditions for industrial deployment and integration into the European battery value chain. The LFP workshop footprint is approximately 161.1 m × 106 m, corresponding to roughly 17,100 m², and includes dedicated areas for raw-material storage, charging and mixing, spray drying, furnace operations, post-processing, packaging, finished-product storage, and technical utilities. The production capacity will be distributed across four modular production lines of 12.5 kton/year each, allowing phased ramp-up, operational flexibility, reduced start-up risk, and easier maintenance planning.</w:t>
      </w:r>
    </w:p>
    <w:p w14:paraId="6C5AB1FA" w14:textId="195EBB63" w:rsidR="0003507B" w:rsidRDefault="0003507B" w:rsidP="0003507B">
      <w:pPr>
        <w:ind w:left="360"/>
        <w:jc w:val="both"/>
      </w:pPr>
      <w:r>
        <w:t>LFP chemistry has been selected over alternative lithium-ion cathode chemistries because it offers a strong combination of high thermal and chemical safety, long cycle life, cost competitiveness, and lower dependence on critical raw materials such as nickel and cobalt. These characteristics make it especially suitable for large-scale stationary storage applications, where durability, safety, and cost stability are key purchasing criteria.</w:t>
      </w:r>
    </w:p>
    <w:p w14:paraId="0FC9B91F" w14:textId="7B936AE6" w:rsidR="0003507B" w:rsidRDefault="0003507B" w:rsidP="0003507B">
      <w:pPr>
        <w:ind w:left="360"/>
        <w:jc w:val="both"/>
      </w:pPr>
      <w:r>
        <w:t>The selected manufacturing concept is based on a flexible solid-state synthesis route, chosen over more rigid process configurations because it combines industrial scalability with the ability to produce more than one morphology type according to market needs. The process is designed to manufacture both nanosized LFP and more spherical LFP, with an expected output mix of approximately 75% nanosized product and 25% spherical product. This flexibility is achieved through a configurable process layout including a convertible spray-drying system and the possibility to bypass the jet-milling step when the spherical grade is produced. This approach has been selected because it allows the plant to address different cathode processing requirements, including compatibility not only with conventional NMP-based electrode manufacturing, but also with water-based cathode processing, which is increasingly relevant in Europe from both cost and environmental perspectives.</w:t>
      </w:r>
    </w:p>
    <w:p w14:paraId="5E3B14CC" w14:textId="09327BBF" w:rsidR="0003507B" w:rsidRDefault="0003507B" w:rsidP="0003507B">
      <w:pPr>
        <w:ind w:left="360"/>
        <w:jc w:val="both"/>
      </w:pPr>
      <w:r>
        <w:t>The main feedstocks of the plant will consist of iron phosphate (FePO</w:t>
      </w:r>
      <w:r w:rsidRPr="00D9640E">
        <w:rPr>
          <w:vertAlign w:val="subscript"/>
        </w:rPr>
        <w:t>4</w:t>
      </w:r>
      <w:r>
        <w:t>), lithium carbonate (Li</w:t>
      </w:r>
      <w:r w:rsidRPr="00D9640E">
        <w:rPr>
          <w:vertAlign w:val="subscript"/>
        </w:rPr>
        <w:t>2</w:t>
      </w:r>
      <w:r>
        <w:t>CO</w:t>
      </w:r>
      <w:r w:rsidRPr="00D9640E">
        <w:rPr>
          <w:vertAlign w:val="subscript"/>
        </w:rPr>
        <w:t>3</w:t>
      </w:r>
      <w:r>
        <w:t xml:space="preserve">), and a carbon source based on glucose, together with minor additives and process consumables. Based on the current design basis, the specific raw-material </w:t>
      </w:r>
      <w:r>
        <w:lastRenderedPageBreak/>
        <w:t>consumption is expected to be approximately 0.98 t FePO4/t LFP product, 0.25 t Li</w:t>
      </w:r>
      <w:r w:rsidRPr="00B340EA">
        <w:rPr>
          <w:vertAlign w:val="subscript"/>
        </w:rPr>
        <w:t>2</w:t>
      </w:r>
      <w:r>
        <w:t>CO</w:t>
      </w:r>
      <w:r w:rsidRPr="00B340EA">
        <w:rPr>
          <w:vertAlign w:val="subscript"/>
        </w:rPr>
        <w:t>3</w:t>
      </w:r>
      <w:r>
        <w:t>/t product, 0.010 t glucose/t product, 0.008 t TiO</w:t>
      </w:r>
      <w:r w:rsidRPr="00B340EA">
        <w:rPr>
          <w:vertAlign w:val="subscript"/>
        </w:rPr>
        <w:t>2</w:t>
      </w:r>
      <w:r>
        <w:t xml:space="preserve">/t product, and 0.006 t </w:t>
      </w:r>
      <w:r w:rsidR="00B340EA">
        <w:t>H</w:t>
      </w:r>
      <w:r w:rsidR="00B340EA" w:rsidRPr="00B340EA">
        <w:rPr>
          <w:vertAlign w:val="subscript"/>
        </w:rPr>
        <w:t>3</w:t>
      </w:r>
      <w:r w:rsidR="00B340EA">
        <w:t>PO</w:t>
      </w:r>
      <w:r w:rsidR="00B340EA" w:rsidRPr="00B340EA">
        <w:rPr>
          <w:vertAlign w:val="subscript"/>
        </w:rPr>
        <w:t>4</w:t>
      </w:r>
      <w:r>
        <w:t>/t product. At full nameplate capacity, this corresponds to indicative annual requirements of approximately 49,000 t/y of FePO</w:t>
      </w:r>
      <w:r w:rsidRPr="00D477B8">
        <w:rPr>
          <w:vertAlign w:val="subscript"/>
        </w:rPr>
        <w:t>4</w:t>
      </w:r>
      <w:r>
        <w:t>, 12,500 t/y of Li</w:t>
      </w:r>
      <w:r w:rsidRPr="00D477B8">
        <w:rPr>
          <w:vertAlign w:val="subscript"/>
        </w:rPr>
        <w:t>2</w:t>
      </w:r>
      <w:r>
        <w:t>CO</w:t>
      </w:r>
      <w:r w:rsidRPr="00D477B8">
        <w:rPr>
          <w:vertAlign w:val="subscript"/>
        </w:rPr>
        <w:t>3</w:t>
      </w:r>
      <w:r>
        <w:t>, 500 t/y of glucose, 400 t/y of TiO</w:t>
      </w:r>
      <w:r w:rsidRPr="00D477B8">
        <w:rPr>
          <w:vertAlign w:val="subscript"/>
        </w:rPr>
        <w:t>2</w:t>
      </w:r>
      <w:r>
        <w:t xml:space="preserve">, and 300 t/y of </w:t>
      </w:r>
      <w:r w:rsidR="00D477B8">
        <w:t>H</w:t>
      </w:r>
      <w:r w:rsidR="00D477B8" w:rsidRPr="00B340EA">
        <w:rPr>
          <w:vertAlign w:val="subscript"/>
        </w:rPr>
        <w:t>3</w:t>
      </w:r>
      <w:r w:rsidR="00D477B8">
        <w:t>PO</w:t>
      </w:r>
      <w:r w:rsidR="00D477B8" w:rsidRPr="00B340EA">
        <w:rPr>
          <w:vertAlign w:val="subscript"/>
        </w:rPr>
        <w:t>4</w:t>
      </w:r>
      <w:r>
        <w:t>. The sourcing strategy will prioritize qualified European suppliers wherever feasible, complemented by diversified international sources in order to ensure supply continuity, traceability, quality consistency, and resilience of the feedstock supply chain.</w:t>
      </w:r>
    </w:p>
    <w:p w14:paraId="716A55AC" w14:textId="5AAAEB43" w:rsidR="0003507B" w:rsidRDefault="0003507B" w:rsidP="0003507B">
      <w:pPr>
        <w:ind w:left="360"/>
        <w:jc w:val="both"/>
      </w:pPr>
      <w:r>
        <w:t>The plant will also require significant utilities to support production. According to the current utility assumptions, the process is expected to require approximately 3,580 kWh of electricity per tonne of product, about 4 t of production water per tonne, about 5 t of pure water per tonne, around 189 m³ of natural gas per tonne, and approximately 850 m³ of nitrogen per tonne, subject to optimization during engineering and industrial ramp-up. At full capacity, this translates into a large-scale industrial operation designed around secure utility integration and energy-efficiency measures, supported by the advantages of the selected brownfield site.</w:t>
      </w:r>
    </w:p>
    <w:p w14:paraId="2F6C38E1" w14:textId="77AAFD4E" w:rsidR="0003507B" w:rsidRDefault="0003507B" w:rsidP="0003507B">
      <w:pPr>
        <w:ind w:left="360"/>
        <w:jc w:val="both"/>
      </w:pPr>
      <w:r>
        <w:t>The main output of the project will be 50,000 tonnes per year of LFP cathode active material, supplied in different product grades tailored to customer requirements. The target product family is aimed mainly at ESS cell manufacturers, while also maintaining compatibility with broader lithium-ion applications where LFP is technically and commercially suitable. The product specifications targeted by the plant include, among others, D10 of 0.3–1.0 µm, D50 of 0.7–2.5 µm, D90 of 2.5–</w:t>
      </w:r>
      <w:r w:rsidR="00527AD4">
        <w:t>12</w:t>
      </w:r>
      <w:r>
        <w:t>.0 µm, specific surface area of 10.00–</w:t>
      </w:r>
      <w:r w:rsidR="00DD2781">
        <w:t>14.00</w:t>
      </w:r>
      <w:r>
        <w:t xml:space="preserve"> m²/g, tap density of 1.0–1.4 g/cm³, pellet density ≥ 2.40 g/cm³, electrode press density ≥ 2.</w:t>
      </w:r>
      <w:r w:rsidR="00DD2781">
        <w:t>30</w:t>
      </w:r>
      <w:r>
        <w:t xml:space="preserve"> g/cm³, carbon content of 1.0–1.8%, moisture content &lt; 750 ppm, magnetic impurities ≤ 1000 ppb, specific discharge capacity ≥ 155 mAh/g at 0.1C and ≥ 140 mAh/g at 1C, and initial coulombic efficiency around 98%. These specifications are intended to support high-performance LFP products with strong safety, durability, and processability characteristics.</w:t>
      </w:r>
    </w:p>
    <w:p w14:paraId="402C2DAF" w14:textId="77777777" w:rsidR="0003507B" w:rsidRDefault="0003507B" w:rsidP="0003507B">
      <w:pPr>
        <w:ind w:left="360"/>
        <w:jc w:val="both"/>
      </w:pPr>
      <w:r>
        <w:t>The project also includes a clear low-carbon industrial design objective, based on maximizing electrification and reducing natural gas use wherever technically and economically feasible, especially in energy-intensive stages such as spray drying and calcination. This will be combined with energy-efficiency measures, suitable insulation, and progressive integration of lower-carbon utility supply in order to reduce the specific CO</w:t>
      </w:r>
      <w:r w:rsidRPr="00F31B90">
        <w:rPr>
          <w:vertAlign w:val="subscript"/>
        </w:rPr>
        <w:t>2</w:t>
      </w:r>
      <w:r>
        <w:t xml:space="preserve"> footprint per tonne of LFP produced.</w:t>
      </w:r>
    </w:p>
    <w:p w14:paraId="20073C6D" w14:textId="77777777" w:rsidR="00F4736B" w:rsidRDefault="00F4736B" w:rsidP="0003507B">
      <w:pPr>
        <w:ind w:left="360"/>
        <w:jc w:val="both"/>
      </w:pPr>
    </w:p>
    <w:p w14:paraId="1FCD9C4F" w14:textId="79436C5D" w:rsidR="00222572" w:rsidRPr="009C06B9" w:rsidRDefault="00222572" w:rsidP="00B02032">
      <w:pPr>
        <w:ind w:left="360"/>
        <w:rPr>
          <w:b/>
          <w:bCs/>
          <w:u w:val="single"/>
        </w:rPr>
      </w:pPr>
      <w:r w:rsidRPr="009C06B9">
        <w:rPr>
          <w:b/>
          <w:bCs/>
          <w:u w:val="single"/>
        </w:rPr>
        <w:lastRenderedPageBreak/>
        <w:t>Technology scope and the chosen technological solution</w:t>
      </w:r>
    </w:p>
    <w:p w14:paraId="300E9A17" w14:textId="404A318D" w:rsidR="009C06B9" w:rsidRPr="009C06B9" w:rsidRDefault="009C06B9" w:rsidP="009C06B9">
      <w:pPr>
        <w:ind w:left="360"/>
        <w:jc w:val="both"/>
        <w:rPr>
          <w:color w:val="000000" w:themeColor="text1"/>
          <w:u w:val="single"/>
        </w:rPr>
      </w:pPr>
      <w:r w:rsidRPr="009C06B9">
        <w:rPr>
          <w:color w:val="000000" w:themeColor="text1"/>
          <w:u w:val="single"/>
        </w:rPr>
        <w:t>Technology description and selected process solution</w:t>
      </w:r>
    </w:p>
    <w:p w14:paraId="435CE240" w14:textId="10F88021" w:rsidR="009C06B9" w:rsidRPr="009C06B9" w:rsidRDefault="009C06B9" w:rsidP="009C06B9">
      <w:pPr>
        <w:ind w:left="360"/>
        <w:jc w:val="both"/>
        <w:rPr>
          <w:color w:val="000000" w:themeColor="text1"/>
        </w:rPr>
      </w:pPr>
      <w:r w:rsidRPr="009C06B9">
        <w:rPr>
          <w:color w:val="000000" w:themeColor="text1"/>
        </w:rPr>
        <w:t>The project consists of the industrial deployment of a 50 kton/year LFP cathode active material plant based on a solid-state synthesis route integrating advanced digital process control and quality-monitoring architecture. The selected technological solution combines an industrially proven LFP reaction pathway starting from FePO</w:t>
      </w:r>
      <w:r w:rsidRPr="003C1519">
        <w:rPr>
          <w:color w:val="000000" w:themeColor="text1"/>
          <w:vertAlign w:val="subscript"/>
        </w:rPr>
        <w:t>4</w:t>
      </w:r>
      <w:r w:rsidRPr="009C06B9">
        <w:rPr>
          <w:color w:val="000000" w:themeColor="text1"/>
        </w:rPr>
        <w:t>, Li</w:t>
      </w:r>
      <w:r w:rsidRPr="003C1519">
        <w:rPr>
          <w:color w:val="000000" w:themeColor="text1"/>
          <w:vertAlign w:val="subscript"/>
        </w:rPr>
        <w:t>2</w:t>
      </w:r>
      <w:r w:rsidRPr="009C06B9">
        <w:rPr>
          <w:color w:val="000000" w:themeColor="text1"/>
        </w:rPr>
        <w:t>CO</w:t>
      </w:r>
      <w:r w:rsidRPr="003C1519">
        <w:rPr>
          <w:color w:val="000000" w:themeColor="text1"/>
          <w:vertAlign w:val="subscript"/>
        </w:rPr>
        <w:t>3</w:t>
      </w:r>
      <w:r w:rsidRPr="009C06B9">
        <w:rPr>
          <w:color w:val="000000" w:themeColor="text1"/>
        </w:rPr>
        <w:t>, and a carbon source, with a flexible plant design capable of producing both nanosized and spherical LFP grades. The process configuration has been selected because it offers a robust balance between scalability, product tunability, quality reproducibility, and industrial operability, while also supporting future customer requirements related to both NMP-based and water-based cathode processing.</w:t>
      </w:r>
    </w:p>
    <w:p w14:paraId="5D7F6F1C" w14:textId="69C45BC4" w:rsidR="009C06B9" w:rsidRPr="009C06B9" w:rsidRDefault="009C06B9" w:rsidP="009C06B9">
      <w:pPr>
        <w:ind w:left="360"/>
        <w:jc w:val="both"/>
        <w:rPr>
          <w:color w:val="000000" w:themeColor="text1"/>
        </w:rPr>
      </w:pPr>
      <w:r w:rsidRPr="009C06B9">
        <w:rPr>
          <w:color w:val="000000" w:themeColor="text1"/>
        </w:rPr>
        <w:t xml:space="preserve">The process flow starts with the controlled dosing of raw materials, including iron phosphate, lithium carbonate, glucose, and minor additives, into the charging and dispersion system. The mixture is wet-milled using a sand mill in order to homogenize the precursor slurry and control particle dispersion. After particle-size verification, the slurry is transferred through a demagnetization stage for the removal of magnetic contaminants before entering the spray dryer, where it is transformed into a dry, unreacted precursor powder. The powder is then loaded into </w:t>
      </w:r>
      <w:r w:rsidR="0003628C">
        <w:rPr>
          <w:color w:val="000000" w:themeColor="text1"/>
        </w:rPr>
        <w:t>saggars</w:t>
      </w:r>
      <w:r w:rsidRPr="009C06B9">
        <w:rPr>
          <w:color w:val="000000" w:themeColor="text1"/>
        </w:rPr>
        <w:t xml:space="preserve"> and introduced into the calcination furnace system, where the solid-state reaction takes place under controlled temperature and </w:t>
      </w:r>
      <w:r w:rsidR="006358B6">
        <w:rPr>
          <w:color w:val="000000" w:themeColor="text1"/>
        </w:rPr>
        <w:t xml:space="preserve">inert </w:t>
      </w:r>
      <w:r w:rsidRPr="009C06B9">
        <w:rPr>
          <w:color w:val="000000" w:themeColor="text1"/>
        </w:rPr>
        <w:t>atmosphere conditions</w:t>
      </w:r>
      <w:r w:rsidR="006358B6">
        <w:rPr>
          <w:color w:val="000000" w:themeColor="text1"/>
        </w:rPr>
        <w:t xml:space="preserve"> (N</w:t>
      </w:r>
      <w:r w:rsidR="006358B6" w:rsidRPr="006358B6">
        <w:rPr>
          <w:color w:val="000000" w:themeColor="text1"/>
          <w:vertAlign w:val="subscript"/>
        </w:rPr>
        <w:t>2</w:t>
      </w:r>
      <w:r w:rsidR="006358B6">
        <w:rPr>
          <w:color w:val="000000" w:themeColor="text1"/>
        </w:rPr>
        <w:t>)</w:t>
      </w:r>
      <w:r w:rsidRPr="009C06B9">
        <w:rPr>
          <w:color w:val="000000" w:themeColor="text1"/>
        </w:rPr>
        <w:t xml:space="preserve"> to form the final LiFePO</w:t>
      </w:r>
      <w:r w:rsidRPr="006358B6">
        <w:rPr>
          <w:color w:val="000000" w:themeColor="text1"/>
          <w:vertAlign w:val="subscript"/>
        </w:rPr>
        <w:t>4</w:t>
      </w:r>
      <w:r w:rsidRPr="009C06B9">
        <w:rPr>
          <w:color w:val="000000" w:themeColor="text1"/>
        </w:rPr>
        <w:t xml:space="preserve"> crystal structure with the desired conductive carbon coating.</w:t>
      </w:r>
    </w:p>
    <w:p w14:paraId="49972A46" w14:textId="6FCC03AB" w:rsidR="009C06B9" w:rsidRPr="009C06B9" w:rsidRDefault="009C06B9" w:rsidP="009C06B9">
      <w:pPr>
        <w:ind w:left="360"/>
        <w:jc w:val="both"/>
        <w:rPr>
          <w:color w:val="000000" w:themeColor="text1"/>
        </w:rPr>
      </w:pPr>
      <w:r w:rsidRPr="009C06B9">
        <w:rPr>
          <w:color w:val="000000" w:themeColor="text1"/>
        </w:rPr>
        <w:t>Following calcination, the reacted material undergoes downstream post-processing. For the nanosized LFP grade, the product is routed through an air-flow grinding system (jet mill) in order to achieve the target fine particle-size distribution. For the spherical LFP grade, this step can be bypassed according to the selected process window and product specification. The material then passes through particle-size verification, ultrasonic vibrating sieving, and dry electromagnetic separation, ensuring the removal of oversized particles and residual magnetic contaminants before final automatic packaging. This flexible route enables the plant to manufacture more than one LFP morphology family from the same industrial platform, increasing commercial flexibility and reducing product-obsolescence risk.</w:t>
      </w:r>
    </w:p>
    <w:p w14:paraId="240D9CA2" w14:textId="69750B31" w:rsidR="009C06B9" w:rsidRPr="009C06B9" w:rsidRDefault="009C06B9" w:rsidP="009C06B9">
      <w:pPr>
        <w:ind w:left="360"/>
        <w:jc w:val="both"/>
        <w:rPr>
          <w:color w:val="000000" w:themeColor="text1"/>
          <w:u w:val="single"/>
        </w:rPr>
      </w:pPr>
      <w:r w:rsidRPr="009C06B9">
        <w:rPr>
          <w:color w:val="000000" w:themeColor="text1"/>
          <w:u w:val="single"/>
        </w:rPr>
        <w:t>Expected impacts of the technology and process</w:t>
      </w:r>
    </w:p>
    <w:p w14:paraId="364E55DB" w14:textId="522B7E30" w:rsidR="009C06B9" w:rsidRPr="009C06B9" w:rsidRDefault="009C06B9" w:rsidP="009C06B9">
      <w:pPr>
        <w:ind w:left="360"/>
        <w:jc w:val="both"/>
        <w:rPr>
          <w:color w:val="000000" w:themeColor="text1"/>
        </w:rPr>
      </w:pPr>
      <w:r w:rsidRPr="009C06B9">
        <w:rPr>
          <w:color w:val="000000" w:themeColor="text1"/>
        </w:rPr>
        <w:t xml:space="preserve">The selected technology is expected to generate several important technical and industrial impacts. First, it enables the production of application-specific LFP grades with different morphology and processing behavior, rather than limiting the plant to a </w:t>
      </w:r>
      <w:r w:rsidRPr="009C06B9">
        <w:rPr>
          <w:color w:val="000000" w:themeColor="text1"/>
        </w:rPr>
        <w:lastRenderedPageBreak/>
        <w:t>single fixed product. Second, it improves control over critical powder properties such as particle-size distribution, specific surface area, tap density, carbon-coating level, moisture content, and impurity profile, all of which directly affect downstream electrode processing and cell performance. Third, the capability to produce a combination of nanosized and spherical LFP is expected to support an improved balance between electrochemical performance and aqueous slurry processability, which is particularly relevant because conventional nanosized LFP is often less compatible with water-based cathode formulations.</w:t>
      </w:r>
    </w:p>
    <w:p w14:paraId="261A6DEF" w14:textId="75346E59" w:rsidR="009C06B9" w:rsidRPr="009C06B9" w:rsidRDefault="009C06B9" w:rsidP="009C06B9">
      <w:pPr>
        <w:ind w:left="360"/>
        <w:jc w:val="both"/>
        <w:rPr>
          <w:color w:val="000000" w:themeColor="text1"/>
        </w:rPr>
      </w:pPr>
      <w:r w:rsidRPr="009C06B9">
        <w:rPr>
          <w:color w:val="000000" w:themeColor="text1"/>
        </w:rPr>
        <w:t xml:space="preserve">From the product-performance standpoint, the target materials are intended mainly for ESS cells requiring high safety and long cycle life. At material level, the project targets specifications including specific discharge capacity ≥ 155 mAh/g at 0.1C, ≥ 140 mAh/g at 1C, initial coulombic efficiency around 98%, moisture content below 750 ppm, and magnetic impurities below 1000 ppb, together with controlled PSD, SSA, tap density, and electrode densification performance. In the case of final cell design optimized for ESS, these material characteristics are intended to enable long service life, potentially above </w:t>
      </w:r>
      <w:r w:rsidR="009A2A92">
        <w:rPr>
          <w:color w:val="000000" w:themeColor="text1"/>
        </w:rPr>
        <w:t>6</w:t>
      </w:r>
      <w:r w:rsidRPr="009C06B9">
        <w:rPr>
          <w:color w:val="000000" w:themeColor="text1"/>
        </w:rPr>
        <w:t>,000 cycles depending on the cell architecture, electrode design, operating voltage window, temperature conditions, and duty cycle. This wording is important because cycle life is ultimately a cell- and system-level parameter, not a CAM-only parameter.</w:t>
      </w:r>
    </w:p>
    <w:p w14:paraId="737CB71E" w14:textId="243B88F9" w:rsidR="009C06B9" w:rsidRPr="009C06B9" w:rsidRDefault="009C06B9" w:rsidP="009C06B9">
      <w:pPr>
        <w:ind w:left="360"/>
        <w:jc w:val="both"/>
        <w:rPr>
          <w:color w:val="000000" w:themeColor="text1"/>
          <w:u w:val="single"/>
        </w:rPr>
      </w:pPr>
      <w:r w:rsidRPr="009C06B9">
        <w:rPr>
          <w:color w:val="000000" w:themeColor="text1"/>
          <w:u w:val="single"/>
        </w:rPr>
        <w:t>Construction plan, operation assumptions, and maintenance approach</w:t>
      </w:r>
    </w:p>
    <w:p w14:paraId="534F3D8D" w14:textId="2603CB4C" w:rsidR="009C06B9" w:rsidRPr="009C06B9" w:rsidRDefault="009C06B9" w:rsidP="009C06B9">
      <w:pPr>
        <w:ind w:left="360"/>
        <w:jc w:val="both"/>
        <w:rPr>
          <w:color w:val="000000" w:themeColor="text1"/>
        </w:rPr>
      </w:pPr>
      <w:r w:rsidRPr="009C06B9">
        <w:rPr>
          <w:color w:val="000000" w:themeColor="text1"/>
        </w:rPr>
        <w:t>The plant will be implemented through a staged industrialization plan including detailed engineering, procurement, civil works, equipment installation, commissioning, qualification, and phased ramp-up of the four 12.5 kton/year production lines. The modular line architecture is a key design choice, as it allows operational learning from earlier line start-up to be transferred to later lines, thereby reducing commissioning risk and improving ramp-up efficiency. The brownfield nature of the site is also advantageous, as it reduces part of the infrastructure-development burden and benefits from existing industrial access conditions and utility availability.</w:t>
      </w:r>
    </w:p>
    <w:p w14:paraId="70CC0A3F" w14:textId="69A504F2" w:rsidR="009C06B9" w:rsidRPr="009C06B9" w:rsidRDefault="009C06B9" w:rsidP="009C06B9">
      <w:pPr>
        <w:ind w:left="360"/>
        <w:jc w:val="both"/>
        <w:rPr>
          <w:color w:val="000000" w:themeColor="text1"/>
        </w:rPr>
      </w:pPr>
      <w:r w:rsidRPr="009C06B9">
        <w:rPr>
          <w:color w:val="000000" w:themeColor="text1"/>
        </w:rPr>
        <w:t>The workshop layout has been defined to separate and sequence the main process areas: raw-material storage, charging and mixing, spray drying, furnace area, post-processing / milling, packaging, finished-product storage, and technical utility areas. This layout supports logical material flow, contamination control, easier maintenance access, and safer separation between thermal operations and warehousing functions.</w:t>
      </w:r>
    </w:p>
    <w:p w14:paraId="6D03F42C" w14:textId="70A1EB58" w:rsidR="009C06B9" w:rsidRPr="009C06B9" w:rsidRDefault="009C06B9" w:rsidP="009C06B9">
      <w:pPr>
        <w:ind w:left="360"/>
        <w:jc w:val="both"/>
        <w:rPr>
          <w:color w:val="000000" w:themeColor="text1"/>
        </w:rPr>
      </w:pPr>
      <w:r w:rsidRPr="009C06B9">
        <w:rPr>
          <w:color w:val="000000" w:themeColor="text1"/>
        </w:rPr>
        <w:t xml:space="preserve">The main operating assumptions include stable raw-material quality within defined incoming-specification windows, reliable supply of electricity, water, nitrogen, and thermal energy, and controlled process conditions during the most sensitive stages, </w:t>
      </w:r>
      <w:r w:rsidRPr="009C06B9">
        <w:rPr>
          <w:color w:val="000000" w:themeColor="text1"/>
        </w:rPr>
        <w:lastRenderedPageBreak/>
        <w:t>particularly spray drying, calcination, and post-milling. The main sensitivities of the process are expected to include variability in precursor quality, moisture control, contamination risk, temperature profile in calcination, residence time, furnace atmosphere, and milling intensity. Since these variables have a strong influence on final crystallinity, morphology, Fe:P balance, impurity levels, and electrochemical performance, the process design includes both analytical verification and digitalized monitoring in order to maintain operation within validated windows.</w:t>
      </w:r>
    </w:p>
    <w:p w14:paraId="659416B4" w14:textId="1C4C397D" w:rsidR="009C06B9" w:rsidRPr="009C06B9" w:rsidRDefault="009C06B9" w:rsidP="009C06B9">
      <w:pPr>
        <w:ind w:left="360"/>
        <w:jc w:val="both"/>
        <w:rPr>
          <w:color w:val="000000" w:themeColor="text1"/>
        </w:rPr>
      </w:pPr>
      <w:r w:rsidRPr="009C06B9">
        <w:rPr>
          <w:color w:val="000000" w:themeColor="text1"/>
        </w:rPr>
        <w:t>The maintenance philosophy will combine preventive, predictive, and condition-based maintenance, with particular focus on high-criticality equipment such as spray-dryer atomization systems, milling equipment, calcination furnaces, powder-conveying units, sieving systems, magnetic separators, and analytical instrumentation. The modular structure of the plant also improves maintainability by allowing line-by-line intervention with reduced impact on total site output.</w:t>
      </w:r>
    </w:p>
    <w:p w14:paraId="620C2E79" w14:textId="60383774" w:rsidR="009C06B9" w:rsidRPr="009C06B9" w:rsidRDefault="009C06B9" w:rsidP="009C06B9">
      <w:pPr>
        <w:ind w:left="360"/>
        <w:jc w:val="both"/>
        <w:rPr>
          <w:color w:val="000000" w:themeColor="text1"/>
          <w:u w:val="single"/>
        </w:rPr>
      </w:pPr>
      <w:r w:rsidRPr="009C06B9">
        <w:rPr>
          <w:color w:val="000000" w:themeColor="text1"/>
          <w:u w:val="single"/>
        </w:rPr>
        <w:t>Safety, reliability, technical performance, and standards</w:t>
      </w:r>
    </w:p>
    <w:p w14:paraId="5DF4C596" w14:textId="5E07A1A1" w:rsidR="009C06B9" w:rsidRPr="000E58F6" w:rsidRDefault="009C06B9" w:rsidP="009C06B9">
      <w:pPr>
        <w:ind w:left="360"/>
        <w:jc w:val="both"/>
        <w:rPr>
          <w:color w:val="000000" w:themeColor="text1"/>
          <w:highlight w:val="yellow"/>
        </w:rPr>
      </w:pPr>
      <w:commentRangeStart w:id="0"/>
      <w:r w:rsidRPr="000E58F6">
        <w:rPr>
          <w:color w:val="000000" w:themeColor="text1"/>
          <w:highlight w:val="yellow"/>
        </w:rPr>
        <w:t>The plant will be designed and operated with a strong focus on industrial safety, reliability, and product-quality consistency, as required for fine-powder battery-material production. Key safety aspects include powder-handling safety, dust and contamination control, thermal-process safety, gas-management safety, fire detection and protection, occupational exposure control, and safe operation of conveying, milling, drying, and calcination systems. Since the process involves fine powders and high-temperature stages, the detailed engineering phase should include the relevant hazard studies, including HAZID/HAZOP and, where applicable, dust explosion / ATEX assessment.</w:t>
      </w:r>
    </w:p>
    <w:p w14:paraId="2BA7B84F" w14:textId="2A339A28" w:rsidR="009C06B9" w:rsidRPr="009C06B9" w:rsidRDefault="009C06B9" w:rsidP="009C06B9">
      <w:pPr>
        <w:ind w:left="360"/>
        <w:jc w:val="both"/>
        <w:rPr>
          <w:color w:val="000000" w:themeColor="text1"/>
        </w:rPr>
      </w:pPr>
      <w:r w:rsidRPr="000E58F6">
        <w:rPr>
          <w:color w:val="000000" w:themeColor="text1"/>
          <w:highlight w:val="yellow"/>
        </w:rPr>
        <w:t>Reliability will be enhanced through the combination of modular production lines, digital monitoring, inline and atline quality checks, preventive maintenance, and controlled operating windows. Technical performance will be measured through strict control of material properties such as phase purity, elemental composition, Fe:P ratio, particle-size distribution, specific surface area, tap density, pellet density, electrode press density, moisture, magnetic impurities, and electrochemical consistency. The project should be aligned with the applicable Italian and EU industrial, environmental, machinery, and occupational safety regulations, and is expected to operate under recognized management systems such as ISO 9001, ISO 14001, and ISO 45001, with additional standards and compliance frameworks to be specified during detailed project development.</w:t>
      </w:r>
      <w:commentRangeEnd w:id="0"/>
      <w:r w:rsidR="000E58F6" w:rsidRPr="009C06B9">
        <w:rPr>
          <w:rStyle w:val="CommentReference"/>
          <w:color w:val="000000" w:themeColor="text1"/>
          <w:sz w:val="24"/>
          <w:szCs w:val="24"/>
        </w:rPr>
        <w:commentReference w:id="0"/>
      </w:r>
    </w:p>
    <w:p w14:paraId="7E98A99D" w14:textId="743E10FA" w:rsidR="009C06B9" w:rsidRPr="009C06B9" w:rsidRDefault="009C06B9" w:rsidP="009C06B9">
      <w:pPr>
        <w:ind w:left="360"/>
        <w:jc w:val="both"/>
        <w:rPr>
          <w:color w:val="000000" w:themeColor="text1"/>
          <w:u w:val="single"/>
        </w:rPr>
      </w:pPr>
      <w:r w:rsidRPr="009C06B9">
        <w:rPr>
          <w:color w:val="000000" w:themeColor="text1"/>
          <w:u w:val="single"/>
        </w:rPr>
        <w:t>Critical interfaces and interface management</w:t>
      </w:r>
    </w:p>
    <w:p w14:paraId="41AFD8C2" w14:textId="77777777" w:rsidR="009C06B9" w:rsidRPr="009C06B9" w:rsidRDefault="009C06B9" w:rsidP="009C06B9">
      <w:pPr>
        <w:ind w:left="360"/>
        <w:jc w:val="both"/>
        <w:rPr>
          <w:color w:val="000000" w:themeColor="text1"/>
        </w:rPr>
      </w:pPr>
      <w:r w:rsidRPr="009C06B9">
        <w:rPr>
          <w:color w:val="000000" w:themeColor="text1"/>
        </w:rPr>
        <w:lastRenderedPageBreak/>
        <w:t>The main technical interfaces in the plant are between raw-material storage and dosing, slurry preparation and milling, wet processing and spray drying, spray drying and calcination, calcination and downstream milling / post-processing, powder treatment and packaging, and process equipment and site utilities. Additional important interfaces exist between the production lines, the digital control architecture, and the quality-control laboratories.</w:t>
      </w:r>
    </w:p>
    <w:p w14:paraId="3D606611" w14:textId="77777777" w:rsidR="009C06B9" w:rsidRPr="009C06B9" w:rsidRDefault="009C06B9" w:rsidP="009C06B9">
      <w:pPr>
        <w:ind w:left="360"/>
        <w:jc w:val="both"/>
        <w:rPr>
          <w:color w:val="000000" w:themeColor="text1"/>
        </w:rPr>
      </w:pPr>
      <w:r w:rsidRPr="009C06B9">
        <w:rPr>
          <w:color w:val="000000" w:themeColor="text1"/>
        </w:rPr>
        <w:t>These interfaces will be handled through defined material-transfer criteria, process interlocks, equipment integration logic, utility-balancing philosophy, commissioning protocols, and quality-control checkpoints. Particular attention will be given to the transfer of critical parameters from one step to the next, such as slurry solids content, precursor dispersion quality, dried precursor characteristics, furnace feed consistency, calcined-powder reactivity, post-milling PSD, and contamination status. Interface risks will be reduced through both plant layout and control-system design, ensuring that deviations can be detected early and corrected before they propagate downstream.</w:t>
      </w:r>
    </w:p>
    <w:p w14:paraId="6BF1592B" w14:textId="1CD91D1F" w:rsidR="009C06B9" w:rsidRPr="009C06B9" w:rsidRDefault="009C06B9" w:rsidP="009C06B9">
      <w:pPr>
        <w:ind w:left="360"/>
        <w:jc w:val="both"/>
        <w:rPr>
          <w:color w:val="000000" w:themeColor="text1"/>
          <w:u w:val="single"/>
        </w:rPr>
      </w:pPr>
      <w:r w:rsidRPr="009C06B9">
        <w:rPr>
          <w:color w:val="000000" w:themeColor="text1"/>
          <w:u w:val="single"/>
        </w:rPr>
        <w:t>Digitalization and quality-control architecture</w:t>
      </w:r>
    </w:p>
    <w:p w14:paraId="29EE81B5" w14:textId="7E215EDD" w:rsidR="009C06B9" w:rsidRPr="009C06B9" w:rsidRDefault="009C06B9" w:rsidP="009C06B9">
      <w:pPr>
        <w:ind w:left="360"/>
        <w:jc w:val="both"/>
        <w:rPr>
          <w:color w:val="000000" w:themeColor="text1"/>
        </w:rPr>
      </w:pPr>
      <w:r w:rsidRPr="009C06B9">
        <w:rPr>
          <w:color w:val="000000" w:themeColor="text1"/>
        </w:rPr>
        <w:t>A central feature of the chosen technological solution is the integration of a digital-twin-supported process-control framework, especially around the most sensitive stages of calcination and milling. Digital models will be used to correlate process parameters such as temperature profile, residence time, atmosphere control, precursor characteristics, and milling intensity with the resulting material properties, including crystallinity, particle morphology, PSD, tap density, and electrochemical behavior. This will support faster process optimization, improved reproducibility, reduced off-spec output, and faster development of customer-specific product grades.</w:t>
      </w:r>
    </w:p>
    <w:p w14:paraId="411ACE06" w14:textId="19D08FAF" w:rsidR="008A2799" w:rsidRPr="00F4736B" w:rsidRDefault="009C06B9" w:rsidP="00F4736B">
      <w:pPr>
        <w:ind w:left="360"/>
        <w:jc w:val="both"/>
        <w:rPr>
          <w:color w:val="000000" w:themeColor="text1"/>
        </w:rPr>
      </w:pPr>
      <w:r w:rsidRPr="009C06B9">
        <w:rPr>
          <w:color w:val="000000" w:themeColor="text1"/>
        </w:rPr>
        <w:t>To support stable operation and product consistency, the plant will also incorporate inline and atline monitoring systems for the continuous or high-frequency characterization of critical parameters such as D10, D50, D90, specific surface area, and tap density. Quality assurance will be further reinforced by analytical methods such as XRD, Raman spectroscopy, ICP-based elemental analysis, and magnetic impurity control, integrated with plant data systems. This architecture will strengthen traceability, improve root-cause analysis, reduce manual intervention, and support consistent compliance with customer specifications and European quality expectations for battery materials.</w:t>
      </w:r>
    </w:p>
    <w:sectPr w:rsidR="008A2799" w:rsidRPr="00F473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Berlanga" w:date="2026-04-03T16:33:00Z" w:initials="CB">
    <w:p w14:paraId="1D90AFAC" w14:textId="77777777" w:rsidR="000E58F6" w:rsidRDefault="000E58F6" w:rsidP="000E58F6">
      <w:pPr>
        <w:pStyle w:val="CommentText"/>
      </w:pPr>
      <w:r>
        <w:rPr>
          <w:rStyle w:val="CommentReference"/>
        </w:rPr>
        <w:annotationRef/>
      </w:r>
      <w:r>
        <w:t>More critical area as we barely have info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0AF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311AD4" w16cex:dateUtc="2026-04-03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0AFAC" w16cid:durableId="6C311A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879EC"/>
    <w:multiLevelType w:val="hybridMultilevel"/>
    <w:tmpl w:val="A56CCD4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5868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Berlanga">
    <w15:presenceInfo w15:providerId="AD" w15:userId="S::Carlos.Berlanga@faam.com::7e3efcf4-6cbb-412b-a621-4d37e75c31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9D1"/>
    <w:rsid w:val="00011CA4"/>
    <w:rsid w:val="00022D69"/>
    <w:rsid w:val="00033CF5"/>
    <w:rsid w:val="0003507B"/>
    <w:rsid w:val="0003628C"/>
    <w:rsid w:val="0006247F"/>
    <w:rsid w:val="00085294"/>
    <w:rsid w:val="000E58F6"/>
    <w:rsid w:val="0011768F"/>
    <w:rsid w:val="00124D71"/>
    <w:rsid w:val="00141D05"/>
    <w:rsid w:val="00146635"/>
    <w:rsid w:val="00164B52"/>
    <w:rsid w:val="00180CF6"/>
    <w:rsid w:val="001A7EE0"/>
    <w:rsid w:val="001B052F"/>
    <w:rsid w:val="001D2C7E"/>
    <w:rsid w:val="001D6AEE"/>
    <w:rsid w:val="001F0616"/>
    <w:rsid w:val="00217F96"/>
    <w:rsid w:val="00222572"/>
    <w:rsid w:val="002306D8"/>
    <w:rsid w:val="00283C70"/>
    <w:rsid w:val="002873DC"/>
    <w:rsid w:val="0029127E"/>
    <w:rsid w:val="0029463A"/>
    <w:rsid w:val="002C6B91"/>
    <w:rsid w:val="002E73C2"/>
    <w:rsid w:val="002F6AA6"/>
    <w:rsid w:val="00331B46"/>
    <w:rsid w:val="00342583"/>
    <w:rsid w:val="003534BE"/>
    <w:rsid w:val="003C1519"/>
    <w:rsid w:val="003E6466"/>
    <w:rsid w:val="004455BF"/>
    <w:rsid w:val="0046793C"/>
    <w:rsid w:val="00477ABE"/>
    <w:rsid w:val="004A0B89"/>
    <w:rsid w:val="004C7CCD"/>
    <w:rsid w:val="004E19D9"/>
    <w:rsid w:val="00527AD4"/>
    <w:rsid w:val="00584686"/>
    <w:rsid w:val="00605044"/>
    <w:rsid w:val="006133AC"/>
    <w:rsid w:val="006358B6"/>
    <w:rsid w:val="006650FE"/>
    <w:rsid w:val="006A0901"/>
    <w:rsid w:val="006E5389"/>
    <w:rsid w:val="006F0B15"/>
    <w:rsid w:val="0074058D"/>
    <w:rsid w:val="00740DDA"/>
    <w:rsid w:val="00770A87"/>
    <w:rsid w:val="0078121F"/>
    <w:rsid w:val="007B24A9"/>
    <w:rsid w:val="007B512B"/>
    <w:rsid w:val="007D654B"/>
    <w:rsid w:val="00820D54"/>
    <w:rsid w:val="00831174"/>
    <w:rsid w:val="00894F98"/>
    <w:rsid w:val="008A1B71"/>
    <w:rsid w:val="008A2799"/>
    <w:rsid w:val="008E7C57"/>
    <w:rsid w:val="00933FFC"/>
    <w:rsid w:val="009A2A92"/>
    <w:rsid w:val="009B3F04"/>
    <w:rsid w:val="009C06B9"/>
    <w:rsid w:val="009C0AB5"/>
    <w:rsid w:val="009D716E"/>
    <w:rsid w:val="009E16A5"/>
    <w:rsid w:val="009F6610"/>
    <w:rsid w:val="00A02C58"/>
    <w:rsid w:val="00A612B9"/>
    <w:rsid w:val="00A7283D"/>
    <w:rsid w:val="00A81189"/>
    <w:rsid w:val="00A9362B"/>
    <w:rsid w:val="00AF0629"/>
    <w:rsid w:val="00B012FA"/>
    <w:rsid w:val="00B02032"/>
    <w:rsid w:val="00B11663"/>
    <w:rsid w:val="00B23B9B"/>
    <w:rsid w:val="00B340EA"/>
    <w:rsid w:val="00B649F4"/>
    <w:rsid w:val="00B65F00"/>
    <w:rsid w:val="00B74A6E"/>
    <w:rsid w:val="00BA62DE"/>
    <w:rsid w:val="00BB3B22"/>
    <w:rsid w:val="00BC5376"/>
    <w:rsid w:val="00BF0642"/>
    <w:rsid w:val="00C0172C"/>
    <w:rsid w:val="00C25606"/>
    <w:rsid w:val="00C52E3C"/>
    <w:rsid w:val="00C5374D"/>
    <w:rsid w:val="00C574D2"/>
    <w:rsid w:val="00CA27B5"/>
    <w:rsid w:val="00D25F54"/>
    <w:rsid w:val="00D32E6C"/>
    <w:rsid w:val="00D477B8"/>
    <w:rsid w:val="00D55EBC"/>
    <w:rsid w:val="00D9640E"/>
    <w:rsid w:val="00DA57D5"/>
    <w:rsid w:val="00DB04E0"/>
    <w:rsid w:val="00DB78CC"/>
    <w:rsid w:val="00DD09D1"/>
    <w:rsid w:val="00DD2781"/>
    <w:rsid w:val="00DD696E"/>
    <w:rsid w:val="00DE7BDE"/>
    <w:rsid w:val="00DF765B"/>
    <w:rsid w:val="00E27140"/>
    <w:rsid w:val="00E6710E"/>
    <w:rsid w:val="00EA0FF0"/>
    <w:rsid w:val="00EA5026"/>
    <w:rsid w:val="00EB7FE7"/>
    <w:rsid w:val="00EC102D"/>
    <w:rsid w:val="00EC48EF"/>
    <w:rsid w:val="00F31B90"/>
    <w:rsid w:val="00F4736B"/>
    <w:rsid w:val="00FA0E5B"/>
    <w:rsid w:val="00FA379E"/>
    <w:rsid w:val="00FA533A"/>
    <w:rsid w:val="00FA7DCA"/>
    <w:rsid w:val="00FC0FCA"/>
    <w:rsid w:val="00FC1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690D"/>
  <w15:chartTrackingRefBased/>
  <w15:docId w15:val="{1595BD2F-F5AA-4796-A532-2A7C26B3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9D1"/>
    <w:rPr>
      <w:rFonts w:eastAsiaTheme="majorEastAsia" w:cstheme="majorBidi"/>
      <w:color w:val="272727" w:themeColor="text1" w:themeTint="D8"/>
    </w:rPr>
  </w:style>
  <w:style w:type="paragraph" w:styleId="Title">
    <w:name w:val="Title"/>
    <w:basedOn w:val="Normal"/>
    <w:next w:val="Normal"/>
    <w:link w:val="TitleChar"/>
    <w:uiPriority w:val="10"/>
    <w:qFormat/>
    <w:rsid w:val="00DD0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9D1"/>
    <w:pPr>
      <w:spacing w:before="160"/>
      <w:jc w:val="center"/>
    </w:pPr>
    <w:rPr>
      <w:i/>
      <w:iCs/>
      <w:color w:val="404040" w:themeColor="text1" w:themeTint="BF"/>
    </w:rPr>
  </w:style>
  <w:style w:type="character" w:customStyle="1" w:styleId="QuoteChar">
    <w:name w:val="Quote Char"/>
    <w:basedOn w:val="DefaultParagraphFont"/>
    <w:link w:val="Quote"/>
    <w:uiPriority w:val="29"/>
    <w:rsid w:val="00DD09D1"/>
    <w:rPr>
      <w:i/>
      <w:iCs/>
      <w:color w:val="404040" w:themeColor="text1" w:themeTint="BF"/>
    </w:rPr>
  </w:style>
  <w:style w:type="paragraph" w:styleId="ListParagraph">
    <w:name w:val="List Paragraph"/>
    <w:basedOn w:val="Normal"/>
    <w:uiPriority w:val="34"/>
    <w:qFormat/>
    <w:rsid w:val="00DD09D1"/>
    <w:pPr>
      <w:ind w:left="720"/>
      <w:contextualSpacing/>
    </w:pPr>
  </w:style>
  <w:style w:type="character" w:styleId="IntenseEmphasis">
    <w:name w:val="Intense Emphasis"/>
    <w:basedOn w:val="DefaultParagraphFont"/>
    <w:uiPriority w:val="21"/>
    <w:qFormat/>
    <w:rsid w:val="00DD09D1"/>
    <w:rPr>
      <w:i/>
      <w:iCs/>
      <w:color w:val="0F4761" w:themeColor="accent1" w:themeShade="BF"/>
    </w:rPr>
  </w:style>
  <w:style w:type="paragraph" w:styleId="IntenseQuote">
    <w:name w:val="Intense Quote"/>
    <w:basedOn w:val="Normal"/>
    <w:next w:val="Normal"/>
    <w:link w:val="IntenseQuoteChar"/>
    <w:uiPriority w:val="30"/>
    <w:qFormat/>
    <w:rsid w:val="00DD0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9D1"/>
    <w:rPr>
      <w:i/>
      <w:iCs/>
      <w:color w:val="0F4761" w:themeColor="accent1" w:themeShade="BF"/>
    </w:rPr>
  </w:style>
  <w:style w:type="character" w:styleId="IntenseReference">
    <w:name w:val="Intense Reference"/>
    <w:basedOn w:val="DefaultParagraphFont"/>
    <w:uiPriority w:val="32"/>
    <w:qFormat/>
    <w:rsid w:val="00DD09D1"/>
    <w:rPr>
      <w:b/>
      <w:bCs/>
      <w:smallCaps/>
      <w:color w:val="0F4761" w:themeColor="accent1" w:themeShade="BF"/>
      <w:spacing w:val="5"/>
    </w:rPr>
  </w:style>
  <w:style w:type="character" w:styleId="CommentReference">
    <w:name w:val="annotation reference"/>
    <w:basedOn w:val="DefaultParagraphFont"/>
    <w:uiPriority w:val="99"/>
    <w:semiHidden/>
    <w:unhideWhenUsed/>
    <w:rsid w:val="00740DDA"/>
    <w:rPr>
      <w:sz w:val="16"/>
      <w:szCs w:val="16"/>
    </w:rPr>
  </w:style>
  <w:style w:type="paragraph" w:styleId="CommentText">
    <w:name w:val="annotation text"/>
    <w:basedOn w:val="Normal"/>
    <w:link w:val="CommentTextChar"/>
    <w:uiPriority w:val="99"/>
    <w:unhideWhenUsed/>
    <w:rsid w:val="00740DDA"/>
    <w:pPr>
      <w:spacing w:line="240" w:lineRule="auto"/>
    </w:pPr>
    <w:rPr>
      <w:sz w:val="20"/>
      <w:szCs w:val="20"/>
    </w:rPr>
  </w:style>
  <w:style w:type="character" w:customStyle="1" w:styleId="CommentTextChar">
    <w:name w:val="Comment Text Char"/>
    <w:basedOn w:val="DefaultParagraphFont"/>
    <w:link w:val="CommentText"/>
    <w:uiPriority w:val="99"/>
    <w:rsid w:val="00740DDA"/>
    <w:rPr>
      <w:sz w:val="20"/>
      <w:szCs w:val="20"/>
    </w:rPr>
  </w:style>
  <w:style w:type="paragraph" w:styleId="CommentSubject">
    <w:name w:val="annotation subject"/>
    <w:basedOn w:val="CommentText"/>
    <w:next w:val="CommentText"/>
    <w:link w:val="CommentSubjectChar"/>
    <w:uiPriority w:val="99"/>
    <w:semiHidden/>
    <w:unhideWhenUsed/>
    <w:rsid w:val="00740DDA"/>
    <w:rPr>
      <w:b/>
      <w:bCs/>
    </w:rPr>
  </w:style>
  <w:style w:type="character" w:customStyle="1" w:styleId="CommentSubjectChar">
    <w:name w:val="Comment Subject Char"/>
    <w:basedOn w:val="CommentTextChar"/>
    <w:link w:val="CommentSubject"/>
    <w:uiPriority w:val="99"/>
    <w:semiHidden/>
    <w:rsid w:val="00740D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BE6D26154C8E43A9B5BDFD7D45D60F" ma:contentTypeVersion="9" ma:contentTypeDescription="Create a new document." ma:contentTypeScope="" ma:versionID="fccbcdb36acdcb19e97ab6d89afbc252">
  <xsd:schema xmlns:xsd="http://www.w3.org/2001/XMLSchema" xmlns:xs="http://www.w3.org/2001/XMLSchema" xmlns:p="http://schemas.microsoft.com/office/2006/metadata/properties" xmlns:ns2="f50bb210-e26d-459f-a77d-c02f85810f8f" targetNamespace="http://schemas.microsoft.com/office/2006/metadata/properties" ma:root="true" ma:fieldsID="24be41079bb9a1decf42ced76e1a639d" ns2:_="">
    <xsd:import namespace="f50bb210-e26d-459f-a77d-c02f85810f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0bb210-e26d-459f-a77d-c02f85810f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bde5b1-6318-4ca9-9322-ef122c1a3a6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0bb210-e26d-459f-a77d-c02f85810f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91D98E-6456-4EEA-AEE2-1BD145D03AB6}">
  <ds:schemaRefs>
    <ds:schemaRef ds:uri="http://schemas.microsoft.com/sharepoint/v3/contenttype/forms"/>
  </ds:schemaRefs>
</ds:datastoreItem>
</file>

<file path=customXml/itemProps2.xml><?xml version="1.0" encoding="utf-8"?>
<ds:datastoreItem xmlns:ds="http://schemas.openxmlformats.org/officeDocument/2006/customXml" ds:itemID="{E4421665-81AA-4B51-A4CA-1E2C00A25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0bb210-e26d-459f-a77d-c02f85810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17795-82C2-4B44-81E0-FADD963AB87E}">
  <ds:schemaRefs>
    <ds:schemaRef ds:uri="http://schemas.microsoft.com/office/2006/metadata/properties"/>
    <ds:schemaRef ds:uri="http://schemas.microsoft.com/office/infopath/2007/PartnerControls"/>
    <ds:schemaRef ds:uri="f50bb210-e26d-459f-a77d-c02f85810f8f"/>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2442</Words>
  <Characters>13925</Characters>
  <Application>Microsoft Office Word</Application>
  <DocSecurity>0</DocSecurity>
  <Lines>116</Lines>
  <Paragraphs>32</Paragraphs>
  <ScaleCrop>false</ScaleCrop>
  <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Berlanga</dc:creator>
  <cp:keywords/>
  <dc:description/>
  <cp:lastModifiedBy>Muhammad Abdelhamid</cp:lastModifiedBy>
  <cp:revision>2</cp:revision>
  <dcterms:created xsi:type="dcterms:W3CDTF">2026-04-04T21:27:00Z</dcterms:created>
  <dcterms:modified xsi:type="dcterms:W3CDTF">2026-04-04T21:27:00Z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0x01010018BE6D26154C8E43A9B5BDFD7D45D60F</vt:lpwstr>
  </property>
  <property fmtid="{D5CDD505-2E9C-101B-9397-08002B2CF9AE}" pid="3" name="MediaServiceImageTags">
    <vt:lpwstr/>
  </property>
</Properties>
</file>