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2E5C8A"/>
          <w:sz w:val="22"/>
          <w:szCs w:val="22"/>
        </w:rPr>
        <w:t xml:space="preserve">SAOCHECK AI PROJECT</w:t>
      </w:r>
    </w:p>
    <w:p>
      <w:pPr>
        <w:spacing w:after="60"/>
      </w:pPr>
      <w:r>
        <w:rPr>
          <w:rFonts w:ascii="Calibri" w:cs="Calibri" w:eastAsia="Calibri" w:hAnsi="Calibri"/>
          <w:b/>
          <w:bCs/>
          <w:color w:val="1F3864"/>
          <w:sz w:val="44"/>
          <w:szCs w:val="44"/>
        </w:rPr>
        <w:t xml:space="preserve">Model Presentation Brief</w:t>
      </w:r>
    </w:p>
    <w:p>
      <w:pPr>
        <w:spacing w:after="300"/>
      </w:pPr>
      <w:r>
        <w:rPr>
          <w:rFonts w:ascii="Calibri" w:cs="Calibri" w:eastAsia="Calibri" w:hAnsi="Calibri"/>
          <w:i/>
          <w:iCs/>
          <w:color w:val="595959"/>
          <w:sz w:val="24"/>
          <w:szCs w:val="24"/>
        </w:rPr>
        <w:t xml:space="preserve">Multiclass fine-tuning, binary fine-tuning, and LLM + RAG architecture</w:t>
      </w:r>
    </w:p>
    <w:tbl>
      <w:tblPr>
        <w:tblW w:type="dxa" w:w="950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300"/>
      </w:tblGrid>
      <w:tr>
        <w:trPr>
          <w:tblHeader/>
        </w:trPr>
        <w:tc>
          <w:tcPr>
            <w:tcW w:type="dxa" w:w="3200"/>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
            </w:r>
          </w:p>
        </w:tc>
        <w:tc>
          <w:tcPr>
            <w:tcW w:type="dxa" w:w="6300"/>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8"/>
                <w:szCs w:val="18"/>
              </w:rPr>
              <w:t xml:space="preserve"/>
            </w:r>
          </w:p>
        </w:tc>
      </w:tr>
      <w:tr>
        <w:tc>
          <w:tcPr>
            <w:tcW w:type="dxa" w:w="32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18"/>
                <w:szCs w:val="18"/>
              </w:rPr>
              <w:t xml:space="preserve">Prepared for</w:t>
            </w:r>
          </w:p>
        </w:tc>
        <w:tc>
          <w:tcPr>
            <w:tcW w:type="dxa" w:w="63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Code for Africa (CfA) — AI Engineer · WenakLabs (N'Djamena)</w:t>
            </w:r>
          </w:p>
        </w:tc>
      </w:tr>
      <w:tr>
        <w:tc>
          <w:tcPr>
            <w:tcW w:type="dxa" w:w="320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18"/>
                <w:szCs w:val="18"/>
              </w:rPr>
              <w:t xml:space="preserve">Presented by</w:t>
            </w:r>
          </w:p>
        </w:tc>
        <w:tc>
          <w:tcPr>
            <w:tcW w:type="dxa" w:w="63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Mr. Adjinsala — CfA AI for Good Fellow</w:t>
            </w:r>
          </w:p>
        </w:tc>
      </w:tr>
      <w:tr>
        <w:tc>
          <w:tcPr>
            <w:tcW w:type="dxa" w:w="32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18"/>
                <w:szCs w:val="18"/>
              </w:rPr>
              <w:t xml:space="preserve">Context</w:t>
            </w:r>
          </w:p>
        </w:tc>
        <w:tc>
          <w:tcPr>
            <w:tcW w:type="dxa" w:w="63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October 2026 Sprint — CfA Fellowship / WenakLabs Partnership</w:t>
            </w:r>
          </w:p>
        </w:tc>
      </w:tr>
      <w:tr>
        <w:tc>
          <w:tcPr>
            <w:tcW w:type="dxa" w:w="320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18"/>
                <w:szCs w:val="18"/>
              </w:rPr>
              <w:t xml:space="preserve">Purpose of meeting</w:t>
            </w:r>
          </w:p>
        </w:tc>
        <w:tc>
          <w:tcPr>
            <w:tcW w:type="dxa" w:w="63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Technical presentation of the SaoCheck AI prototype (Wednesday)</w:t>
            </w:r>
          </w:p>
        </w:tc>
      </w:tr>
    </w:tbl>
    <w:p>
      <w:pPr>
        <w:spacing w:after="200"/>
      </w:pPr>
    </w:p>
    <w:tbl>
      <w:tblPr>
        <w:tblW w:type="pct" w:w="100%"/>
        <w:tblBorders>
          <w:top w:val="single" w:color="B45F06" w:sz="4"/>
          <w:left w:val="single" w:color="B45F06" w:sz="4"/>
          <w:bottom w:val="single" w:color="B45F06" w:sz="4"/>
          <w:right w:val="single" w:color="B45F06" w:sz="4"/>
          <w:insideH w:val="none"/>
          <w:insideV w:val="none"/>
        </w:tblBorders>
      </w:tblPr>
      <w:tblGrid>
        <w:gridCol w:w="100"/>
      </w:tblGrid>
      <w:tr>
        <w:tc>
          <w:tcPr>
            <w:shd w:fill="FCEFDD" w:val="clear"/>
            <w:tcMar>
              <w:top w:type="dxa" w:w="160"/>
              <w:left w:type="dxa" w:w="200"/>
              <w:bottom w:type="dxa" w:w="160"/>
              <w:right w:type="dxa" w:w="200"/>
            </w:tcMar>
          </w:tcPr>
          <w:p>
            <w:pPr>
              <w:spacing w:after="80"/>
            </w:pPr>
            <w:r>
              <w:rPr>
                <w:rFonts w:ascii="Calibri" w:cs="Calibri" w:eastAsia="Calibri" w:hAnsi="Calibri"/>
                <w:b/>
                <w:bCs/>
                <w:color w:val="B45F06"/>
                <w:sz w:val="21"/>
                <w:szCs w:val="21"/>
              </w:rPr>
              <w:t xml:space="preserve">⚠ Essential methodological note on data</w:t>
            </w:r>
          </w:p>
          <w:p>
            <w:pPr>
              <w:spacing w:after="40" w:line="264"/>
            </w:pPr>
            <w:r>
              <w:rPr>
                <w:rFonts w:ascii="Calibri" w:cs="Calibri" w:eastAsia="Calibri" w:hAnsi="Calibri"/>
                <w:color w:val="262626"/>
                <w:sz w:val="20"/>
                <w:szCs w:val="20"/>
              </w:rPr>
              <w:t xml:space="preserve">In the absence, at this stage, of an annotated Chadian/Cameroonian fact-checking corpus, the three models presented in this document were trained and evaluated on the public X-FACT dataset (French configuration, 198 observations).</w:t>
            </w:r>
          </w:p>
          <w:p>
            <w:pPr>
              <w:spacing w:after="40" w:line="264"/>
            </w:pPr>
            <w:r>
              <w:rPr>
                <w:rFonts w:ascii="Calibri" w:cs="Calibri" w:eastAsia="Calibri" w:hAnsi="Calibri"/>
                <w:color w:val="262626"/>
                <w:sz w:val="20"/>
                <w:szCs w:val="20"/>
              </w:rPr>
              <w:t xml:space="preserve">X-FACT is NOT the final corpus targeted for SaoCheck: it served as a testbed to validate the end-to-end technical pipeline (data loading, tokenization, fine-tuning, evaluation) and to objectively demonstrate, with concrete figures, the nature of the challenge SaoCheck faces — namely the lack of locally annotated data.</w:t>
            </w:r>
          </w:p>
          <w:p>
            <w:pPr>
              <w:spacing w:after="40" w:line="264"/>
            </w:pPr>
            <w:r>
              <w:rPr>
                <w:rFonts w:ascii="Calibri" w:cs="Calibri" w:eastAsia="Calibri" w:hAnsi="Calibri"/>
                <w:color w:val="262626"/>
                <w:sz w:val="20"/>
                <w:szCs w:val="20"/>
              </w:rPr>
              <w:t xml:space="preserve">The results below should therefore be read as a validation of technical feasibility and a demonstration of method, not as a measure of real-world performance.</w:t>
            </w:r>
          </w:p>
        </w:tc>
      </w:tr>
    </w:tbl>
    <w:p>
      <w:r>
        <w:br w:type="page"/>
      </w:r>
    </w:p>
    <w:p>
      <w:pPr>
        <w:pStyle w:val="Heading1"/>
        <w:pBdr>
          <w:bottom w:val="single" w:color="1F3864" w:sz="6" w:space="4"/>
        </w:pBdr>
        <w:spacing w:after="200" w:before="400"/>
      </w:pPr>
      <w:r>
        <w:rPr>
          <w:rFonts w:ascii="Calibri" w:cs="Calibri" w:eastAsia="Calibri" w:hAnsi="Calibri"/>
          <w:b/>
          <w:bCs/>
          <w:color w:val="1F3864"/>
          <w:sz w:val="30"/>
          <w:szCs w:val="30"/>
        </w:rPr>
        <w:t xml:space="preserve">1. Executive Summary</w:t>
      </w:r>
    </w:p>
    <w:p>
      <w:pPr>
        <w:spacing w:after="160" w:line="288"/>
      </w:pPr>
      <w:r>
        <w:rPr>
          <w:rFonts w:ascii="Calibri" w:cs="Calibri" w:eastAsia="Calibri" w:hAnsi="Calibri"/>
          <w:color w:val="262626"/>
          <w:sz w:val="21"/>
          <w:szCs w:val="21"/>
        </w:rPr>
        <w:t xml:space="preserve">Three approaches were tested or designed for SaoCheck AI's classification engine, in a progressive order: a fine-grained model (5 veracity classes), a simplified model (binary), and a target architecture combining document retrieval and LLM generation (RAG). Each stage addresses a limitation observed in the previous one.</w:t>
      </w:r>
    </w:p>
    <w:tbl>
      <w:tblPr>
        <w:tblW w:type="dxa" w:w="9450"/>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3000"/>
        <w:gridCol w:w="3000"/>
        <w:gridCol w:w="2750"/>
      </w:tblGrid>
      <w:tr>
        <w:trPr>
          <w:tblHeader/>
        </w:trPr>
        <w:tc>
          <w:tcPr>
            <w:tcW w:type="dxa" w:w="700"/>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Model</w:t>
            </w:r>
          </w:p>
        </w:tc>
        <w:tc>
          <w:tcPr>
            <w:tcW w:type="dxa" w:w="3000"/>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8"/>
                <w:szCs w:val="18"/>
              </w:rPr>
              <w:t xml:space="preserve">Approach</w:t>
            </w:r>
          </w:p>
        </w:tc>
        <w:tc>
          <w:tcPr>
            <w:tcW w:type="dxa" w:w="3000"/>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8"/>
                <w:szCs w:val="18"/>
              </w:rPr>
              <w:t xml:space="preserve">Key result</w:t>
            </w:r>
          </w:p>
        </w:tc>
        <w:tc>
          <w:tcPr>
            <w:tcW w:type="dxa" w:w="2750"/>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8"/>
                <w:szCs w:val="18"/>
              </w:rPr>
              <w:t xml:space="preserve">Verdict</w:t>
            </w:r>
          </w:p>
        </w:tc>
      </w:tr>
      <w:tr>
        <w:tc>
          <w:tcPr>
            <w:tcW w:type="dxa" w:w="7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18"/>
                <w:szCs w:val="18"/>
              </w:rPr>
              <w:t xml:space="preserve">1</w:t>
            </w:r>
          </w:p>
        </w:tc>
        <w:tc>
          <w:tcPr>
            <w:tcW w:type="dxa" w:w="30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Fine-tuned CamemBERT — 5 classes</w:t>
            </w:r>
          </w:p>
        </w:tc>
        <w:tc>
          <w:tcPr>
            <w:tcW w:type="dxa" w:w="30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Collapse onto the majority class (constant 36.7% accuracy)</w:t>
            </w:r>
          </w:p>
        </w:tc>
        <w:tc>
          <w:tcPr>
            <w:tcW w:type="dxa" w:w="27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Pipeline validated — model not usable</w:t>
            </w:r>
          </w:p>
        </w:tc>
      </w:tr>
      <w:tr>
        <w:tc>
          <w:tcPr>
            <w:tcW w:type="dxa" w:w="700"/>
            <w:shd w:fill="E2F0E3" w:val="clear"/>
            <w:tcMar>
              <w:top w:type="dxa" w:w="80"/>
              <w:left w:type="dxa" w:w="110"/>
              <w:bottom w:type="dxa" w:w="80"/>
              <w:right w:type="dxa" w:w="110"/>
            </w:tcMar>
            <w:vAlign w:val="center"/>
          </w:tcPr>
          <w:p>
            <w:pPr>
              <w:jc w:val="left"/>
            </w:pPr>
            <w:r>
              <w:rPr>
                <w:rFonts w:ascii="Calibri" w:cs="Calibri" w:eastAsia="Calibri" w:hAnsi="Calibri"/>
                <w:b/>
                <w:bCs/>
                <w:color w:val="262626"/>
                <w:sz w:val="18"/>
                <w:szCs w:val="18"/>
              </w:rPr>
              <w:t xml:space="preserve">2</w:t>
            </w:r>
          </w:p>
        </w:tc>
        <w:tc>
          <w:tcPr>
            <w:tcW w:type="dxa" w:w="3000"/>
            <w:shd w:fill="E2F0E3" w:val="clear"/>
            <w:tcMar>
              <w:top w:type="dxa" w:w="80"/>
              <w:left w:type="dxa" w:w="110"/>
              <w:bottom w:type="dxa" w:w="80"/>
              <w:right w:type="dxa" w:w="110"/>
            </w:tcMar>
            <w:vAlign w:val="center"/>
          </w:tcPr>
          <w:p>
            <w:pPr>
              <w:jc w:val="center"/>
            </w:pPr>
            <w:r>
              <w:rPr>
                <w:rFonts w:ascii="Calibri" w:cs="Calibri" w:eastAsia="Calibri" w:hAnsi="Calibri"/>
                <w:b/>
                <w:bCs/>
                <w:color w:val="262626"/>
                <w:sz w:val="18"/>
                <w:szCs w:val="18"/>
              </w:rPr>
              <w:t xml:space="preserve">Fine-tuned CamemBERT — binary (false / not-false)</w:t>
            </w:r>
          </w:p>
        </w:tc>
        <w:tc>
          <w:tcPr>
            <w:tcW w:type="dxa" w:w="3000"/>
            <w:shd w:fill="E2F0E3" w:val="clear"/>
            <w:tcMar>
              <w:top w:type="dxa" w:w="80"/>
              <w:left w:type="dxa" w:w="110"/>
              <w:bottom w:type="dxa" w:w="80"/>
              <w:right w:type="dxa" w:w="110"/>
            </w:tcMar>
            <w:vAlign w:val="center"/>
          </w:tcPr>
          <w:p>
            <w:pPr>
              <w:jc w:val="center"/>
            </w:pPr>
            <w:r>
              <w:rPr>
                <w:rFonts w:ascii="Calibri" w:cs="Calibri" w:eastAsia="Calibri" w:hAnsi="Calibri"/>
                <w:b/>
                <w:bCs/>
                <w:color w:val="262626"/>
                <w:sz w:val="18"/>
                <w:szCs w:val="18"/>
              </w:rPr>
              <w:t xml:space="preserve">F1 = 0.744 at the best epoch (80% accuracy)</w:t>
            </w:r>
          </w:p>
        </w:tc>
        <w:tc>
          <w:tcPr>
            <w:tcW w:type="dxa" w:w="2750"/>
            <w:shd w:fill="E2F0E3" w:val="clear"/>
            <w:tcMar>
              <w:top w:type="dxa" w:w="80"/>
              <w:left w:type="dxa" w:w="110"/>
              <w:bottom w:type="dxa" w:w="80"/>
              <w:right w:type="dxa" w:w="110"/>
            </w:tcMar>
            <w:vAlign w:val="center"/>
          </w:tcPr>
          <w:p>
            <w:pPr>
              <w:jc w:val="center"/>
            </w:pPr>
            <w:r>
              <w:rPr>
                <w:rFonts w:ascii="Calibri" w:cs="Calibri" w:eastAsia="Calibri" w:hAnsi="Calibri"/>
                <w:b/>
                <w:bCs/>
                <w:color w:val="262626"/>
                <w:sz w:val="18"/>
                <w:szCs w:val="18"/>
              </w:rPr>
              <w:t xml:space="preserve">Usable result for a limited MVP</w:t>
            </w:r>
          </w:p>
        </w:tc>
      </w:tr>
      <w:tr>
        <w:tc>
          <w:tcPr>
            <w:tcW w:type="dxa" w:w="7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18"/>
                <w:szCs w:val="18"/>
              </w:rPr>
              <w:t xml:space="preserve">3</w:t>
            </w:r>
          </w:p>
        </w:tc>
        <w:tc>
          <w:tcPr>
            <w:tcW w:type="dxa" w:w="30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LLM + RAG architecture (proposed)</w:t>
            </w:r>
          </w:p>
        </w:tc>
        <w:tc>
          <w:tcPr>
            <w:tcW w:type="dxa" w:w="30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Does not depend on a large volume of annotated data</w:t>
            </w:r>
          </w:p>
        </w:tc>
        <w:tc>
          <w:tcPr>
            <w:tcW w:type="dxa" w:w="27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Recommended direction for the rest of the sprint</w:t>
            </w:r>
          </w:p>
        </w:tc>
      </w:tr>
    </w:tbl>
    <w:p>
      <w:pPr>
        <w:spacing w:after="260" w:before="60"/>
      </w:pPr>
      <w:r>
        <w:rPr>
          <w:rFonts w:ascii="Calibri" w:cs="Calibri" w:eastAsia="Calibri" w:hAnsi="Calibri"/>
          <w:i/>
          <w:iCs/>
          <w:color w:val="595959"/>
          <w:sz w:val="18"/>
          <w:szCs w:val="18"/>
        </w:rPr>
        <w:t xml:space="preserve">Table 1 — Comparative summary of the three approaches presented.</w:t>
      </w:r>
    </w:p>
    <w:p>
      <w:pPr>
        <w:pStyle w:val="Heading1"/>
        <w:pBdr>
          <w:bottom w:val="single" w:color="1F3864" w:sz="6" w:space="4"/>
        </w:pBdr>
        <w:spacing w:after="200" w:before="400"/>
      </w:pPr>
      <w:r>
        <w:rPr>
          <w:rFonts w:ascii="Calibri" w:cs="Calibri" w:eastAsia="Calibri" w:hAnsi="Calibri"/>
          <w:b/>
          <w:bCs/>
          <w:color w:val="1F3864"/>
          <w:sz w:val="30"/>
          <w:szCs w:val="30"/>
        </w:rPr>
        <w:t xml:space="preserve">2. Model 1 — Fine-grained classification (5 classes)</w:t>
      </w:r>
    </w:p>
    <w:p>
      <w:pPr>
        <w:pStyle w:val="Heading2"/>
        <w:spacing w:after="140" w:before="320"/>
      </w:pPr>
      <w:r>
        <w:rPr>
          <w:rFonts w:ascii="Calibri" w:cs="Calibri" w:eastAsia="Calibri" w:hAnsi="Calibri"/>
          <w:b/>
          <w:bCs/>
          <w:color w:val="2E5C8A"/>
          <w:sz w:val="24"/>
          <w:szCs w:val="24"/>
        </w:rPr>
        <w:t xml:space="preserve">2.1 Description</w:t>
      </w:r>
    </w:p>
    <w:p>
      <w:pPr>
        <w:spacing w:after="160" w:line="288"/>
      </w:pPr>
      <w:r>
        <w:rPr>
          <w:rFonts w:ascii="Calibri" w:cs="Calibri" w:eastAsia="Calibri" w:hAnsi="Calibri"/>
          <w:color w:val="262626"/>
          <w:sz w:val="21"/>
          <w:szCs w:val="21"/>
        </w:rPr>
        <w:t xml:space="preserve">A CamemBERT-base model was fine-tuned to classify each claim according to the five veracity levels defined by X-FACT: false, complicated/hard to categorise, partly true/misleading, mostly true, true. This is the approach closest to an "ideal" fact-checking system, capable of nuancing a verdict rather than deciding in black and white.</w:t>
      </w:r>
    </w:p>
    <w:p>
      <w:pPr>
        <w:pStyle w:val="Heading2"/>
        <w:spacing w:after="140" w:before="320"/>
      </w:pPr>
      <w:r>
        <w:rPr>
          <w:rFonts w:ascii="Calibri" w:cs="Calibri" w:eastAsia="Calibri" w:hAnsi="Calibri"/>
          <w:b/>
          <w:bCs/>
          <w:color w:val="2E5C8A"/>
          <w:sz w:val="24"/>
          <w:szCs w:val="24"/>
        </w:rPr>
        <w:t xml:space="preserve">2.2 Configuration</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3600"/>
        <w:gridCol w:w="5700"/>
      </w:tblGrid>
      <w:tr>
        <w:trPr>
          <w:tblHeader/>
        </w:trPr>
        <w:tc>
          <w:tcPr>
            <w:tcW w:type="dxa" w:w="3600"/>
            <w:shd w:fill="2E5C8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Parameter</w:t>
            </w:r>
          </w:p>
        </w:tc>
        <w:tc>
          <w:tcPr>
            <w:tcW w:type="dxa" w:w="5700"/>
            <w:shd w:fill="2E5C8A" w:val="clear"/>
            <w:tcMar>
              <w:top w:type="dxa" w:w="90"/>
              <w:left w:type="dxa" w:w="110"/>
              <w:bottom w:type="dxa" w:w="90"/>
              <w:right w:type="dxa" w:w="110"/>
            </w:tcMar>
            <w:vAlign w:val="center"/>
          </w:tcPr>
          <w:p>
            <w:pPr>
              <w:jc w:val="center"/>
            </w:pPr>
            <w:r>
              <w:rPr>
                <w:rFonts w:ascii="Calibri" w:cs="Calibri" w:eastAsia="Calibri" w:hAnsi="Calibri"/>
                <w:b/>
                <w:bCs/>
                <w:color w:val="FFFFFF"/>
                <w:sz w:val="18"/>
                <w:szCs w:val="18"/>
              </w:rPr>
              <w:t xml:space="preserve">Value</w:t>
            </w:r>
          </w:p>
        </w:tc>
      </w:tr>
      <w:tr>
        <w:tc>
          <w:tcPr>
            <w:tcW w:type="dxa" w:w="36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18"/>
                <w:szCs w:val="18"/>
              </w:rPr>
              <w:t xml:space="preserve">Base model</w:t>
            </w:r>
          </w:p>
        </w:tc>
        <w:tc>
          <w:tcPr>
            <w:tcW w:type="dxa" w:w="57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camembert-base</w:t>
            </w:r>
          </w:p>
        </w:tc>
      </w:tr>
      <w:tr>
        <w:tc>
          <w:tcPr>
            <w:tcW w:type="dxa" w:w="360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18"/>
                <w:szCs w:val="18"/>
              </w:rPr>
              <w:t xml:space="preserve">Number of classes</w:t>
            </w:r>
          </w:p>
        </w:tc>
        <w:tc>
          <w:tcPr>
            <w:tcW w:type="dxa" w:w="57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5</w:t>
            </w:r>
          </w:p>
        </w:tc>
      </w:tr>
      <w:tr>
        <w:tc>
          <w:tcPr>
            <w:tcW w:type="dxa" w:w="36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18"/>
                <w:szCs w:val="18"/>
              </w:rPr>
              <w:t xml:space="preserve">Data</w:t>
            </w:r>
          </w:p>
        </w:tc>
        <w:tc>
          <w:tcPr>
            <w:tcW w:type="dxa" w:w="57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138 train / 30 validation / 30 test (198 total)</w:t>
            </w:r>
          </w:p>
        </w:tc>
      </w:tr>
      <w:tr>
        <w:tc>
          <w:tcPr>
            <w:tcW w:type="dxa" w:w="360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18"/>
                <w:szCs w:val="18"/>
              </w:rPr>
              <w:t xml:space="preserve">Learning rate</w:t>
            </w:r>
          </w:p>
        </w:tc>
        <w:tc>
          <w:tcPr>
            <w:tcW w:type="dxa" w:w="57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2 × 10⁻⁵</w:t>
            </w:r>
          </w:p>
        </w:tc>
      </w:tr>
      <w:tr>
        <w:tc>
          <w:tcPr>
            <w:tcW w:type="dxa" w:w="36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18"/>
                <w:szCs w:val="18"/>
              </w:rPr>
              <w:t xml:space="preserve">Batch size</w:t>
            </w:r>
          </w:p>
        </w:tc>
        <w:tc>
          <w:tcPr>
            <w:tcW w:type="dxa" w:w="57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8</w:t>
            </w:r>
          </w:p>
        </w:tc>
      </w:tr>
      <w:tr>
        <w:tc>
          <w:tcPr>
            <w:tcW w:type="dxa" w:w="360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18"/>
                <w:szCs w:val="18"/>
              </w:rPr>
              <w:t xml:space="preserve">Epochs</w:t>
            </w:r>
          </w:p>
        </w:tc>
        <w:tc>
          <w:tcPr>
            <w:tcW w:type="dxa" w:w="57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5</w:t>
            </w:r>
          </w:p>
        </w:tc>
      </w:tr>
    </w:tbl>
    <w:p>
      <w:pPr>
        <w:spacing w:after="80"/>
      </w:pPr>
    </w:p>
    <w:p>
      <w:pPr>
        <w:pStyle w:val="Heading2"/>
        <w:spacing w:after="140" w:before="320"/>
      </w:pPr>
      <w:r>
        <w:rPr>
          <w:rFonts w:ascii="Calibri" w:cs="Calibri" w:eastAsia="Calibri" w:hAnsi="Calibri"/>
          <w:b/>
          <w:bCs/>
          <w:color w:val="2E5C8A"/>
          <w:sz w:val="24"/>
          <w:szCs w:val="24"/>
        </w:rPr>
        <w:t xml:space="preserve">2.3 Results</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1050"/>
        <w:gridCol w:w="1550"/>
        <w:gridCol w:w="1450"/>
        <w:gridCol w:w="1450"/>
        <w:gridCol w:w="1450"/>
        <w:gridCol w:w="1300"/>
        <w:gridCol w:w="1050"/>
      </w:tblGrid>
      <w:tr>
        <w:trPr>
          <w:tblHeader/>
        </w:trPr>
        <w:tc>
          <w:tcPr>
            <w:tcW w:type="dxa" w:w="1050"/>
            <w:shd w:fill="A61E1E"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Epoch</w:t>
            </w:r>
          </w:p>
        </w:tc>
        <w:tc>
          <w:tcPr>
            <w:tcW w:type="dxa" w:w="1550"/>
            <w:shd w:fill="A61E1E" w:val="clear"/>
            <w:tcMar>
              <w:top w:type="dxa" w:w="90"/>
              <w:left w:type="dxa" w:w="110"/>
              <w:bottom w:type="dxa" w:w="90"/>
              <w:right w:type="dxa" w:w="110"/>
            </w:tcMar>
            <w:vAlign w:val="center"/>
          </w:tcPr>
          <w:p>
            <w:pPr>
              <w:jc w:val="center"/>
            </w:pPr>
            <w:r>
              <w:rPr>
                <w:rFonts w:ascii="Calibri" w:cs="Calibri" w:eastAsia="Calibri" w:hAnsi="Calibri"/>
                <w:b/>
                <w:bCs/>
                <w:color w:val="FFFFFF"/>
                <w:sz w:val="18"/>
                <w:szCs w:val="18"/>
              </w:rPr>
              <w:t xml:space="preserve">Loss (train)</w:t>
            </w:r>
          </w:p>
        </w:tc>
        <w:tc>
          <w:tcPr>
            <w:tcW w:type="dxa" w:w="1450"/>
            <w:shd w:fill="A61E1E" w:val="clear"/>
            <w:tcMar>
              <w:top w:type="dxa" w:w="90"/>
              <w:left w:type="dxa" w:w="110"/>
              <w:bottom w:type="dxa" w:w="90"/>
              <w:right w:type="dxa" w:w="110"/>
            </w:tcMar>
            <w:vAlign w:val="center"/>
          </w:tcPr>
          <w:p>
            <w:pPr>
              <w:jc w:val="center"/>
            </w:pPr>
            <w:r>
              <w:rPr>
                <w:rFonts w:ascii="Calibri" w:cs="Calibri" w:eastAsia="Calibri" w:hAnsi="Calibri"/>
                <w:b/>
                <w:bCs/>
                <w:color w:val="FFFFFF"/>
                <w:sz w:val="18"/>
                <w:szCs w:val="18"/>
              </w:rPr>
              <w:t xml:space="preserve">Loss (val)</w:t>
            </w:r>
          </w:p>
        </w:tc>
        <w:tc>
          <w:tcPr>
            <w:tcW w:type="dxa" w:w="1450"/>
            <w:shd w:fill="A61E1E" w:val="clear"/>
            <w:tcMar>
              <w:top w:type="dxa" w:w="90"/>
              <w:left w:type="dxa" w:w="110"/>
              <w:bottom w:type="dxa" w:w="90"/>
              <w:right w:type="dxa" w:w="110"/>
            </w:tcMar>
            <w:vAlign w:val="center"/>
          </w:tcPr>
          <w:p>
            <w:pPr>
              <w:jc w:val="center"/>
            </w:pPr>
            <w:r>
              <w:rPr>
                <w:rFonts w:ascii="Calibri" w:cs="Calibri" w:eastAsia="Calibri" w:hAnsi="Calibri"/>
                <w:b/>
                <w:bCs/>
                <w:color w:val="FFFFFF"/>
                <w:sz w:val="18"/>
                <w:szCs w:val="18"/>
              </w:rPr>
              <w:t xml:space="preserve">Accuracy</w:t>
            </w:r>
          </w:p>
        </w:tc>
        <w:tc>
          <w:tcPr>
            <w:tcW w:type="dxa" w:w="1450"/>
            <w:shd w:fill="A61E1E" w:val="clear"/>
            <w:tcMar>
              <w:top w:type="dxa" w:w="90"/>
              <w:left w:type="dxa" w:w="110"/>
              <w:bottom w:type="dxa" w:w="90"/>
              <w:right w:type="dxa" w:w="110"/>
            </w:tcMar>
            <w:vAlign w:val="center"/>
          </w:tcPr>
          <w:p>
            <w:pPr>
              <w:jc w:val="center"/>
            </w:pPr>
            <w:r>
              <w:rPr>
                <w:rFonts w:ascii="Calibri" w:cs="Calibri" w:eastAsia="Calibri" w:hAnsi="Calibri"/>
                <w:b/>
                <w:bCs/>
                <w:color w:val="FFFFFF"/>
                <w:sz w:val="18"/>
                <w:szCs w:val="18"/>
              </w:rPr>
              <w:t xml:space="preserve">Precision</w:t>
            </w:r>
          </w:p>
        </w:tc>
        <w:tc>
          <w:tcPr>
            <w:tcW w:type="dxa" w:w="1300"/>
            <w:shd w:fill="A61E1E" w:val="clear"/>
            <w:tcMar>
              <w:top w:type="dxa" w:w="90"/>
              <w:left w:type="dxa" w:w="110"/>
              <w:bottom w:type="dxa" w:w="90"/>
              <w:right w:type="dxa" w:w="110"/>
            </w:tcMar>
            <w:vAlign w:val="center"/>
          </w:tcPr>
          <w:p>
            <w:pPr>
              <w:jc w:val="center"/>
            </w:pPr>
            <w:r>
              <w:rPr>
                <w:rFonts w:ascii="Calibri" w:cs="Calibri" w:eastAsia="Calibri" w:hAnsi="Calibri"/>
                <w:b/>
                <w:bCs/>
                <w:color w:val="FFFFFF"/>
                <w:sz w:val="18"/>
                <w:szCs w:val="18"/>
              </w:rPr>
              <w:t xml:space="preserve">Recall</w:t>
            </w:r>
          </w:p>
        </w:tc>
        <w:tc>
          <w:tcPr>
            <w:tcW w:type="dxa" w:w="1050"/>
            <w:shd w:fill="A61E1E" w:val="clear"/>
            <w:tcMar>
              <w:top w:type="dxa" w:w="90"/>
              <w:left w:type="dxa" w:w="110"/>
              <w:bottom w:type="dxa" w:w="90"/>
              <w:right w:type="dxa" w:w="110"/>
            </w:tcMar>
            <w:vAlign w:val="center"/>
          </w:tcPr>
          <w:p>
            <w:pPr>
              <w:jc w:val="center"/>
            </w:pPr>
            <w:r>
              <w:rPr>
                <w:rFonts w:ascii="Calibri" w:cs="Calibri" w:eastAsia="Calibri" w:hAnsi="Calibri"/>
                <w:b/>
                <w:bCs/>
                <w:color w:val="FFFFFF"/>
                <w:sz w:val="18"/>
                <w:szCs w:val="18"/>
              </w:rPr>
              <w:t xml:space="preserve">F1</w:t>
            </w:r>
          </w:p>
        </w:tc>
      </w:tr>
      <w:tr>
        <w:tc>
          <w:tcPr>
            <w:tcW w:type="dxa" w:w="105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18"/>
                <w:szCs w:val="18"/>
              </w:rPr>
              <w:t xml:space="preserve">1</w:t>
            </w:r>
          </w:p>
        </w:tc>
        <w:tc>
          <w:tcPr>
            <w:tcW w:type="dxa" w:w="15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1.590</w:t>
            </w:r>
          </w:p>
        </w:tc>
        <w:tc>
          <w:tcPr>
            <w:tcW w:type="dxa" w:w="14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1.553</w:t>
            </w:r>
          </w:p>
        </w:tc>
        <w:tc>
          <w:tcPr>
            <w:tcW w:type="dxa" w:w="14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0.367</w:t>
            </w:r>
          </w:p>
        </w:tc>
        <w:tc>
          <w:tcPr>
            <w:tcW w:type="dxa" w:w="14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0.073</w:t>
            </w:r>
          </w:p>
        </w:tc>
        <w:tc>
          <w:tcPr>
            <w:tcW w:type="dxa" w:w="13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0.200</w:t>
            </w:r>
          </w:p>
        </w:tc>
        <w:tc>
          <w:tcPr>
            <w:tcW w:type="dxa" w:w="10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0.107</w:t>
            </w:r>
          </w:p>
        </w:tc>
      </w:tr>
      <w:tr>
        <w:tc>
          <w:tcPr>
            <w:tcW w:type="dxa" w:w="105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18"/>
                <w:szCs w:val="18"/>
              </w:rPr>
              <w:t xml:space="preserve">2</w:t>
            </w:r>
          </w:p>
        </w:tc>
        <w:tc>
          <w:tcPr>
            <w:tcW w:type="dxa" w:w="15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1.538</w:t>
            </w:r>
          </w:p>
        </w:tc>
        <w:tc>
          <w:tcPr>
            <w:tcW w:type="dxa" w:w="14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1.534</w:t>
            </w:r>
          </w:p>
        </w:tc>
        <w:tc>
          <w:tcPr>
            <w:tcW w:type="dxa" w:w="14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0.367</w:t>
            </w:r>
          </w:p>
        </w:tc>
        <w:tc>
          <w:tcPr>
            <w:tcW w:type="dxa" w:w="14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0.073</w:t>
            </w:r>
          </w:p>
        </w:tc>
        <w:tc>
          <w:tcPr>
            <w:tcW w:type="dxa" w:w="13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0.200</w:t>
            </w:r>
          </w:p>
        </w:tc>
        <w:tc>
          <w:tcPr>
            <w:tcW w:type="dxa" w:w="10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0.107</w:t>
            </w:r>
          </w:p>
        </w:tc>
      </w:tr>
      <w:tr>
        <w:tc>
          <w:tcPr>
            <w:tcW w:type="dxa" w:w="105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18"/>
                <w:szCs w:val="18"/>
              </w:rPr>
              <w:t xml:space="preserve">3</w:t>
            </w:r>
          </w:p>
        </w:tc>
        <w:tc>
          <w:tcPr>
            <w:tcW w:type="dxa" w:w="15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1.513</w:t>
            </w:r>
          </w:p>
        </w:tc>
        <w:tc>
          <w:tcPr>
            <w:tcW w:type="dxa" w:w="14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1.528</w:t>
            </w:r>
          </w:p>
        </w:tc>
        <w:tc>
          <w:tcPr>
            <w:tcW w:type="dxa" w:w="14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0.367</w:t>
            </w:r>
          </w:p>
        </w:tc>
        <w:tc>
          <w:tcPr>
            <w:tcW w:type="dxa" w:w="14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0.073</w:t>
            </w:r>
          </w:p>
        </w:tc>
        <w:tc>
          <w:tcPr>
            <w:tcW w:type="dxa" w:w="13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0.200</w:t>
            </w:r>
          </w:p>
        </w:tc>
        <w:tc>
          <w:tcPr>
            <w:tcW w:type="dxa" w:w="10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0.107</w:t>
            </w:r>
          </w:p>
        </w:tc>
      </w:tr>
      <w:tr>
        <w:tc>
          <w:tcPr>
            <w:tcW w:type="dxa" w:w="105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18"/>
                <w:szCs w:val="18"/>
              </w:rPr>
              <w:t xml:space="preserve">4</w:t>
            </w:r>
          </w:p>
        </w:tc>
        <w:tc>
          <w:tcPr>
            <w:tcW w:type="dxa" w:w="15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1.502</w:t>
            </w:r>
          </w:p>
        </w:tc>
        <w:tc>
          <w:tcPr>
            <w:tcW w:type="dxa" w:w="14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1.526</w:t>
            </w:r>
          </w:p>
        </w:tc>
        <w:tc>
          <w:tcPr>
            <w:tcW w:type="dxa" w:w="14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0.367</w:t>
            </w:r>
          </w:p>
        </w:tc>
        <w:tc>
          <w:tcPr>
            <w:tcW w:type="dxa" w:w="14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0.073</w:t>
            </w:r>
          </w:p>
        </w:tc>
        <w:tc>
          <w:tcPr>
            <w:tcW w:type="dxa" w:w="13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0.200</w:t>
            </w:r>
          </w:p>
        </w:tc>
        <w:tc>
          <w:tcPr>
            <w:tcW w:type="dxa" w:w="10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0.107</w:t>
            </w:r>
          </w:p>
        </w:tc>
      </w:tr>
      <w:tr>
        <w:tc>
          <w:tcPr>
            <w:tcW w:type="dxa" w:w="105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18"/>
                <w:szCs w:val="18"/>
              </w:rPr>
              <w:t xml:space="preserve">5</w:t>
            </w:r>
          </w:p>
        </w:tc>
        <w:tc>
          <w:tcPr>
            <w:tcW w:type="dxa" w:w="15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1.496</w:t>
            </w:r>
          </w:p>
        </w:tc>
        <w:tc>
          <w:tcPr>
            <w:tcW w:type="dxa" w:w="14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1.526</w:t>
            </w:r>
          </w:p>
        </w:tc>
        <w:tc>
          <w:tcPr>
            <w:tcW w:type="dxa" w:w="14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0.367</w:t>
            </w:r>
          </w:p>
        </w:tc>
        <w:tc>
          <w:tcPr>
            <w:tcW w:type="dxa" w:w="14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0.073</w:t>
            </w:r>
          </w:p>
        </w:tc>
        <w:tc>
          <w:tcPr>
            <w:tcW w:type="dxa" w:w="13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0.200</w:t>
            </w:r>
          </w:p>
        </w:tc>
        <w:tc>
          <w:tcPr>
            <w:tcW w:type="dxa" w:w="10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0.107</w:t>
            </w:r>
          </w:p>
        </w:tc>
      </w:tr>
    </w:tbl>
    <w:p>
      <w:pPr>
        <w:spacing w:after="260" w:before="60"/>
      </w:pPr>
      <w:r>
        <w:rPr>
          <w:rFonts w:ascii="Calibri" w:cs="Calibri" w:eastAsia="Calibri" w:hAnsi="Calibri"/>
          <w:i/>
          <w:iCs/>
          <w:color w:val="595959"/>
          <w:sz w:val="18"/>
          <w:szCs w:val="18"/>
        </w:rPr>
        <w:t xml:space="preserve">Table 2 — Per-epoch validation metrics, 5-class model. Values are strictly identical from one epoch to the next.</w:t>
      </w:r>
    </w:p>
    <w:p>
      <w:pPr>
        <w:spacing w:after="100" w:before="220"/>
      </w:pPr>
      <w:r>
        <w:rPr>
          <w:rFonts w:ascii="Calibri" w:cs="Calibri" w:eastAsia="Calibri" w:hAnsi="Calibri"/>
          <w:b/>
          <w:bCs/>
          <w:color w:val="262626"/>
          <w:sz w:val="22"/>
          <w:szCs w:val="22"/>
        </w:rPr>
        <w:t xml:space="preserve">Diagnosis</w:t>
      </w:r>
    </w:p>
    <w:p>
      <w:pPr>
        <w:spacing w:after="160" w:line="288"/>
      </w:pPr>
      <w:r>
        <w:rPr>
          <w:rFonts w:ascii="Calibri" w:cs="Calibri" w:eastAsia="Calibri" w:hAnsi="Calibri"/>
          <w:color w:val="262626"/>
          <w:sz w:val="21"/>
          <w:szCs w:val="21"/>
        </w:rPr>
        <w:t xml:space="preserve">The perfect stability of the metrics from one epoch to the next is the signature of a model that systematically predicts a single class — here "false", the majority class in the dataset (73 out of 198 examples). The figures themselves confirm it: an accuracy of 0.367 matches exactly the proportion of "false" in the validation set, a macro-precision of 0.073 (= 0.367 ÷ 5) reflects zero precision on the four other classes, and a macro-recall of 0.200 (= 1 ÷ 5) reflects perfect recall on "false" and zero elsewhere.</w:t>
      </w:r>
    </w:p>
    <w:p>
      <w:pPr>
        <w:spacing w:after="160" w:line="288"/>
      </w:pPr>
      <w:r>
        <w:rPr>
          <w:rFonts w:ascii="Calibri" w:cs="Calibri" w:eastAsia="Calibri" w:hAnsi="Calibri"/>
          <w:color w:val="262626"/>
          <w:sz w:val="21"/>
          <w:szCs w:val="21"/>
        </w:rPr>
        <w:t xml:space="preserve">Root cause: with only 138 training examples spread across 5 imbalanced classes, the model reaches a trivial minimum ("always predict the majority class") before seeing enough examples of the rarer classes to learn to distinguish them.</w:t>
      </w:r>
    </w:p>
    <w:tbl>
      <w:tblPr>
        <w:tblW w:type="pct" w:w="100%"/>
        <w:tblBorders>
          <w:top w:val="single" w:color="A61E1E" w:sz="4"/>
          <w:left w:val="single" w:color="A61E1E" w:sz="4"/>
          <w:bottom w:val="single" w:color="A61E1E" w:sz="4"/>
          <w:right w:val="single" w:color="A61E1E" w:sz="4"/>
          <w:insideH w:val="none"/>
          <w:insideV w:val="none"/>
        </w:tblBorders>
      </w:tblPr>
      <w:tblGrid>
        <w:gridCol w:w="100"/>
      </w:tblGrid>
      <w:tr>
        <w:tc>
          <w:tcPr>
            <w:shd w:fill="FBE4E4" w:val="clear"/>
            <w:tcMar>
              <w:top w:type="dxa" w:w="160"/>
              <w:left w:type="dxa" w:w="200"/>
              <w:bottom w:type="dxa" w:w="160"/>
              <w:right w:type="dxa" w:w="200"/>
            </w:tcMar>
          </w:tcPr>
          <w:p>
            <w:pPr>
              <w:spacing w:after="80"/>
            </w:pPr>
            <w:r>
              <w:rPr>
                <w:rFonts w:ascii="Calibri" w:cs="Calibri" w:eastAsia="Calibri" w:hAnsi="Calibri"/>
                <w:b/>
                <w:bCs/>
                <w:color w:val="A61E1E"/>
                <w:sz w:val="21"/>
                <w:szCs w:val="21"/>
              </w:rPr>
              <w:t xml:space="preserve">Conclusion — Model 1</w:t>
            </w:r>
          </w:p>
          <w:p>
            <w:pPr>
              <w:spacing w:after="40" w:line="264"/>
            </w:pPr>
            <w:r>
              <w:rPr>
                <w:rFonts w:ascii="Calibri" w:cs="Calibri" w:eastAsia="Calibri" w:hAnsi="Calibri"/>
                <w:color w:val="262626"/>
                <w:sz w:val="20"/>
                <w:szCs w:val="20"/>
              </w:rPr>
              <w:t xml:space="preserve">The technical pipeline (data loading, tokenization, CamemBERT fine-tuning, evaluation) works end-to-end and is validated.</w:t>
            </w:r>
          </w:p>
          <w:p>
            <w:pPr>
              <w:spacing w:after="40" w:line="264"/>
            </w:pPr>
            <w:r>
              <w:rPr>
                <w:rFonts w:ascii="Calibri" w:cs="Calibri" w:eastAsia="Calibri" w:hAnsi="Calibri"/>
                <w:color w:val="262626"/>
                <w:sz w:val="20"/>
                <w:szCs w:val="20"/>
              </w:rPr>
              <w:t xml:space="preserve">The 5-class model, however, is not usable as is: it does not discriminate any nuance of veracity. This result is not a code defect but a direct consequence of the volume of data available.</w:t>
            </w:r>
          </w:p>
        </w:tc>
      </w:tr>
    </w:tbl>
    <w:p>
      <w:pPr>
        <w:pStyle w:val="Heading1"/>
        <w:pBdr>
          <w:bottom w:val="single" w:color="1F3864" w:sz="6" w:space="4"/>
        </w:pBdr>
        <w:spacing w:after="200" w:before="400"/>
      </w:pPr>
      <w:r>
        <w:rPr>
          <w:rFonts w:ascii="Calibri" w:cs="Calibri" w:eastAsia="Calibri" w:hAnsi="Calibri"/>
          <w:b/>
          <w:bCs/>
          <w:color w:val="1F3864"/>
          <w:sz w:val="30"/>
          <w:szCs w:val="30"/>
        </w:rPr>
        <w:t xml:space="preserve">3. Model 2 — Binary classification (false / not-false)</w:t>
      </w:r>
    </w:p>
    <w:p>
      <w:pPr>
        <w:pStyle w:val="Heading2"/>
        <w:spacing w:after="140" w:before="320"/>
      </w:pPr>
      <w:r>
        <w:rPr>
          <w:rFonts w:ascii="Calibri" w:cs="Calibri" w:eastAsia="Calibri" w:hAnsi="Calibri"/>
          <w:b/>
          <w:bCs/>
          <w:color w:val="2E5C8A"/>
          <w:sz w:val="24"/>
          <w:szCs w:val="24"/>
        </w:rPr>
        <w:t xml:space="preserve">3.1 Description</w:t>
      </w:r>
    </w:p>
    <w:p>
      <w:pPr>
        <w:spacing w:after="160" w:line="288"/>
      </w:pPr>
      <w:r>
        <w:rPr>
          <w:rFonts w:ascii="Calibri" w:cs="Calibri" w:eastAsia="Calibri" w:hAnsi="Calibri"/>
          <w:color w:val="262626"/>
          <w:sz w:val="21"/>
          <w:szCs w:val="21"/>
        </w:rPr>
        <w:t xml:space="preserve">To compensate for the lack of data per class, the five X-FACT categories were regrouped into two: "false" (original false label) versus "not-false" (the other four categories combined). This simplification reduces the difficulty of the problem while remaining operationally useful: detecting clearly false content is the most critical function of a fact-checking tool.</w:t>
      </w:r>
    </w:p>
    <w:p>
      <w:pPr>
        <w:pStyle w:val="Heading2"/>
        <w:spacing w:after="140" w:before="320"/>
      </w:pPr>
      <w:r>
        <w:rPr>
          <w:rFonts w:ascii="Calibri" w:cs="Calibri" w:eastAsia="Calibri" w:hAnsi="Calibri"/>
          <w:b/>
          <w:bCs/>
          <w:color w:val="2E5C8A"/>
          <w:sz w:val="24"/>
          <w:szCs w:val="24"/>
        </w:rPr>
        <w:t xml:space="preserve">3.2 Configuration</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3600"/>
        <w:gridCol w:w="5700"/>
      </w:tblGrid>
      <w:tr>
        <w:trPr>
          <w:tblHeader/>
        </w:trPr>
        <w:tc>
          <w:tcPr>
            <w:tcW w:type="dxa" w:w="3600"/>
            <w:shd w:fill="2E5C8A"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Parameter</w:t>
            </w:r>
          </w:p>
        </w:tc>
        <w:tc>
          <w:tcPr>
            <w:tcW w:type="dxa" w:w="5700"/>
            <w:shd w:fill="2E5C8A" w:val="clear"/>
            <w:tcMar>
              <w:top w:type="dxa" w:w="90"/>
              <w:left w:type="dxa" w:w="110"/>
              <w:bottom w:type="dxa" w:w="90"/>
              <w:right w:type="dxa" w:w="110"/>
            </w:tcMar>
            <w:vAlign w:val="center"/>
          </w:tcPr>
          <w:p>
            <w:pPr>
              <w:jc w:val="center"/>
            </w:pPr>
            <w:r>
              <w:rPr>
                <w:rFonts w:ascii="Calibri" w:cs="Calibri" w:eastAsia="Calibri" w:hAnsi="Calibri"/>
                <w:b/>
                <w:bCs/>
                <w:color w:val="FFFFFF"/>
                <w:sz w:val="18"/>
                <w:szCs w:val="18"/>
              </w:rPr>
              <w:t xml:space="preserve">Value</w:t>
            </w:r>
          </w:p>
        </w:tc>
      </w:tr>
      <w:tr>
        <w:tc>
          <w:tcPr>
            <w:tcW w:type="dxa" w:w="36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18"/>
                <w:szCs w:val="18"/>
              </w:rPr>
              <w:t xml:space="preserve">Base model</w:t>
            </w:r>
          </w:p>
        </w:tc>
        <w:tc>
          <w:tcPr>
            <w:tcW w:type="dxa" w:w="57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camembert-base</w:t>
            </w:r>
          </w:p>
        </w:tc>
      </w:tr>
      <w:tr>
        <w:tc>
          <w:tcPr>
            <w:tcW w:type="dxa" w:w="360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18"/>
                <w:szCs w:val="18"/>
              </w:rPr>
              <w:t xml:space="preserve">Number of classes</w:t>
            </w:r>
          </w:p>
        </w:tc>
        <w:tc>
          <w:tcPr>
            <w:tcW w:type="dxa" w:w="57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2 (false / not-false)</w:t>
            </w:r>
          </w:p>
        </w:tc>
      </w:tr>
      <w:tr>
        <w:tc>
          <w:tcPr>
            <w:tcW w:type="dxa" w:w="36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18"/>
                <w:szCs w:val="18"/>
              </w:rPr>
              <w:t xml:space="preserve">Data</w:t>
            </w:r>
          </w:p>
        </w:tc>
        <w:tc>
          <w:tcPr>
            <w:tcW w:type="dxa" w:w="57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138 train / 30 validation / 30 test</w:t>
            </w:r>
          </w:p>
        </w:tc>
      </w:tr>
      <w:tr>
        <w:tc>
          <w:tcPr>
            <w:tcW w:type="dxa" w:w="360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18"/>
                <w:szCs w:val="18"/>
              </w:rPr>
              <w:t xml:space="preserve">Learning rate</w:t>
            </w:r>
          </w:p>
        </w:tc>
        <w:tc>
          <w:tcPr>
            <w:tcW w:type="dxa" w:w="57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5 × 10⁻⁵</w:t>
            </w:r>
          </w:p>
        </w:tc>
      </w:tr>
      <w:tr>
        <w:tc>
          <w:tcPr>
            <w:tcW w:type="dxa" w:w="36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18"/>
                <w:szCs w:val="18"/>
              </w:rPr>
              <w:t xml:space="preserve">Batch size</w:t>
            </w:r>
          </w:p>
        </w:tc>
        <w:tc>
          <w:tcPr>
            <w:tcW w:type="dxa" w:w="57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8</w:t>
            </w:r>
          </w:p>
        </w:tc>
      </w:tr>
      <w:tr>
        <w:tc>
          <w:tcPr>
            <w:tcW w:type="dxa" w:w="360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18"/>
                <w:szCs w:val="18"/>
              </w:rPr>
              <w:t xml:space="preserve">Epochs</w:t>
            </w:r>
          </w:p>
        </w:tc>
        <w:tc>
          <w:tcPr>
            <w:tcW w:type="dxa" w:w="57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8 (best model kept automatically)</w:t>
            </w:r>
          </w:p>
        </w:tc>
      </w:tr>
    </w:tbl>
    <w:p>
      <w:pPr>
        <w:spacing w:after="80"/>
      </w:pPr>
    </w:p>
    <w:p>
      <w:pPr>
        <w:pStyle w:val="Heading2"/>
        <w:spacing w:after="140" w:before="320"/>
      </w:pPr>
      <w:r>
        <w:rPr>
          <w:rFonts w:ascii="Calibri" w:cs="Calibri" w:eastAsia="Calibri" w:hAnsi="Calibri"/>
          <w:b/>
          <w:bCs/>
          <w:color w:val="2E5C8A"/>
          <w:sz w:val="24"/>
          <w:szCs w:val="24"/>
        </w:rPr>
        <w:t xml:space="preserve">3.3 Results — validation</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1150"/>
        <w:gridCol w:w="1500"/>
        <w:gridCol w:w="1400"/>
        <w:gridCol w:w="1400"/>
        <w:gridCol w:w="1400"/>
        <w:gridCol w:w="1300"/>
        <w:gridCol w:w="1050"/>
      </w:tblGrid>
      <w:tr>
        <w:trPr>
          <w:tblHeader/>
        </w:trPr>
        <w:tc>
          <w:tcPr>
            <w:tcW w:type="dxa" w:w="1150"/>
            <w:shd w:fill="2E7D32"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Epoch</w:t>
            </w:r>
          </w:p>
        </w:tc>
        <w:tc>
          <w:tcPr>
            <w:tcW w:type="dxa" w:w="1500"/>
            <w:shd w:fill="2E7D32" w:val="clear"/>
            <w:tcMar>
              <w:top w:type="dxa" w:w="90"/>
              <w:left w:type="dxa" w:w="110"/>
              <w:bottom w:type="dxa" w:w="90"/>
              <w:right w:type="dxa" w:w="110"/>
            </w:tcMar>
            <w:vAlign w:val="center"/>
          </w:tcPr>
          <w:p>
            <w:pPr>
              <w:jc w:val="center"/>
            </w:pPr>
            <w:r>
              <w:rPr>
                <w:rFonts w:ascii="Calibri" w:cs="Calibri" w:eastAsia="Calibri" w:hAnsi="Calibri"/>
                <w:b/>
                <w:bCs/>
                <w:color w:val="FFFFFF"/>
                <w:sz w:val="18"/>
                <w:szCs w:val="18"/>
              </w:rPr>
              <w:t xml:space="preserve">Loss (train)</w:t>
            </w:r>
          </w:p>
        </w:tc>
        <w:tc>
          <w:tcPr>
            <w:tcW w:type="dxa" w:w="1400"/>
            <w:shd w:fill="2E7D32" w:val="clear"/>
            <w:tcMar>
              <w:top w:type="dxa" w:w="90"/>
              <w:left w:type="dxa" w:w="110"/>
              <w:bottom w:type="dxa" w:w="90"/>
              <w:right w:type="dxa" w:w="110"/>
            </w:tcMar>
            <w:vAlign w:val="center"/>
          </w:tcPr>
          <w:p>
            <w:pPr>
              <w:jc w:val="center"/>
            </w:pPr>
            <w:r>
              <w:rPr>
                <w:rFonts w:ascii="Calibri" w:cs="Calibri" w:eastAsia="Calibri" w:hAnsi="Calibri"/>
                <w:b/>
                <w:bCs/>
                <w:color w:val="FFFFFF"/>
                <w:sz w:val="18"/>
                <w:szCs w:val="18"/>
              </w:rPr>
              <w:t xml:space="preserve">Loss (val)</w:t>
            </w:r>
          </w:p>
        </w:tc>
        <w:tc>
          <w:tcPr>
            <w:tcW w:type="dxa" w:w="1400"/>
            <w:shd w:fill="2E7D32" w:val="clear"/>
            <w:tcMar>
              <w:top w:type="dxa" w:w="90"/>
              <w:left w:type="dxa" w:w="110"/>
              <w:bottom w:type="dxa" w:w="90"/>
              <w:right w:type="dxa" w:w="110"/>
            </w:tcMar>
            <w:vAlign w:val="center"/>
          </w:tcPr>
          <w:p>
            <w:pPr>
              <w:jc w:val="center"/>
            </w:pPr>
            <w:r>
              <w:rPr>
                <w:rFonts w:ascii="Calibri" w:cs="Calibri" w:eastAsia="Calibri" w:hAnsi="Calibri"/>
                <w:b/>
                <w:bCs/>
                <w:color w:val="FFFFFF"/>
                <w:sz w:val="18"/>
                <w:szCs w:val="18"/>
              </w:rPr>
              <w:t xml:space="preserve">Accuracy</w:t>
            </w:r>
          </w:p>
        </w:tc>
        <w:tc>
          <w:tcPr>
            <w:tcW w:type="dxa" w:w="1400"/>
            <w:shd w:fill="2E7D32" w:val="clear"/>
            <w:tcMar>
              <w:top w:type="dxa" w:w="90"/>
              <w:left w:type="dxa" w:w="110"/>
              <w:bottom w:type="dxa" w:w="90"/>
              <w:right w:type="dxa" w:w="110"/>
            </w:tcMar>
            <w:vAlign w:val="center"/>
          </w:tcPr>
          <w:p>
            <w:pPr>
              <w:jc w:val="center"/>
            </w:pPr>
            <w:r>
              <w:rPr>
                <w:rFonts w:ascii="Calibri" w:cs="Calibri" w:eastAsia="Calibri" w:hAnsi="Calibri"/>
                <w:b/>
                <w:bCs/>
                <w:color w:val="FFFFFF"/>
                <w:sz w:val="18"/>
                <w:szCs w:val="18"/>
              </w:rPr>
              <w:t xml:space="preserve">Precision</w:t>
            </w:r>
          </w:p>
        </w:tc>
        <w:tc>
          <w:tcPr>
            <w:tcW w:type="dxa" w:w="1300"/>
            <w:shd w:fill="2E7D32" w:val="clear"/>
            <w:tcMar>
              <w:top w:type="dxa" w:w="90"/>
              <w:left w:type="dxa" w:w="110"/>
              <w:bottom w:type="dxa" w:w="90"/>
              <w:right w:type="dxa" w:w="110"/>
            </w:tcMar>
            <w:vAlign w:val="center"/>
          </w:tcPr>
          <w:p>
            <w:pPr>
              <w:jc w:val="center"/>
            </w:pPr>
            <w:r>
              <w:rPr>
                <w:rFonts w:ascii="Calibri" w:cs="Calibri" w:eastAsia="Calibri" w:hAnsi="Calibri"/>
                <w:b/>
                <w:bCs/>
                <w:color w:val="FFFFFF"/>
                <w:sz w:val="18"/>
                <w:szCs w:val="18"/>
              </w:rPr>
              <w:t xml:space="preserve">Recall</w:t>
            </w:r>
          </w:p>
        </w:tc>
        <w:tc>
          <w:tcPr>
            <w:tcW w:type="dxa" w:w="1050"/>
            <w:shd w:fill="2E7D32" w:val="clear"/>
            <w:tcMar>
              <w:top w:type="dxa" w:w="90"/>
              <w:left w:type="dxa" w:w="110"/>
              <w:bottom w:type="dxa" w:w="90"/>
              <w:right w:type="dxa" w:w="110"/>
            </w:tcMar>
            <w:vAlign w:val="center"/>
          </w:tcPr>
          <w:p>
            <w:pPr>
              <w:jc w:val="center"/>
            </w:pPr>
            <w:r>
              <w:rPr>
                <w:rFonts w:ascii="Calibri" w:cs="Calibri" w:eastAsia="Calibri" w:hAnsi="Calibri"/>
                <w:b/>
                <w:bCs/>
                <w:color w:val="FFFFFF"/>
                <w:sz w:val="18"/>
                <w:szCs w:val="18"/>
              </w:rPr>
              <w:t xml:space="preserve">F1</w:t>
            </w:r>
          </w:p>
        </w:tc>
      </w:tr>
      <w:tr>
        <w:tc>
          <w:tcPr>
            <w:tcW w:type="dxa" w:w="115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18"/>
                <w:szCs w:val="18"/>
              </w:rPr>
              <w:t xml:space="preserve">1</w:t>
            </w:r>
          </w:p>
        </w:tc>
        <w:tc>
          <w:tcPr>
            <w:tcW w:type="dxa" w:w="15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0.689</w:t>
            </w:r>
          </w:p>
        </w:tc>
        <w:tc>
          <w:tcPr>
            <w:tcW w:type="dxa" w:w="14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0.652</w:t>
            </w:r>
          </w:p>
        </w:tc>
        <w:tc>
          <w:tcPr>
            <w:tcW w:type="dxa" w:w="14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0.633</w:t>
            </w:r>
          </w:p>
        </w:tc>
        <w:tc>
          <w:tcPr>
            <w:tcW w:type="dxa" w:w="14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0.317</w:t>
            </w:r>
          </w:p>
        </w:tc>
        <w:tc>
          <w:tcPr>
            <w:tcW w:type="dxa" w:w="13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0.500</w:t>
            </w:r>
          </w:p>
        </w:tc>
        <w:tc>
          <w:tcPr>
            <w:tcW w:type="dxa" w:w="10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0.388</w:t>
            </w:r>
          </w:p>
        </w:tc>
      </w:tr>
      <w:tr>
        <w:tc>
          <w:tcPr>
            <w:tcW w:type="dxa" w:w="115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18"/>
                <w:szCs w:val="18"/>
              </w:rPr>
              <w:t xml:space="preserve">2</w:t>
            </w:r>
          </w:p>
        </w:tc>
        <w:tc>
          <w:tcPr>
            <w:tcW w:type="dxa" w:w="15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0.636</w:t>
            </w:r>
          </w:p>
        </w:tc>
        <w:tc>
          <w:tcPr>
            <w:tcW w:type="dxa" w:w="14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0.645</w:t>
            </w:r>
          </w:p>
        </w:tc>
        <w:tc>
          <w:tcPr>
            <w:tcW w:type="dxa" w:w="14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0.633</w:t>
            </w:r>
          </w:p>
        </w:tc>
        <w:tc>
          <w:tcPr>
            <w:tcW w:type="dxa" w:w="14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0.317</w:t>
            </w:r>
          </w:p>
        </w:tc>
        <w:tc>
          <w:tcPr>
            <w:tcW w:type="dxa" w:w="13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0.500</w:t>
            </w:r>
          </w:p>
        </w:tc>
        <w:tc>
          <w:tcPr>
            <w:tcW w:type="dxa" w:w="10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0.388</w:t>
            </w:r>
          </w:p>
        </w:tc>
      </w:tr>
      <w:tr>
        <w:tc>
          <w:tcPr>
            <w:tcW w:type="dxa" w:w="1150"/>
            <w:shd w:fill="E2F0E3" w:val="clear"/>
            <w:tcMar>
              <w:top w:type="dxa" w:w="80"/>
              <w:left w:type="dxa" w:w="110"/>
              <w:bottom w:type="dxa" w:w="80"/>
              <w:right w:type="dxa" w:w="110"/>
            </w:tcMar>
            <w:vAlign w:val="center"/>
          </w:tcPr>
          <w:p>
            <w:pPr>
              <w:jc w:val="left"/>
            </w:pPr>
            <w:r>
              <w:rPr>
                <w:rFonts w:ascii="Calibri" w:cs="Calibri" w:eastAsia="Calibri" w:hAnsi="Calibri"/>
                <w:b/>
                <w:bCs/>
                <w:color w:val="262626"/>
                <w:sz w:val="18"/>
                <w:szCs w:val="18"/>
              </w:rPr>
              <w:t xml:space="preserve">3 ★</w:t>
            </w:r>
          </w:p>
        </w:tc>
        <w:tc>
          <w:tcPr>
            <w:tcW w:type="dxa" w:w="1500"/>
            <w:shd w:fill="E2F0E3" w:val="clear"/>
            <w:tcMar>
              <w:top w:type="dxa" w:w="80"/>
              <w:left w:type="dxa" w:w="110"/>
              <w:bottom w:type="dxa" w:w="80"/>
              <w:right w:type="dxa" w:w="110"/>
            </w:tcMar>
            <w:vAlign w:val="center"/>
          </w:tcPr>
          <w:p>
            <w:pPr>
              <w:jc w:val="center"/>
            </w:pPr>
            <w:r>
              <w:rPr>
                <w:rFonts w:ascii="Calibri" w:cs="Calibri" w:eastAsia="Calibri" w:hAnsi="Calibri"/>
                <w:b/>
                <w:bCs/>
                <w:color w:val="262626"/>
                <w:sz w:val="18"/>
                <w:szCs w:val="18"/>
              </w:rPr>
              <w:t xml:space="preserve">0.548</w:t>
            </w:r>
          </w:p>
        </w:tc>
        <w:tc>
          <w:tcPr>
            <w:tcW w:type="dxa" w:w="1400"/>
            <w:shd w:fill="E2F0E3" w:val="clear"/>
            <w:tcMar>
              <w:top w:type="dxa" w:w="80"/>
              <w:left w:type="dxa" w:w="110"/>
              <w:bottom w:type="dxa" w:w="80"/>
              <w:right w:type="dxa" w:w="110"/>
            </w:tcMar>
            <w:vAlign w:val="center"/>
          </w:tcPr>
          <w:p>
            <w:pPr>
              <w:jc w:val="center"/>
            </w:pPr>
            <w:r>
              <w:rPr>
                <w:rFonts w:ascii="Calibri" w:cs="Calibri" w:eastAsia="Calibri" w:hAnsi="Calibri"/>
                <w:b/>
                <w:bCs/>
                <w:color w:val="262626"/>
                <w:sz w:val="18"/>
                <w:szCs w:val="18"/>
              </w:rPr>
              <w:t xml:space="preserve">0.617</w:t>
            </w:r>
          </w:p>
        </w:tc>
        <w:tc>
          <w:tcPr>
            <w:tcW w:type="dxa" w:w="1400"/>
            <w:shd w:fill="E2F0E3" w:val="clear"/>
            <w:tcMar>
              <w:top w:type="dxa" w:w="80"/>
              <w:left w:type="dxa" w:w="110"/>
              <w:bottom w:type="dxa" w:w="80"/>
              <w:right w:type="dxa" w:w="110"/>
            </w:tcMar>
            <w:vAlign w:val="center"/>
          </w:tcPr>
          <w:p>
            <w:pPr>
              <w:jc w:val="center"/>
            </w:pPr>
            <w:r>
              <w:rPr>
                <w:rFonts w:ascii="Calibri" w:cs="Calibri" w:eastAsia="Calibri" w:hAnsi="Calibri"/>
                <w:b/>
                <w:bCs/>
                <w:color w:val="262626"/>
                <w:sz w:val="18"/>
                <w:szCs w:val="18"/>
              </w:rPr>
              <w:t xml:space="preserve">0.800</w:t>
            </w:r>
          </w:p>
        </w:tc>
        <w:tc>
          <w:tcPr>
            <w:tcW w:type="dxa" w:w="1400"/>
            <w:shd w:fill="E2F0E3" w:val="clear"/>
            <w:tcMar>
              <w:top w:type="dxa" w:w="80"/>
              <w:left w:type="dxa" w:w="110"/>
              <w:bottom w:type="dxa" w:w="80"/>
              <w:right w:type="dxa" w:w="110"/>
            </w:tcMar>
            <w:vAlign w:val="center"/>
          </w:tcPr>
          <w:p>
            <w:pPr>
              <w:jc w:val="center"/>
            </w:pPr>
            <w:r>
              <w:rPr>
                <w:rFonts w:ascii="Calibri" w:cs="Calibri" w:eastAsia="Calibri" w:hAnsi="Calibri"/>
                <w:b/>
                <w:bCs/>
                <w:color w:val="262626"/>
                <w:sz w:val="18"/>
                <w:szCs w:val="18"/>
              </w:rPr>
              <w:t xml:space="preserve">0.880</w:t>
            </w:r>
          </w:p>
        </w:tc>
        <w:tc>
          <w:tcPr>
            <w:tcW w:type="dxa" w:w="1300"/>
            <w:shd w:fill="E2F0E3" w:val="clear"/>
            <w:tcMar>
              <w:top w:type="dxa" w:w="80"/>
              <w:left w:type="dxa" w:w="110"/>
              <w:bottom w:type="dxa" w:w="80"/>
              <w:right w:type="dxa" w:w="110"/>
            </w:tcMar>
            <w:vAlign w:val="center"/>
          </w:tcPr>
          <w:p>
            <w:pPr>
              <w:jc w:val="center"/>
            </w:pPr>
            <w:r>
              <w:rPr>
                <w:rFonts w:ascii="Calibri" w:cs="Calibri" w:eastAsia="Calibri" w:hAnsi="Calibri"/>
                <w:b/>
                <w:bCs/>
                <w:color w:val="262626"/>
                <w:sz w:val="18"/>
                <w:szCs w:val="18"/>
              </w:rPr>
              <w:t xml:space="preserve">0.727</w:t>
            </w:r>
          </w:p>
        </w:tc>
        <w:tc>
          <w:tcPr>
            <w:tcW w:type="dxa" w:w="1050"/>
            <w:shd w:fill="E2F0E3" w:val="clear"/>
            <w:tcMar>
              <w:top w:type="dxa" w:w="80"/>
              <w:left w:type="dxa" w:w="110"/>
              <w:bottom w:type="dxa" w:w="80"/>
              <w:right w:type="dxa" w:w="110"/>
            </w:tcMar>
            <w:vAlign w:val="center"/>
          </w:tcPr>
          <w:p>
            <w:pPr>
              <w:jc w:val="center"/>
            </w:pPr>
            <w:r>
              <w:rPr>
                <w:rFonts w:ascii="Calibri" w:cs="Calibri" w:eastAsia="Calibri" w:hAnsi="Calibri"/>
                <w:b/>
                <w:bCs/>
                <w:color w:val="262626"/>
                <w:sz w:val="18"/>
                <w:szCs w:val="18"/>
              </w:rPr>
              <w:t xml:space="preserve">0.744</w:t>
            </w:r>
          </w:p>
        </w:tc>
      </w:tr>
      <w:tr>
        <w:tc>
          <w:tcPr>
            <w:tcW w:type="dxa" w:w="115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18"/>
                <w:szCs w:val="18"/>
              </w:rPr>
              <w:t xml:space="preserve">4</w:t>
            </w:r>
          </w:p>
        </w:tc>
        <w:tc>
          <w:tcPr>
            <w:tcW w:type="dxa" w:w="15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0.434</w:t>
            </w:r>
          </w:p>
        </w:tc>
        <w:tc>
          <w:tcPr>
            <w:tcW w:type="dxa" w:w="14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0.755</w:t>
            </w:r>
          </w:p>
        </w:tc>
        <w:tc>
          <w:tcPr>
            <w:tcW w:type="dxa" w:w="14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0.567</w:t>
            </w:r>
          </w:p>
        </w:tc>
        <w:tc>
          <w:tcPr>
            <w:tcW w:type="dxa" w:w="14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0.558</w:t>
            </w:r>
          </w:p>
        </w:tc>
        <w:tc>
          <w:tcPr>
            <w:tcW w:type="dxa" w:w="13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0.562</w:t>
            </w:r>
          </w:p>
        </w:tc>
        <w:tc>
          <w:tcPr>
            <w:tcW w:type="dxa" w:w="10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0.554</w:t>
            </w:r>
          </w:p>
        </w:tc>
      </w:tr>
      <w:tr>
        <w:tc>
          <w:tcPr>
            <w:tcW w:type="dxa" w:w="115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18"/>
                <w:szCs w:val="18"/>
              </w:rPr>
              <w:t xml:space="preserve">5</w:t>
            </w:r>
          </w:p>
        </w:tc>
        <w:tc>
          <w:tcPr>
            <w:tcW w:type="dxa" w:w="15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0.307</w:t>
            </w:r>
          </w:p>
        </w:tc>
        <w:tc>
          <w:tcPr>
            <w:tcW w:type="dxa" w:w="14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0.751</w:t>
            </w:r>
          </w:p>
        </w:tc>
        <w:tc>
          <w:tcPr>
            <w:tcW w:type="dxa" w:w="14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0.600</w:t>
            </w:r>
          </w:p>
        </w:tc>
        <w:tc>
          <w:tcPr>
            <w:tcW w:type="dxa" w:w="14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0.584</w:t>
            </w:r>
          </w:p>
        </w:tc>
        <w:tc>
          <w:tcPr>
            <w:tcW w:type="dxa" w:w="13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0.589</w:t>
            </w:r>
          </w:p>
        </w:tc>
        <w:tc>
          <w:tcPr>
            <w:tcW w:type="dxa" w:w="10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0.583</w:t>
            </w:r>
          </w:p>
        </w:tc>
      </w:tr>
      <w:tr>
        <w:tc>
          <w:tcPr>
            <w:tcW w:type="dxa" w:w="115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18"/>
                <w:szCs w:val="18"/>
              </w:rPr>
              <w:t xml:space="preserve">6</w:t>
            </w:r>
          </w:p>
        </w:tc>
        <w:tc>
          <w:tcPr>
            <w:tcW w:type="dxa" w:w="15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0.195</w:t>
            </w:r>
          </w:p>
        </w:tc>
        <w:tc>
          <w:tcPr>
            <w:tcW w:type="dxa" w:w="14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0.612</w:t>
            </w:r>
          </w:p>
        </w:tc>
        <w:tc>
          <w:tcPr>
            <w:tcW w:type="dxa" w:w="14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0.767</w:t>
            </w:r>
          </w:p>
        </w:tc>
        <w:tc>
          <w:tcPr>
            <w:tcW w:type="dxa" w:w="14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0.865</w:t>
            </w:r>
          </w:p>
        </w:tc>
        <w:tc>
          <w:tcPr>
            <w:tcW w:type="dxa" w:w="13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0.682</w:t>
            </w:r>
          </w:p>
        </w:tc>
        <w:tc>
          <w:tcPr>
            <w:tcW w:type="dxa" w:w="10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0.689</w:t>
            </w:r>
          </w:p>
        </w:tc>
      </w:tr>
      <w:tr>
        <w:tc>
          <w:tcPr>
            <w:tcW w:type="dxa" w:w="115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18"/>
                <w:szCs w:val="18"/>
              </w:rPr>
              <w:t xml:space="preserve">7</w:t>
            </w:r>
          </w:p>
        </w:tc>
        <w:tc>
          <w:tcPr>
            <w:tcW w:type="dxa" w:w="15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0.109</w:t>
            </w:r>
          </w:p>
        </w:tc>
        <w:tc>
          <w:tcPr>
            <w:tcW w:type="dxa" w:w="14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0.705</w:t>
            </w:r>
          </w:p>
        </w:tc>
        <w:tc>
          <w:tcPr>
            <w:tcW w:type="dxa" w:w="14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0.733</w:t>
            </w:r>
          </w:p>
        </w:tc>
        <w:tc>
          <w:tcPr>
            <w:tcW w:type="dxa" w:w="14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0.714</w:t>
            </w:r>
          </w:p>
        </w:tc>
        <w:tc>
          <w:tcPr>
            <w:tcW w:type="dxa" w:w="13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0.694</w:t>
            </w:r>
          </w:p>
        </w:tc>
        <w:tc>
          <w:tcPr>
            <w:tcW w:type="dxa" w:w="10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0.700</w:t>
            </w:r>
          </w:p>
        </w:tc>
      </w:tr>
      <w:tr>
        <w:tc>
          <w:tcPr>
            <w:tcW w:type="dxa" w:w="115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18"/>
                <w:szCs w:val="18"/>
              </w:rPr>
              <w:t xml:space="preserve">8</w:t>
            </w:r>
          </w:p>
        </w:tc>
        <w:tc>
          <w:tcPr>
            <w:tcW w:type="dxa" w:w="15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0.087</w:t>
            </w:r>
          </w:p>
        </w:tc>
        <w:tc>
          <w:tcPr>
            <w:tcW w:type="dxa" w:w="14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0.727</w:t>
            </w:r>
          </w:p>
        </w:tc>
        <w:tc>
          <w:tcPr>
            <w:tcW w:type="dxa" w:w="14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0.733</w:t>
            </w:r>
          </w:p>
        </w:tc>
        <w:tc>
          <w:tcPr>
            <w:tcW w:type="dxa" w:w="14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0.714</w:t>
            </w:r>
          </w:p>
        </w:tc>
        <w:tc>
          <w:tcPr>
            <w:tcW w:type="dxa" w:w="13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0.694</w:t>
            </w:r>
          </w:p>
        </w:tc>
        <w:tc>
          <w:tcPr>
            <w:tcW w:type="dxa" w:w="10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0.700</w:t>
            </w:r>
          </w:p>
        </w:tc>
      </w:tr>
    </w:tbl>
    <w:p>
      <w:pPr>
        <w:spacing w:after="260" w:before="60"/>
      </w:pPr>
      <w:r>
        <w:rPr>
          <w:rFonts w:ascii="Calibri" w:cs="Calibri" w:eastAsia="Calibri" w:hAnsi="Calibri"/>
          <w:i/>
          <w:iCs/>
          <w:color w:val="595959"/>
          <w:sz w:val="18"/>
          <w:szCs w:val="18"/>
        </w:rPr>
        <w:t xml:space="preserve">Table 3 — Per-epoch validation metrics, binary model. ★ Best epoch (automatically retained via load_best_model_at_end).</w:t>
      </w:r>
    </w:p>
    <w:p>
      <w:pPr>
        <w:spacing w:after="100" w:before="220"/>
      </w:pPr>
      <w:r>
        <w:rPr>
          <w:rFonts w:ascii="Calibri" w:cs="Calibri" w:eastAsia="Calibri" w:hAnsi="Calibri"/>
          <w:b/>
          <w:bCs/>
          <w:color w:val="262626"/>
          <w:sz w:val="22"/>
          <w:szCs w:val="22"/>
        </w:rPr>
        <w:t xml:space="preserve">Diagnosis</w:t>
      </w:r>
    </w:p>
    <w:p>
      <w:pPr>
        <w:spacing w:after="160" w:line="288"/>
      </w:pPr>
      <w:r>
        <w:rPr>
          <w:rFonts w:ascii="Calibri" w:cs="Calibri" w:eastAsia="Calibri" w:hAnsi="Calibri"/>
          <w:color w:val="262626"/>
          <w:sz w:val="21"/>
          <w:szCs w:val="21"/>
        </w:rPr>
        <w:t xml:space="preserve">Unlike the 5-class model, no collapse is observed: the model learns to distinguish the two categories. Training follows a classic trajectory on a small dataset:</w:t>
      </w:r>
    </w:p>
    <w:p>
      <w:pPr>
        <w:pStyle w:val="ListParagraph"/>
        <w:numPr>
          <w:ilvl w:val="0"/>
          <w:numId w:val="2"/>
        </w:numPr>
        <w:spacing w:after="80" w:line="276"/>
      </w:pPr>
      <w:r>
        <w:rPr>
          <w:rFonts w:ascii="Calibri" w:cs="Calibri" w:eastAsia="Calibri" w:hAnsi="Calibri"/>
          <w:color w:val="262626"/>
          <w:sz w:val="21"/>
          <w:szCs w:val="21"/>
        </w:rPr>
        <w:t xml:space="preserve">Epochs 1-2: starts close to trivial behavior (accuracy ≈ proportion of "not-false").</w:t>
      </w:r>
    </w:p>
    <w:p>
      <w:pPr>
        <w:pStyle w:val="ListParagraph"/>
        <w:numPr>
          <w:ilvl w:val="0"/>
          <w:numId w:val="2"/>
        </w:numPr>
        <w:spacing w:after="80" w:line="276"/>
      </w:pPr>
      <w:r>
        <w:rPr>
          <w:rFonts w:ascii="Calibri" w:cs="Calibri" w:eastAsia="Calibri" w:hAnsi="Calibri"/>
          <w:color w:val="262626"/>
          <w:sz w:val="21"/>
          <w:szCs w:val="21"/>
        </w:rPr>
        <w:t xml:space="preserve">Epoch 3: best equilibrium point — 80% accuracy, F1 0.744. This is the model retained by the Trainer.</w:t>
      </w:r>
    </w:p>
    <w:p>
      <w:pPr>
        <w:pStyle w:val="ListParagraph"/>
        <w:numPr>
          <w:ilvl w:val="0"/>
          <w:numId w:val="2"/>
        </w:numPr>
        <w:spacing w:after="80" w:line="276"/>
      </w:pPr>
      <w:r>
        <w:rPr>
          <w:rFonts w:ascii="Calibri" w:cs="Calibri" w:eastAsia="Calibri" w:hAnsi="Calibri"/>
          <w:color w:val="262626"/>
          <w:sz w:val="21"/>
          <w:szCs w:val="21"/>
        </w:rPr>
        <w:t xml:space="preserve">Epochs 4-8: progressive overfitting — training loss collapses (down to 0.087, a sign of memorizing the training set) while validation loss climbs back up and F1 never recovers the epoch-3 level.</w:t>
      </w:r>
    </w:p>
    <w:p>
      <w:pPr>
        <w:spacing w:after="160" w:line="288"/>
      </w:pPr>
      <w:r>
        <w:rPr>
          <w:rFonts w:ascii="Calibri" w:cs="Calibri" w:eastAsia="Calibri" w:hAnsi="Calibri"/>
          <w:color w:val="262626"/>
          <w:sz w:val="21"/>
          <w:szCs w:val="21"/>
        </w:rPr>
        <w:t xml:space="preserve">This degradation after epoch 3 is itself a useful indicator: it confirms, even on a simplified problem, that the data constraint remains active — a validation set of only 30 examples also produces high variance on these metrics.</w:t>
      </w:r>
    </w:p>
    <w:tbl>
      <w:tblPr>
        <w:tblW w:type="pct" w:w="100%"/>
        <w:tblBorders>
          <w:top w:val="single" w:color="2E7D32" w:sz="4"/>
          <w:left w:val="single" w:color="2E7D32" w:sz="4"/>
          <w:bottom w:val="single" w:color="2E7D32" w:sz="4"/>
          <w:right w:val="single" w:color="2E7D32" w:sz="4"/>
          <w:insideH w:val="none"/>
          <w:insideV w:val="none"/>
        </w:tblBorders>
      </w:tblPr>
      <w:tblGrid>
        <w:gridCol w:w="100"/>
      </w:tblGrid>
      <w:tr>
        <w:tc>
          <w:tcPr>
            <w:shd w:fill="E2F0E3" w:val="clear"/>
            <w:tcMar>
              <w:top w:type="dxa" w:w="160"/>
              <w:left w:type="dxa" w:w="200"/>
              <w:bottom w:type="dxa" w:w="160"/>
              <w:right w:type="dxa" w:w="200"/>
            </w:tcMar>
          </w:tcPr>
          <w:p>
            <w:pPr>
              <w:spacing w:after="80"/>
            </w:pPr>
            <w:r>
              <w:rPr>
                <w:rFonts w:ascii="Calibri" w:cs="Calibri" w:eastAsia="Calibri" w:hAnsi="Calibri"/>
                <w:b/>
                <w:bCs/>
                <w:color w:val="2E7D32"/>
                <w:sz w:val="21"/>
                <w:szCs w:val="21"/>
              </w:rPr>
              <w:t xml:space="preserve">Conclusion — Model 2</w:t>
            </w:r>
          </w:p>
          <w:p>
            <w:pPr>
              <w:spacing w:after="40" w:line="264"/>
            </w:pPr>
            <w:r>
              <w:rPr>
                <w:rFonts w:ascii="Calibri" w:cs="Calibri" w:eastAsia="Calibri" w:hAnsi="Calibri"/>
                <w:color w:val="262626"/>
                <w:sz w:val="20"/>
                <w:szCs w:val="20"/>
              </w:rPr>
              <w:t xml:space="preserve">Clear improvement over the 5-class model: moving from an unusable model to one with an F1 of 0.744 and 80% accuracy at the best epoch.</w:t>
            </w:r>
          </w:p>
          <w:p>
            <w:pPr>
              <w:spacing w:after="40" w:line="264"/>
            </w:pPr>
            <w:r>
              <w:rPr>
                <w:rFonts w:ascii="Calibri" w:cs="Calibri" w:eastAsia="Calibri" w:hAnsi="Calibri"/>
                <w:color w:val="262626"/>
                <w:sz w:val="20"/>
                <w:szCs w:val="20"/>
              </w:rPr>
              <w:t xml:space="preserve">This is the version closest to a demonstrable MVP in the near term, with one clear caveat: the margin of error remains significant until the volume of annotated data increases.</w:t>
            </w:r>
          </w:p>
        </w:tc>
      </w:tr>
    </w:tbl>
    <w:p>
      <w:r>
        <w:br w:type="page"/>
      </w:r>
    </w:p>
    <w:p>
      <w:pPr>
        <w:pStyle w:val="Heading1"/>
        <w:pBdr>
          <w:bottom w:val="single" w:color="1F3864" w:sz="6" w:space="4"/>
        </w:pBdr>
        <w:spacing w:after="200" w:before="400"/>
      </w:pPr>
      <w:r>
        <w:rPr>
          <w:rFonts w:ascii="Calibri" w:cs="Calibri" w:eastAsia="Calibri" w:hAnsi="Calibri"/>
          <w:b/>
          <w:bCs/>
          <w:color w:val="1F3864"/>
          <w:sz w:val="30"/>
          <w:szCs w:val="30"/>
        </w:rPr>
        <w:t xml:space="preserve">4. Model 3 — Target architecture: LLM + RAG</w:t>
      </w:r>
    </w:p>
    <w:p>
      <w:pPr>
        <w:pStyle w:val="Heading2"/>
        <w:spacing w:after="140" w:before="320"/>
      </w:pPr>
      <w:r>
        <w:rPr>
          <w:rFonts w:ascii="Calibri" w:cs="Calibri" w:eastAsia="Calibri" w:hAnsi="Calibri"/>
          <w:b/>
          <w:bCs/>
          <w:color w:val="2E5C8A"/>
          <w:sz w:val="24"/>
          <w:szCs w:val="24"/>
        </w:rPr>
        <w:t xml:space="preserve">4.1 Why this pivot</w:t>
      </w:r>
    </w:p>
    <w:p>
      <w:pPr>
        <w:spacing w:after="160" w:line="288"/>
      </w:pPr>
      <w:r>
        <w:rPr>
          <w:rFonts w:ascii="Calibri" w:cs="Calibri" w:eastAsia="Calibri" w:hAnsi="Calibri"/>
          <w:color w:val="262626"/>
          <w:sz w:val="21"/>
          <w:szCs w:val="21"/>
        </w:rPr>
        <w:t xml:space="preserve">The two previous fine-tuning runs converge on the same conclusion: with the volume of data currently available, a classic supervised classifier quickly hits its limits, particularly when it comes to capturing nuances of veracity. The LLM + RAG (Retrieval-Augmented Generation) architecture is proposed as the target for SaoCheck AI because it does not depend on the same volume of annotated data to be operational: it relies on retrieving existing sources and on a language model's reasoning rather than on learning from thousands of labeled examples.</w:t>
      </w:r>
    </w:p>
    <w:p>
      <w:pPr>
        <w:pStyle w:val="Heading2"/>
        <w:spacing w:after="140" w:before="320"/>
      </w:pPr>
      <w:r>
        <w:rPr>
          <w:rFonts w:ascii="Calibri" w:cs="Calibri" w:eastAsia="Calibri" w:hAnsi="Calibri"/>
          <w:b/>
          <w:bCs/>
          <w:color w:val="2E5C8A"/>
          <w:sz w:val="24"/>
          <w:szCs w:val="24"/>
        </w:rPr>
        <w:t xml:space="preserve">4.2 Architecture components</w:t>
      </w:r>
    </w:p>
    <w:p>
      <w:pPr>
        <w:spacing w:after="100" w:before="220"/>
      </w:pPr>
      <w:r>
        <w:rPr>
          <w:rFonts w:ascii="Calibri" w:cs="Calibri" w:eastAsia="Calibri" w:hAnsi="Calibri"/>
          <w:b/>
          <w:bCs/>
          <w:color w:val="262626"/>
          <w:sz w:val="22"/>
          <w:szCs w:val="22"/>
        </w:rPr>
        <w:t xml:space="preserve">① Retrieval</w:t>
      </w:r>
    </w:p>
    <w:p>
      <w:pPr>
        <w:pStyle w:val="ListParagraph"/>
        <w:numPr>
          <w:ilvl w:val="0"/>
          <w:numId w:val="2"/>
        </w:numPr>
        <w:spacing w:after="80" w:line="276"/>
      </w:pPr>
      <w:r>
        <w:rPr>
          <w:rFonts w:ascii="Calibri" w:cs="Calibri" w:eastAsia="Calibri" w:hAnsi="Calibri"/>
          <w:color w:val="262626"/>
          <w:sz w:val="21"/>
          <w:szCs w:val="21"/>
        </w:rPr>
        <w:t xml:space="preserve">Vector database built from existing French-language fact-checking articles relevant to Central Africa (WenakLabs, AFP Factuel, local Chadian and Cameroonian sources).</w:t>
      </w:r>
    </w:p>
    <w:p>
      <w:pPr>
        <w:pStyle w:val="ListParagraph"/>
        <w:numPr>
          <w:ilvl w:val="0"/>
          <w:numId w:val="2"/>
        </w:numPr>
        <w:spacing w:after="80" w:line="276"/>
      </w:pPr>
      <w:r>
        <w:rPr>
          <w:rFonts w:ascii="Calibri" w:cs="Calibri" w:eastAsia="Calibri" w:hAnsi="Calibri"/>
          <w:color w:val="262626"/>
          <w:sz w:val="21"/>
          <w:szCs w:val="21"/>
        </w:rPr>
        <w:t xml:space="preserve">Multilingual embeddings (e.g. multilingual-e5 or BGE-m3), better suited than CamemBERT alone to a regional French-speaking context.</w:t>
      </w:r>
    </w:p>
    <w:p>
      <w:pPr>
        <w:pStyle w:val="ListParagraph"/>
        <w:numPr>
          <w:ilvl w:val="0"/>
          <w:numId w:val="2"/>
        </w:numPr>
        <w:spacing w:after="80" w:line="276"/>
      </w:pPr>
      <w:r>
        <w:rPr>
          <w:rFonts w:ascii="Calibri" w:cs="Calibri" w:eastAsia="Calibri" w:hAnsi="Calibri"/>
          <w:color w:val="262626"/>
          <w:sz w:val="21"/>
          <w:szCs w:val="21"/>
        </w:rPr>
        <w:t xml:space="preserve">The binary CamemBERT classifier (Model 2) can be reused here as a lightweight upstream filter: quickly sorting verifiable factual claims from opinions or off-topic content.</w:t>
      </w:r>
    </w:p>
    <w:p>
      <w:pPr>
        <w:spacing w:after="100" w:before="220"/>
      </w:pPr>
      <w:r>
        <w:rPr>
          <w:rFonts w:ascii="Calibri" w:cs="Calibri" w:eastAsia="Calibri" w:hAnsi="Calibri"/>
          <w:b/>
          <w:bCs/>
          <w:color w:val="262626"/>
          <w:sz w:val="22"/>
          <w:szCs w:val="22"/>
        </w:rPr>
        <w:t xml:space="preserve">② Augmented generation</w:t>
      </w:r>
    </w:p>
    <w:p>
      <w:pPr>
        <w:pStyle w:val="ListParagraph"/>
        <w:numPr>
          <w:ilvl w:val="0"/>
          <w:numId w:val="2"/>
        </w:numPr>
        <w:spacing w:after="80" w:line="276"/>
      </w:pPr>
      <w:r>
        <w:rPr>
          <w:rFonts w:ascii="Calibri" w:cs="Calibri" w:eastAsia="Calibri" w:hAnsi="Calibri"/>
          <w:color w:val="262626"/>
          <w:sz w:val="21"/>
          <w:szCs w:val="21"/>
        </w:rPr>
        <w:t xml:space="preserve">An LLM receives the claim to verify along with the retrieved documentary passages (the "evidence" field already present in X-FACT, set aside until now, is a good illustration of this type of content).</w:t>
      </w:r>
    </w:p>
    <w:p>
      <w:pPr>
        <w:pStyle w:val="ListParagraph"/>
        <w:numPr>
          <w:ilvl w:val="0"/>
          <w:numId w:val="2"/>
        </w:numPr>
        <w:spacing w:after="80" w:line="276"/>
      </w:pPr>
      <w:r>
        <w:rPr>
          <w:rFonts w:ascii="Calibri" w:cs="Calibri" w:eastAsia="Calibri" w:hAnsi="Calibri"/>
          <w:color w:val="262626"/>
          <w:sz w:val="21"/>
          <w:szCs w:val="21"/>
        </w:rPr>
        <w:t xml:space="preserve">It produces a verdict accompanied by a cited justification — a direct advantage over current classifiers, which only return a label with no explanation.</w:t>
      </w:r>
    </w:p>
    <w:p>
      <w:pPr>
        <w:pStyle w:val="ListParagraph"/>
        <w:numPr>
          <w:ilvl w:val="0"/>
          <w:numId w:val="2"/>
        </w:numPr>
        <w:spacing w:after="80" w:line="276"/>
      </w:pPr>
      <w:r>
        <w:rPr>
          <w:rFonts w:ascii="Calibri" w:cs="Calibri" w:eastAsia="Calibri" w:hAnsi="Calibri"/>
          <w:color w:val="262626"/>
          <w:sz w:val="21"/>
          <w:szCs w:val="21"/>
        </w:rPr>
        <w:t xml:space="preserve">This approach allows reasoning over claims never seen during training, without requiring thousands of annotated examples per category.</w:t>
      </w:r>
    </w:p>
    <w:p>
      <w:pPr>
        <w:spacing w:after="100" w:before="220"/>
      </w:pPr>
      <w:r>
        <w:rPr>
          <w:rFonts w:ascii="Calibri" w:cs="Calibri" w:eastAsia="Calibri" w:hAnsi="Calibri"/>
          <w:b/>
          <w:bCs/>
          <w:color w:val="262626"/>
          <w:sz w:val="22"/>
          <w:szCs w:val="22"/>
        </w:rPr>
        <w:t xml:space="preserve">③ Human-in-the-loop</w:t>
      </w:r>
    </w:p>
    <w:p>
      <w:pPr>
        <w:pStyle w:val="ListParagraph"/>
        <w:numPr>
          <w:ilvl w:val="0"/>
          <w:numId w:val="2"/>
        </w:numPr>
        <w:spacing w:after="80" w:line="276"/>
      </w:pPr>
      <w:r>
        <w:rPr>
          <w:rFonts w:ascii="Calibri" w:cs="Calibri" w:eastAsia="Calibri" w:hAnsi="Calibri"/>
          <w:color w:val="262626"/>
          <w:sz w:val="21"/>
          <w:szCs w:val="21"/>
        </w:rPr>
        <w:t xml:space="preserve">The human reviewer (WenakLabs team) validates or corrects each verdict proposed by the system.</w:t>
      </w:r>
    </w:p>
    <w:p>
      <w:pPr>
        <w:pStyle w:val="ListParagraph"/>
        <w:numPr>
          <w:ilvl w:val="0"/>
          <w:numId w:val="2"/>
        </w:numPr>
        <w:spacing w:after="80" w:line="276"/>
      </w:pPr>
      <w:r>
        <w:rPr>
          <w:rFonts w:ascii="Calibri" w:cs="Calibri" w:eastAsia="Calibri" w:hAnsi="Calibri"/>
          <w:color w:val="262626"/>
          <w:sz w:val="21"/>
          <w:szCs w:val="21"/>
        </w:rPr>
        <w:t xml:space="preserve">These corrections become the raw material for a future local training corpus — the most realistic way to close the current data gap, rather than waiting for a large external corpus.</w:t>
      </w:r>
    </w:p>
    <w:p>
      <w:pPr>
        <w:spacing w:after="60"/>
      </w:pPr>
    </w:p>
    <w:p>
      <w:pPr>
        <w:pStyle w:val="Heading2"/>
        <w:spacing w:after="140" w:before="320"/>
      </w:pPr>
      <w:r>
        <w:rPr>
          <w:rFonts w:ascii="Calibri" w:cs="Calibri" w:eastAsia="Calibri" w:hAnsi="Calibri"/>
          <w:b/>
          <w:bCs/>
          <w:color w:val="2E5C8A"/>
          <w:sz w:val="24"/>
          <w:szCs w:val="24"/>
        </w:rPr>
        <w:t xml:space="preserve">4.3 Division of roles across the three models</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4000"/>
        <w:gridCol w:w="2600"/>
      </w:tblGrid>
      <w:tr>
        <w:trPr>
          <w:tblHeader/>
        </w:trPr>
        <w:tc>
          <w:tcPr>
            <w:tcW w:type="dxa" w:w="2700"/>
            <w:shd w:fill="1F3864"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Component</w:t>
            </w:r>
          </w:p>
        </w:tc>
        <w:tc>
          <w:tcPr>
            <w:tcW w:type="dxa" w:w="4000"/>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8"/>
                <w:szCs w:val="18"/>
              </w:rPr>
              <w:t xml:space="preserve">Role in SaoCheck</w:t>
            </w:r>
          </w:p>
        </w:tc>
        <w:tc>
          <w:tcPr>
            <w:tcW w:type="dxa" w:w="2600"/>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8"/>
                <w:szCs w:val="18"/>
              </w:rPr>
              <w:t xml:space="preserve">Dependence on data</w:t>
            </w:r>
          </w:p>
        </w:tc>
      </w:tr>
      <w:tr>
        <w:tc>
          <w:tcPr>
            <w:tcW w:type="dxa" w:w="27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18"/>
                <w:szCs w:val="18"/>
              </w:rPr>
              <w:t xml:space="preserve">CamemBERT (Model 2, binary)</w:t>
            </w:r>
          </w:p>
        </w:tc>
        <w:tc>
          <w:tcPr>
            <w:tcW w:type="dxa" w:w="40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Fast upstream triage: verifiable factual claim vs. opinion/off-topic</w:t>
            </w:r>
          </w:p>
        </w:tc>
        <w:tc>
          <w:tcPr>
            <w:tcW w:type="dxa" w:w="26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Moderate — already functional on X-FACT</w:t>
            </w:r>
          </w:p>
        </w:tc>
      </w:tr>
      <w:tr>
        <w:tc>
          <w:tcPr>
            <w:tcW w:type="dxa" w:w="270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18"/>
                <w:szCs w:val="18"/>
              </w:rPr>
              <w:t xml:space="preserve">RAG (retrieval)</w:t>
            </w:r>
          </w:p>
        </w:tc>
        <w:tc>
          <w:tcPr>
            <w:tcW w:type="dxa" w:w="40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Gather relevant documentary evidence</w:t>
            </w:r>
          </w:p>
        </w:tc>
        <w:tc>
          <w:tcPr>
            <w:tcW w:type="dxa" w:w="26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Low — depends on a source corpus, not annotations</w:t>
            </w:r>
          </w:p>
        </w:tc>
      </w:tr>
      <w:tr>
        <w:tc>
          <w:tcPr>
            <w:tcW w:type="dxa" w:w="27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18"/>
                <w:szCs w:val="18"/>
              </w:rPr>
              <w:t xml:space="preserve">LLM (generation)</w:t>
            </w:r>
          </w:p>
        </w:tc>
        <w:tc>
          <w:tcPr>
            <w:tcW w:type="dxa" w:w="40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Produce an argued, citable verdict</w:t>
            </w:r>
          </w:p>
        </w:tc>
        <w:tc>
          <w:tcPr>
            <w:tcW w:type="dxa" w:w="26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Low — reasoning, not classic supervised learning</w:t>
            </w:r>
          </w:p>
        </w:tc>
      </w:tr>
      <w:tr>
        <w:tc>
          <w:tcPr>
            <w:tcW w:type="dxa" w:w="270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18"/>
                <w:szCs w:val="18"/>
              </w:rPr>
              <w:t xml:space="preserve">Human validation</w:t>
            </w:r>
          </w:p>
        </w:tc>
        <w:tc>
          <w:tcPr>
            <w:tcW w:type="dxa" w:w="40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Quality control + generation of future training data</w:t>
            </w:r>
          </w:p>
        </w:tc>
        <w:tc>
          <w:tcPr>
            <w:tcW w:type="dxa" w:w="26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18"/>
                <w:szCs w:val="18"/>
              </w:rPr>
              <w:t xml:space="preserve">Feeds the pipeline continuously</w:t>
            </w:r>
          </w:p>
        </w:tc>
      </w:tr>
    </w:tbl>
    <w:p>
      <w:pPr>
        <w:spacing w:after="260" w:before="60"/>
      </w:pPr>
      <w:r>
        <w:rPr>
          <w:rFonts w:ascii="Calibri" w:cs="Calibri" w:eastAsia="Calibri" w:hAnsi="Calibri"/>
          <w:i/>
          <w:iCs/>
          <w:color w:val="595959"/>
          <w:sz w:val="18"/>
          <w:szCs w:val="18"/>
        </w:rPr>
        <w:t xml:space="preserve">Table 4 — Division of roles within the target LLM + RAG architecture.</w:t>
      </w:r>
    </w:p>
    <w:p>
      <w:pPr>
        <w:pStyle w:val="Heading1"/>
        <w:pBdr>
          <w:bottom w:val="single" w:color="1F3864" w:sz="6" w:space="4"/>
        </w:pBdr>
        <w:spacing w:after="200" w:before="400"/>
      </w:pPr>
      <w:r>
        <w:rPr>
          <w:rFonts w:ascii="Calibri" w:cs="Calibri" w:eastAsia="Calibri" w:hAnsi="Calibri"/>
          <w:b/>
          <w:bCs/>
          <w:color w:val="1F3864"/>
          <w:sz w:val="30"/>
          <w:szCs w:val="30"/>
        </w:rPr>
        <w:t xml:space="preserve">5. Synthesis and Recommendation</w:t>
      </w:r>
    </w:p>
    <w:p>
      <w:pPr>
        <w:spacing w:after="160" w:line="288"/>
      </w:pPr>
      <w:r>
        <w:rPr>
          <w:rFonts w:ascii="Calibri" w:cs="Calibri" w:eastAsia="Calibri" w:hAnsi="Calibri"/>
          <w:color w:val="262626"/>
          <w:sz w:val="21"/>
          <w:szCs w:val="21"/>
        </w:rPr>
        <w:t xml:space="preserve">The three models presented are not in competition with one another: they form a logical progression. The 5-class model validated the technical pipeline and objectively demonstrated the data constraint. The binary model shows that simplifying the problem yields usable results today, with the data currently available. The LLM + RAG architecture is the recommended direction for the rest of the sprint, as it structurally addresses the constraint identified by the first two models, while reusing the binary classifier as a triage building block.</w:t>
      </w:r>
    </w:p>
    <w:p>
      <w:pPr>
        <w:spacing w:after="100" w:before="220"/>
      </w:pPr>
      <w:r>
        <w:rPr>
          <w:rFonts w:ascii="Calibri" w:cs="Calibri" w:eastAsia="Calibri" w:hAnsi="Calibri"/>
          <w:b/>
          <w:bCs/>
          <w:color w:val="262626"/>
          <w:sz w:val="22"/>
          <w:szCs w:val="22"/>
        </w:rPr>
        <w:t xml:space="preserve">Recommendations for the October sprint</w:t>
      </w:r>
    </w:p>
    <w:p>
      <w:pPr>
        <w:pStyle w:val="ListParagraph"/>
        <w:numPr>
          <w:ilvl w:val="0"/>
          <w:numId w:val="2"/>
        </w:numPr>
        <w:spacing w:after="80" w:line="276"/>
      </w:pPr>
      <w:r>
        <w:rPr>
          <w:rFonts w:ascii="Calibri" w:cs="Calibri" w:eastAsia="Calibri" w:hAnsi="Calibri"/>
          <w:color w:val="262626"/>
          <w:sz w:val="21"/>
          <w:szCs w:val="21"/>
        </w:rPr>
        <w:t xml:space="preserve">Keep the binary model (Model 2) as a triage component that can be reused immediately within the RAG pipeline.</w:t>
      </w:r>
    </w:p>
    <w:p>
      <w:pPr>
        <w:pStyle w:val="ListParagraph"/>
        <w:numPr>
          <w:ilvl w:val="0"/>
          <w:numId w:val="2"/>
        </w:numPr>
        <w:spacing w:after="80" w:line="276"/>
      </w:pPr>
      <w:r>
        <w:rPr>
          <w:rFonts w:ascii="Calibri" w:cs="Calibri" w:eastAsia="Calibri" w:hAnsi="Calibri"/>
          <w:color w:val="262626"/>
          <w:sz w:val="21"/>
          <w:szCs w:val="21"/>
        </w:rPr>
        <w:t xml:space="preserve">Prioritize building a document base (WenakLabs sources, AFP Factuel, Chadian/Cameroonian press) to feed the RAG component.</w:t>
      </w:r>
    </w:p>
    <w:p>
      <w:pPr>
        <w:pStyle w:val="ListParagraph"/>
        <w:numPr>
          <w:ilvl w:val="0"/>
          <w:numId w:val="2"/>
        </w:numPr>
        <w:spacing w:after="80" w:line="276"/>
      </w:pPr>
      <w:r>
        <w:rPr>
          <w:rFonts w:ascii="Calibri" w:cs="Calibri" w:eastAsia="Calibri" w:hAnsi="Calibri"/>
          <w:color w:val="262626"/>
          <w:sz w:val="21"/>
          <w:szCs w:val="21"/>
        </w:rPr>
        <w:t xml:space="preserve">Set up the human validation loop from the first tests onward, to start building a locally relevant annotated corpus.</w:t>
      </w:r>
    </w:p>
    <w:p>
      <w:pPr>
        <w:pStyle w:val="ListParagraph"/>
        <w:numPr>
          <w:ilvl w:val="0"/>
          <w:numId w:val="2"/>
        </w:numPr>
        <w:spacing w:after="80" w:line="276"/>
      </w:pPr>
      <w:r>
        <w:rPr>
          <w:rFonts w:ascii="Calibri" w:cs="Calibri" w:eastAsia="Calibri" w:hAnsi="Calibri"/>
          <w:color w:val="262626"/>
          <w:sz w:val="21"/>
          <w:szCs w:val="21"/>
        </w:rPr>
        <w:t xml:space="preserve">Continue testing with X-FACT in parallel, as a technical testbed, without treating it as a production corpus.</w:t>
      </w:r>
    </w:p>
    <w:p>
      <w:pPr>
        <w:spacing w:after="300"/>
      </w:pPr>
    </w:p>
    <w:p>
      <w:pPr>
        <w:pBdr>
          <w:top w:val="single" w:color="BFBFBF" w:sz="4" w:space="8"/>
        </w:pBdr>
        <w:spacing w:before="200"/>
      </w:pPr>
      <w:r>
        <w:rPr>
          <w:rFonts w:ascii="Calibri" w:cs="Calibri" w:eastAsia="Calibri" w:hAnsi="Calibri"/>
          <w:i/>
          <w:iCs/>
          <w:color w:val="595959"/>
          <w:sz w:val="18"/>
          <w:szCs w:val="18"/>
        </w:rPr>
        <w:t xml:space="preserve">Document prepared by Mr. Adjinsala — CfA AI for Good Fellow, in support of the WenakLabs partnership. Technical presentation material for Wednesday's meeting with Code for Africa and WenakLabs.</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2026-08-29T15:02:14.208Z</dcterms:created>
  <dcterms:modified xsi:type="dcterms:W3CDTF">2026-08-29T15:02:14.222Z</dcterms:modified>
</cp:coreProperties>
</file>

<file path=docProps/custom.xml><?xml version="1.0" encoding="utf-8"?>
<Properties xmlns="http://schemas.openxmlformats.org/officeDocument/2006/custom-properties" xmlns:vt="http://schemas.openxmlformats.org/officeDocument/2006/docPropsVTypes"/>
</file>