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A History-Conditioned Cross-Modal Attention Framework</w:t>
        <w:br/>
        <w:t>for Multimodal Lung Disease Diagnosis from Chest X-Rays</w:t>
      </w:r>
    </w:p>
    <w:p/>
    <w:p>
      <w:pPr>
        <w:jc w:val="center"/>
      </w:pPr>
      <w:r>
        <w:rPr>
          <w:sz w:val="26"/>
        </w:rPr>
        <w:t>Project Report — VIT University</w:t>
      </w:r>
    </w:p>
    <w:p/>
    <w:p>
      <w:pPr>
        <w:jc w:val="center"/>
      </w:pPr>
      <w:r>
        <w:rPr>
          <w:sz w:val="22"/>
        </w:rPr>
        <w:t>Based on: Arnav Panwar &amp; David Kumar</w:t>
      </w:r>
    </w:p>
    <w:p>
      <w:r>
        <w:br w:type="page"/>
      </w:r>
    </w:p>
    <w:p>
      <w:pPr>
        <w:pStyle w:val="Heading1"/>
      </w:pPr>
      <w:r>
        <w:t>1. Introduction</w:t>
      </w:r>
    </w:p>
    <w:p>
      <w:pPr/>
      <w:r>
        <w:t>Chest X-ray interpretation is one of the most frequently performed yet error-prone tasks in radiology. Automated deep learning systems have made significant progress in image-based diagnosis, but they share a fundamental limitation with naive human reading: they look only at the image and ignore all other available clinical context.</w:t>
      </w:r>
    </w:p>
    <w:p/>
    <w:p>
      <w:pPr/>
      <w:r>
        <w:t>In real clinical practice, a radiologist never reads an image in isolation. Patient age, sex, prior visit history, and the projection view of the X-ray all influence the interpretation. A shadow that might suggest cardiomegaly in a 70-year-old male looks very different from the same finding in a 25-year-old athlete. This project implements a multimodal architecture that incorporates structured patient history alongside the chest X-ray image, fusing the two modalities through bidirectional cross-modal attention.</w:t>
      </w:r>
    </w:p>
    <w:p/>
    <w:p>
      <w:pPr>
        <w:pStyle w:val="Heading2"/>
      </w:pPr>
      <w:r>
        <w:t>1.1 Objectives</w:t>
      </w:r>
    </w:p>
    <w:p>
      <w:pPr>
        <w:pStyle w:val="ListBullet"/>
      </w:pPr>
      <w:r>
        <w:t>Implement a full multimodal pipeline for multi-label chest X-ray diagnosis.</w:t>
      </w:r>
    </w:p>
    <w:p>
      <w:pPr>
        <w:pStyle w:val="ListBullet"/>
      </w:pPr>
      <w:r>
        <w:t>Fuse visual features (DenseNet-121) with clinical history text (Bio_ClinicalBERT) using bidirectional cross-modal attention.</w:t>
      </w:r>
    </w:p>
    <w:p>
      <w:pPr>
        <w:pStyle w:val="ListBullet"/>
      </w:pPr>
      <w:r>
        <w:t>Introduce a consistency module that gates predictions based on how well the image and history agree.</w:t>
      </w:r>
    </w:p>
    <w:p>
      <w:pPr>
        <w:pStyle w:val="ListBullet"/>
      </w:pPr>
      <w:r>
        <w:t>Demonstrate the complete system on the NIH ChestXray14 benchmark (112,120 images, 14 disease classes).</w:t>
      </w:r>
    </w:p>
    <w:p>
      <w:r>
        <w:br w:type="page"/>
      </w:r>
    </w:p>
    <w:p>
      <w:pPr>
        <w:pStyle w:val="Heading1"/>
      </w:pPr>
      <w:r>
        <w:t>2. Dataset: NIH ChestXray14</w:t>
      </w:r>
    </w:p>
    <w:p>
      <w:pPr/>
      <w:r>
        <w:t>The NIH ChestXray14 dataset is the standard public benchmark for automated chest X-ray classification. Released by Wang et al. (2017), it contains frontal-view X-ray images with weak labels mined from radiology reports using NLP.</w:t>
      </w:r>
    </w:p>
    <w:p/>
    <w:p>
      <w:pPr>
        <w:pStyle w:val="Heading2"/>
      </w:pPr>
      <w:r>
        <w:t>2.1 Dataset Statistics</w:t>
      </w:r>
    </w:p>
    <w:tbl>
      <w:tblPr>
        <w:tblStyle w:val="LightShading-Accent1"/>
        <w:tblW w:type="auto" w:w="0"/>
        <w:tblLook w:firstColumn="1" w:firstRow="1" w:lastColumn="0" w:lastRow="0" w:noHBand="0" w:noVBand="1" w:val="04A0"/>
      </w:tblPr>
      <w:tblGrid>
        <w:gridCol w:w="4533"/>
        <w:gridCol w:w="4533"/>
      </w:tblGrid>
      <w:tr>
        <w:tc>
          <w:tcPr>
            <w:tcW w:type="dxa" w:w="4533"/>
          </w:tcPr>
          <w:p>
            <w:r>
              <w:rPr>
                <w:b/>
              </w:rPr>
              <w:t>Property</w:t>
            </w:r>
          </w:p>
        </w:tc>
        <w:tc>
          <w:tcPr>
            <w:tcW w:type="dxa" w:w="4533"/>
          </w:tcPr>
          <w:p>
            <w:r>
              <w:rPr>
                <w:b/>
              </w:rPr>
              <w:t>Value</w:t>
            </w:r>
          </w:p>
        </w:tc>
      </w:tr>
      <w:tr>
        <w:tc>
          <w:tcPr>
            <w:tcW w:type="dxa" w:w="4533"/>
          </w:tcPr>
          <w:p>
            <w:r>
              <w:t>Total images</w:t>
            </w:r>
          </w:p>
        </w:tc>
        <w:tc>
          <w:tcPr>
            <w:tcW w:type="dxa" w:w="4533"/>
          </w:tcPr>
          <w:p>
            <w:r>
              <w:t>112,120</w:t>
            </w:r>
          </w:p>
        </w:tc>
      </w:tr>
      <w:tr>
        <w:tc>
          <w:tcPr>
            <w:tcW w:type="dxa" w:w="4533"/>
          </w:tcPr>
          <w:p>
            <w:r>
              <w:t>Unique patients</w:t>
            </w:r>
          </w:p>
        </w:tc>
        <w:tc>
          <w:tcPr>
            <w:tcW w:type="dxa" w:w="4533"/>
          </w:tcPr>
          <w:p>
            <w:r>
              <w:t>30,805</w:t>
            </w:r>
          </w:p>
        </w:tc>
      </w:tr>
      <w:tr>
        <w:tc>
          <w:tcPr>
            <w:tcW w:type="dxa" w:w="4533"/>
          </w:tcPr>
          <w:p>
            <w:r>
              <w:t>Disease classes</w:t>
            </w:r>
          </w:p>
        </w:tc>
        <w:tc>
          <w:tcPr>
            <w:tcW w:type="dxa" w:w="4533"/>
          </w:tcPr>
          <w:p>
            <w:r>
              <w:t>14 (multi-label)</w:t>
            </w:r>
          </w:p>
        </w:tc>
      </w:tr>
      <w:tr>
        <w:tc>
          <w:tcPr>
            <w:tcW w:type="dxa" w:w="4533"/>
          </w:tcPr>
          <w:p>
            <w:r>
              <w:t>Label format</w:t>
            </w:r>
          </w:p>
        </w:tc>
        <w:tc>
          <w:tcPr>
            <w:tcW w:type="dxa" w:w="4533"/>
          </w:tcPr>
          <w:p>
            <w:r>
              <w:t>Binary vector per image (one entry per class)</w:t>
            </w:r>
          </w:p>
        </w:tc>
      </w:tr>
      <w:tr>
        <w:tc>
          <w:tcPr>
            <w:tcW w:type="dxa" w:w="4533"/>
          </w:tcPr>
          <w:p>
            <w:r>
              <w:t>Image format</w:t>
            </w:r>
          </w:p>
        </w:tc>
        <w:tc>
          <w:tcPr>
            <w:tcW w:type="dxa" w:w="4533"/>
          </w:tcPr>
          <w:p>
            <w:r>
              <w:t>PNG, 1024×1024 pixels (resized to 224×224 for training)</w:t>
            </w:r>
          </w:p>
        </w:tc>
      </w:tr>
      <w:tr>
        <w:tc>
          <w:tcPr>
            <w:tcW w:type="dxa" w:w="4533"/>
          </w:tcPr>
          <w:p>
            <w:r>
              <w:t>Train / Val split</w:t>
            </w:r>
          </w:p>
        </w:tc>
        <w:tc>
          <w:tcPr>
            <w:tcW w:type="dxa" w:w="4533"/>
          </w:tcPr>
          <w:p>
            <w:r>
              <w:t>80% / 20% of official train_val_list.txt</w:t>
            </w:r>
          </w:p>
        </w:tc>
      </w:tr>
      <w:tr>
        <w:tc>
          <w:tcPr>
            <w:tcW w:type="dxa" w:w="4533"/>
          </w:tcPr>
          <w:p>
            <w:r>
              <w:t>Official test set</w:t>
            </w:r>
          </w:p>
        </w:tc>
        <w:tc>
          <w:tcPr>
            <w:tcW w:type="dxa" w:w="4533"/>
          </w:tcPr>
          <w:p>
            <w:r>
              <w:t>test_list.txt (held out)</w:t>
            </w:r>
          </w:p>
        </w:tc>
      </w:tr>
    </w:tbl>
    <w:p/>
    <w:p>
      <w:pPr>
        <w:pStyle w:val="Heading2"/>
      </w:pPr>
      <w:r>
        <w:t>2.2 Disease Classes</w:t>
      </w:r>
    </w:p>
    <w:p>
      <w:pPr/>
      <w:r>
        <w:t>The 14 pathology classes are: Atelectasis, Cardiomegaly, Effusion, Infiltration, Mass, Nodule, Pneumonia, Pneumothorax, Consolidation, Edema, Emphysema, Fibrosis, Pleural Thickening, and Hernia. Each image may carry zero or more labels simultaneously (multi-label classification). A special 'No Finding' label is used when none of the 14 pathologies are present, but it is excluded from the prediction target vector.</w:t>
      </w:r>
    </w:p>
    <w:p/>
    <w:p>
      <w:pPr>
        <w:pStyle w:val="Heading2"/>
      </w:pPr>
      <w:r>
        <w:t>2.3 Synthetic Clinical History</w:t>
      </w:r>
    </w:p>
    <w:p>
      <w:pPr/>
      <w:r>
        <w:t>The NIH dataset provides images and disease labels but contains no free-text clinical notes. To enable multimodal training, we generate a synthetic history string from the available metadata fields for each image:</w:t>
      </w:r>
    </w:p>
    <w:p>
      <w:pPr>
        <w:pStyle w:val="ListBullet"/>
      </w:pPr>
      <w:r>
        <w:t>Patient age</w:t>
      </w:r>
    </w:p>
    <w:p>
      <w:pPr>
        <w:pStyle w:val="ListBullet"/>
      </w:pPr>
      <w:r>
        <w:t>Patient gender (M / F)</w:t>
      </w:r>
    </w:p>
    <w:p>
      <w:pPr>
        <w:pStyle w:val="ListBullet"/>
      </w:pPr>
      <w:r>
        <w:t>View position (PA = posterior-anterior, AP = anterior-posterior)</w:t>
      </w:r>
    </w:p>
    <w:p>
      <w:pPr>
        <w:pStyle w:val="ListBullet"/>
      </w:pPr>
      <w:r>
        <w:t>Follow-up number (0 = initial presentation, &gt;0 = return visit)</w:t>
      </w:r>
    </w:p>
    <w:p>
      <w:pPr>
        <w:pStyle w:val="ListBullet"/>
      </w:pPr>
      <w:r>
        <w:t>Disease labels from the patient's previous visit (if follow-up &gt; 0)</w:t>
      </w:r>
    </w:p>
    <w:p/>
    <w:p>
      <w:pPr/>
      <w:r>
        <w:t>Example generated history:</w:t>
      </w:r>
    </w:p>
    <w:p>
      <w:pPr>
        <w:spacing w:before="40" w:after="40"/>
        <w:ind w:left="567"/>
      </w:pPr>
      <w:r>
        <w:rPr>
          <w:rFonts w:ascii="Courier New" w:hAnsi="Courier New"/>
          <w:color w:val="2E86C1"/>
          <w:sz w:val="18"/>
        </w:rPr>
        <w:t>"Patient is a 67-year-old male. Chest X-ray taken in PA view. Follow-up visit number 3. Previous findings: Effusion, Atelectasis."</w:t>
      </w:r>
    </w:p>
    <w:p/>
    <w:p>
      <w:pPr/>
      <w:r>
        <w:t>When required metadata is absent (e.g. age = 0), the special token 'NO_HISTORY' is used. The text encoder is trained to produce a neutral embedding for this sentinel value.</w:t>
      </w:r>
    </w:p>
    <w:p>
      <w:r>
        <w:br w:type="page"/>
      </w:r>
    </w:p>
    <w:p>
      <w:pPr>
        <w:pStyle w:val="Heading1"/>
      </w:pPr>
      <w:r>
        <w:t>3. Model Architecture</w:t>
      </w:r>
    </w:p>
    <w:p>
      <w:pPr/>
      <w:r>
        <w:t>The full model is called MultimodalDiagnosticModel and consists of four sequential stages: visual encoding, text encoding, cross-modal fusion, and consistency-gated classification. The overall data flow is:</w:t>
      </w:r>
    </w:p>
    <w:p/>
    <w:p>
      <w:pPr>
        <w:spacing w:before="40" w:after="40"/>
        <w:ind w:left="567"/>
      </w:pPr>
      <w:r>
        <w:rPr>
          <w:rFonts w:ascii="Courier New" w:hAnsi="Courier New"/>
          <w:color w:val="2E86C1"/>
          <w:sz w:val="18"/>
        </w:rPr>
        <w:t>X-Ray Image  →  DenseNet-121  →  Visual Tokens  (B, 49, 1024)</w:t>
        <w:br/>
        <w:t>History Text →  Bio_ClinicalBERT →  Text Tokens (B, N_t, 768)</w:t>
        <w:br/>
        <w:t xml:space="preserve">                    ↓</w:t>
        <w:br/>
        <w:t xml:space="preserve">         Bidirectional Cross-Modal Attention  (shared 512-dim)</w:t>
        <w:br/>
        <w:t xml:space="preserve">                    ↓</w:t>
        <w:br/>
        <w:t xml:space="preserve">         Consistency Gate (MLP compatibility score s)</w:t>
        <w:br/>
        <w:t xml:space="preserve">                    ↓</w:t>
        <w:br/>
        <w:t xml:space="preserve">         14-class sigmoid output → disease probabilities</w:t>
      </w:r>
    </w:p>
    <w:p/>
    <w:p>
      <w:pPr>
        <w:pStyle w:val="Heading2"/>
      </w:pPr>
      <w:r>
        <w:t>3.1 Visual Encoder — DenseNet-121</w:t>
      </w:r>
    </w:p>
    <w:p>
      <w:pPr/>
      <w:r>
        <w:t>DenseNet-121 (Huang et al., 2017) is a 121-layer convolutional neural network with dense connectivity: every layer receives feature maps from all preceding layers within its dense block. This design has two key advantages for medical imaging:</w:t>
      </w:r>
    </w:p>
    <w:p>
      <w:pPr>
        <w:pStyle w:val="ListBullet"/>
      </w:pPr>
      <w:r>
        <w:t>Feature reuse: earlier low-level edge and texture features are directly accessible to deeper layers, which is important for detecting subtle pathologies.</w:t>
      </w:r>
    </w:p>
    <w:p>
      <w:pPr>
        <w:pStyle w:val="ListBullet"/>
      </w:pPr>
      <w:r>
        <w:t>Gradient flow: skip connections allow gradients to propagate directly to early layers, preventing vanishing gradients in deep networks.</w:t>
      </w:r>
    </w:p>
    <w:p/>
    <w:p>
      <w:pPr/>
      <w:r>
        <w:t>Architecture details:</w:t>
      </w:r>
    </w:p>
    <w:tbl>
      <w:tblPr>
        <w:tblStyle w:val="LightShading-Accent1"/>
        <w:tblW w:type="auto" w:w="0"/>
        <w:tblLook w:firstColumn="1" w:firstRow="1" w:lastColumn="0" w:lastRow="0" w:noHBand="0" w:noVBand="1" w:val="04A0"/>
      </w:tblPr>
      <w:tblGrid>
        <w:gridCol w:w="4533"/>
        <w:gridCol w:w="4533"/>
      </w:tblGrid>
      <w:tr>
        <w:tc>
          <w:tcPr>
            <w:tcW w:type="dxa" w:w="4533"/>
          </w:tcPr>
          <w:p>
            <w:r>
              <w:rPr>
                <w:b/>
              </w:rPr>
              <w:t>Component</w:t>
            </w:r>
          </w:p>
        </w:tc>
        <w:tc>
          <w:tcPr>
            <w:tcW w:type="dxa" w:w="4533"/>
          </w:tcPr>
          <w:p>
            <w:r>
              <w:rPr>
                <w:b/>
              </w:rPr>
              <w:t>Detail</w:t>
            </w:r>
          </w:p>
        </w:tc>
      </w:tr>
      <w:tr>
        <w:tc>
          <w:tcPr>
            <w:tcW w:type="dxa" w:w="4533"/>
          </w:tcPr>
          <w:p>
            <w:r>
              <w:t>Input</w:t>
            </w:r>
          </w:p>
        </w:tc>
        <w:tc>
          <w:tcPr>
            <w:tcW w:type="dxa" w:w="4533"/>
          </w:tcPr>
          <w:p>
            <w:r>
              <w:t>224×224×3 RGB image (ImageNet normalisation)</w:t>
            </w:r>
          </w:p>
        </w:tc>
      </w:tr>
      <w:tr>
        <w:tc>
          <w:tcPr>
            <w:tcW w:type="dxa" w:w="4533"/>
          </w:tcPr>
          <w:p>
            <w:r>
              <w:t>Dense blocks</w:t>
            </w:r>
          </w:p>
        </w:tc>
        <w:tc>
          <w:tcPr>
            <w:tcW w:type="dxa" w:w="4533"/>
          </w:tcPr>
          <w:p>
            <w:r>
              <w:t>4 dense blocks with 6, 12, 24, 16 layers respectively</w:t>
            </w:r>
          </w:p>
        </w:tc>
      </w:tr>
      <w:tr>
        <w:tc>
          <w:tcPr>
            <w:tcW w:type="dxa" w:w="4533"/>
          </w:tcPr>
          <w:p>
            <w:r>
              <w:t>Transition layers</w:t>
            </w:r>
          </w:p>
        </w:tc>
        <w:tc>
          <w:tcPr>
            <w:tcW w:type="dxa" w:w="4533"/>
          </w:tcPr>
          <w:p>
            <w:r>
              <w:t>1×1 conv + 2×2 avg pool between dense blocks</w:t>
            </w:r>
          </w:p>
        </w:tc>
      </w:tr>
      <w:tr>
        <w:tc>
          <w:tcPr>
            <w:tcW w:type="dxa" w:w="4533"/>
          </w:tcPr>
          <w:p>
            <w:r>
              <w:t>Final feature map</w:t>
            </w:r>
          </w:p>
        </w:tc>
        <w:tc>
          <w:tcPr>
            <w:tcW w:type="dxa" w:w="4533"/>
          </w:tcPr>
          <w:p>
            <w:r>
              <w:t>(B, 1024, 7, 7) — 1024 channels, 7×7 spatial grid</w:t>
            </w:r>
          </w:p>
        </w:tc>
      </w:tr>
      <w:tr>
        <w:tc>
          <w:tcPr>
            <w:tcW w:type="dxa" w:w="4533"/>
          </w:tcPr>
          <w:p>
            <w:r>
              <w:t>Token sequence</w:t>
            </w:r>
          </w:p>
        </w:tc>
        <w:tc>
          <w:tcPr>
            <w:tcW w:type="dxa" w:w="4533"/>
          </w:tcPr>
          <w:p>
            <w:r>
              <w:t>Flatten spatial grid → (B, 49, 1024) region tokens</w:t>
            </w:r>
          </w:p>
        </w:tc>
      </w:tr>
      <w:tr>
        <w:tc>
          <w:tcPr>
            <w:tcW w:type="dxa" w:w="4533"/>
          </w:tcPr>
          <w:p>
            <w:r>
              <w:t>Projection</w:t>
            </w:r>
          </w:p>
        </w:tc>
        <w:tc>
          <w:tcPr>
            <w:tcW w:type="dxa" w:w="4533"/>
          </w:tcPr>
          <w:p>
            <w:r>
              <w:t>Linear(1024 → 512) inside the fusion module</w:t>
            </w:r>
          </w:p>
        </w:tc>
      </w:tr>
      <w:tr>
        <w:tc>
          <w:tcPr>
            <w:tcW w:type="dxa" w:w="4533"/>
          </w:tcPr>
          <w:p>
            <w:r>
              <w:t>Pretraining</w:t>
            </w:r>
          </w:p>
        </w:tc>
        <w:tc>
          <w:tcPr>
            <w:tcW w:type="dxa" w:w="4533"/>
          </w:tcPr>
          <w:p>
            <w:r>
              <w:t>ImageNet-1K weights (torchvision DenseNet121_Weights.IMAGENET1K_V1)</w:t>
            </w:r>
          </w:p>
        </w:tc>
      </w:tr>
      <w:tr>
        <w:tc>
          <w:tcPr>
            <w:tcW w:type="dxa" w:w="4533"/>
          </w:tcPr>
          <w:p>
            <w:r>
              <w:t>Fine-tuning</w:t>
            </w:r>
          </w:p>
        </w:tc>
        <w:tc>
          <w:tcPr>
            <w:tcW w:type="dxa" w:w="4533"/>
          </w:tcPr>
          <w:p>
            <w:r>
              <w:t>All layers trainable with backbone_lr = 1e-5</w:t>
            </w:r>
          </w:p>
        </w:tc>
      </w:tr>
    </w:tbl>
    <w:p/>
    <w:p>
      <w:pPr/>
      <w:r>
        <w:t>Note: DenseNet-121 was chosen because CheXNet (Rajpurkar et al., 2017) first demonstrated its superiority over radiologists on the NIH CXR14 benchmark, making it the established backbone for this task. The final 7×7 spatial feature map is kept as a token sequence (49 region tokens) rather than global average pooled, so the cross-modal attention can attend to specific spatial regions of the lung.</w:t>
      </w:r>
    </w:p>
    <w:p/>
    <w:p>
      <w:pPr>
        <w:pStyle w:val="Heading2"/>
      </w:pPr>
      <w:r>
        <w:t>3.2 Text Encoder — Bio_ClinicalBERT</w:t>
      </w:r>
    </w:p>
    <w:p>
      <w:pPr/>
      <w:r>
        <w:t>Bio_ClinicalBERT (Alsentzer et al., 2019) is a domain-adapted BERT model pretrained on clinical notes from the MIMIC-III database. It shares the BERT-base architecture but has been further pretrained on approximately 880 million words of de-identified hospital electronic health records, giving it strong representations of medical terminology.</w:t>
      </w:r>
    </w:p>
    <w:p/>
    <w:tbl>
      <w:tblPr>
        <w:tblStyle w:val="LightShading-Accent1"/>
        <w:tblW w:type="auto" w:w="0"/>
        <w:tblLook w:firstColumn="1" w:firstRow="1" w:lastColumn="0" w:lastRow="0" w:noHBand="0" w:noVBand="1" w:val="04A0"/>
      </w:tblPr>
      <w:tblGrid>
        <w:gridCol w:w="4533"/>
        <w:gridCol w:w="4533"/>
      </w:tblGrid>
      <w:tr>
        <w:tc>
          <w:tcPr>
            <w:tcW w:type="dxa" w:w="4533"/>
          </w:tcPr>
          <w:p>
            <w:r>
              <w:rPr>
                <w:b/>
              </w:rPr>
              <w:t>Component</w:t>
            </w:r>
          </w:p>
        </w:tc>
        <w:tc>
          <w:tcPr>
            <w:tcW w:type="dxa" w:w="4533"/>
          </w:tcPr>
          <w:p>
            <w:r>
              <w:rPr>
                <w:b/>
              </w:rPr>
              <w:t>Detail</w:t>
            </w:r>
          </w:p>
        </w:tc>
      </w:tr>
      <w:tr>
        <w:tc>
          <w:tcPr>
            <w:tcW w:type="dxa" w:w="4533"/>
          </w:tcPr>
          <w:p>
            <w:r>
              <w:t>Base architecture</w:t>
            </w:r>
          </w:p>
        </w:tc>
        <w:tc>
          <w:tcPr>
            <w:tcW w:type="dxa" w:w="4533"/>
          </w:tcPr>
          <w:p>
            <w:r>
              <w:t>BERT-base (bert-base-uncased architecture)</w:t>
            </w:r>
          </w:p>
        </w:tc>
      </w:tr>
      <w:tr>
        <w:tc>
          <w:tcPr>
            <w:tcW w:type="dxa" w:w="4533"/>
          </w:tcPr>
          <w:p>
            <w:r>
              <w:t>Transformer layers</w:t>
            </w:r>
          </w:p>
        </w:tc>
        <w:tc>
          <w:tcPr>
            <w:tcW w:type="dxa" w:w="4533"/>
          </w:tcPr>
          <w:p>
            <w:r>
              <w:t>12 encoder layers</w:t>
            </w:r>
          </w:p>
        </w:tc>
      </w:tr>
      <w:tr>
        <w:tc>
          <w:tcPr>
            <w:tcW w:type="dxa" w:w="4533"/>
          </w:tcPr>
          <w:p>
            <w:r>
              <w:t>Hidden dimension</w:t>
            </w:r>
          </w:p>
        </w:tc>
        <w:tc>
          <w:tcPr>
            <w:tcW w:type="dxa" w:w="4533"/>
          </w:tcPr>
          <w:p>
            <w:r>
              <w:t>768</w:t>
            </w:r>
          </w:p>
        </w:tc>
      </w:tr>
      <w:tr>
        <w:tc>
          <w:tcPr>
            <w:tcW w:type="dxa" w:w="4533"/>
          </w:tcPr>
          <w:p>
            <w:r>
              <w:t>Attention heads</w:t>
            </w:r>
          </w:p>
        </w:tc>
        <w:tc>
          <w:tcPr>
            <w:tcW w:type="dxa" w:w="4533"/>
          </w:tcPr>
          <w:p>
            <w:r>
              <w:t>12 per layer</w:t>
            </w:r>
          </w:p>
        </w:tc>
      </w:tr>
      <w:tr>
        <w:tc>
          <w:tcPr>
            <w:tcW w:type="dxa" w:w="4533"/>
          </w:tcPr>
          <w:p>
            <w:r>
              <w:t>Parameters</w:t>
            </w:r>
          </w:p>
        </w:tc>
        <w:tc>
          <w:tcPr>
            <w:tcW w:type="dxa" w:w="4533"/>
          </w:tcPr>
          <w:p>
            <w:r>
              <w:t>~110 million</w:t>
            </w:r>
          </w:p>
        </w:tc>
      </w:tr>
      <w:tr>
        <w:tc>
          <w:tcPr>
            <w:tcW w:type="dxa" w:w="4533"/>
          </w:tcPr>
          <w:p>
            <w:r>
              <w:t>Pretraining corpus</w:t>
            </w:r>
          </w:p>
        </w:tc>
        <w:tc>
          <w:tcPr>
            <w:tcW w:type="dxa" w:w="4533"/>
          </w:tcPr>
          <w:p>
            <w:r>
              <w:t>MIMIC-III clinical notes (~880M words)</w:t>
            </w:r>
          </w:p>
        </w:tc>
      </w:tr>
      <w:tr>
        <w:tc>
          <w:tcPr>
            <w:tcW w:type="dxa" w:w="4533"/>
          </w:tcPr>
          <w:p>
            <w:r>
              <w:t>HuggingFace ID</w:t>
            </w:r>
          </w:p>
        </w:tc>
        <w:tc>
          <w:tcPr>
            <w:tcW w:type="dxa" w:w="4533"/>
          </w:tcPr>
          <w:p>
            <w:r>
              <w:t>emilyalsentzer/Bio_ClinicalBERT</w:t>
            </w:r>
          </w:p>
        </w:tc>
      </w:tr>
      <w:tr>
        <w:tc>
          <w:tcPr>
            <w:tcW w:type="dxa" w:w="4533"/>
          </w:tcPr>
          <w:p>
            <w:r>
              <w:t>Input format</w:t>
            </w:r>
          </w:p>
        </w:tc>
        <w:tc>
          <w:tcPr>
            <w:tcW w:type="dxa" w:w="4533"/>
          </w:tcPr>
          <w:p>
            <w:r>
              <w:t>[CLS] &lt;history text&gt; [SEP], padded to max_length=128</w:t>
            </w:r>
          </w:p>
        </w:tc>
      </w:tr>
      <w:tr>
        <w:tc>
          <w:tcPr>
            <w:tcW w:type="dxa" w:w="4533"/>
          </w:tcPr>
          <w:p>
            <w:r>
              <w:t>Output used</w:t>
            </w:r>
          </w:p>
        </w:tc>
        <w:tc>
          <w:tcPr>
            <w:tcW w:type="dxa" w:w="4533"/>
          </w:tcPr>
          <w:p>
            <w:r>
              <w:t>[CLS] token embedding (768-dim) as sentence representation</w:t>
            </w:r>
          </w:p>
        </w:tc>
      </w:tr>
      <w:tr>
        <w:tc>
          <w:tcPr>
            <w:tcW w:type="dxa" w:w="4533"/>
          </w:tcPr>
          <w:p>
            <w:r>
              <w:t>Token embeddings</w:t>
            </w:r>
          </w:p>
        </w:tc>
        <w:tc>
          <w:tcPr>
            <w:tcW w:type="dxa" w:w="4533"/>
          </w:tcPr>
          <w:p>
            <w:r>
              <w:t>Full sequence (B, N_t, 768) used for cross-modal attention</w:t>
            </w:r>
          </w:p>
        </w:tc>
      </w:tr>
      <w:tr>
        <w:tc>
          <w:tcPr>
            <w:tcW w:type="dxa" w:w="4533"/>
          </w:tcPr>
          <w:p>
            <w:r>
              <w:t>Projection</w:t>
            </w:r>
          </w:p>
        </w:tc>
        <w:tc>
          <w:tcPr>
            <w:tcW w:type="dxa" w:w="4533"/>
          </w:tcPr>
          <w:p>
            <w:r>
              <w:t>Linear(768 → 512) inside the fusion module</w:t>
            </w:r>
          </w:p>
        </w:tc>
      </w:tr>
      <w:tr>
        <w:tc>
          <w:tcPr>
            <w:tcW w:type="dxa" w:w="4533"/>
          </w:tcPr>
          <w:p>
            <w:r>
              <w:t>Fine-tuning</w:t>
            </w:r>
          </w:p>
        </w:tc>
        <w:tc>
          <w:tcPr>
            <w:tcW w:type="dxa" w:w="4533"/>
          </w:tcPr>
          <w:p>
            <w:r>
              <w:t>Layers 0–7 frozen; layers 8–11 trainable with backbone_lr = 1e-5</w:t>
            </w:r>
          </w:p>
        </w:tc>
      </w:tr>
    </w:tbl>
    <w:p/>
    <w:p>
      <w:pPr/>
      <w:r>
        <w:t>The [CLS] token is a special prepended token whose final hidden state serves as an aggregated sentence-level representation. It is used by the consistency module. The full per-token sequence is used by the cross-modal attention to allow fine-grained interaction between specific history tokens (e.g. 'male', '67', 'PA') and specific spatial regions of the X-ray.</w:t>
      </w:r>
    </w:p>
    <w:p/>
    <w:p>
      <w:pPr>
        <w:pStyle w:val="Heading2"/>
      </w:pPr>
      <w:r>
        <w:t>3.3 Lung ROI Segmentation — torchxrayvision PSPNet</w:t>
      </w:r>
    </w:p>
    <w:p>
      <w:pPr/>
      <w:r>
        <w:t>Before the image is passed to DenseNet-121, an optional lung region-of-interest (ROI) crop is applied. The PSPNet segmentation model from the torchxrayvision library segments the lung fields and crops the image to the bounding box of the detected lung region. This removes irrelevant background (shoulders, table edges) and focuses the visual encoder on the clinically relevant area. The cropped region is then resized to 224×224 for input to DenseNet-121.</w:t>
      </w:r>
    </w:p>
    <w:p/>
    <w:p>
      <w:pPr>
        <w:pStyle w:val="Heading2"/>
      </w:pPr>
      <w:r>
        <w:t>3.4 Cross-Modal Attention Fusion</w:t>
      </w:r>
    </w:p>
    <w:p>
      <w:pPr/>
      <w:r>
        <w:t>The fusion module implements bidirectional token-level cross-modal attention in a shared 512-dimensional embedding space. Both modality token sequences are first projected into this shared space via separate linear layers:</w:t>
      </w:r>
    </w:p>
    <w:p/>
    <w:p>
      <w:pPr>
        <w:spacing w:before="40" w:after="40"/>
        <w:ind w:left="567"/>
      </w:pPr>
      <w:r>
        <w:rPr>
          <w:rFonts w:ascii="Courier New" w:hAnsi="Courier New"/>
          <w:color w:val="2E86C1"/>
          <w:sz w:val="18"/>
        </w:rPr>
        <w:t>V' = Linear(1024 → 512)(V)    # visual tokens:  (B, 49, 512)</w:t>
      </w:r>
    </w:p>
    <w:p>
      <w:pPr>
        <w:spacing w:before="40" w:after="40"/>
        <w:ind w:left="567"/>
      </w:pPr>
      <w:r>
        <w:rPr>
          <w:rFonts w:ascii="Courier New" w:hAnsi="Courier New"/>
          <w:color w:val="2E86C1"/>
          <w:sz w:val="18"/>
        </w:rPr>
        <w:t>T' = Linear(768  → 512)(T)    # text tokens:    (B, N_t, 512)</w:t>
      </w:r>
    </w:p>
    <w:p/>
    <w:p>
      <w:pPr/>
      <w:r>
        <w:t>Two cross-attention operations are then computed in parallel:</w:t>
      </w:r>
    </w:p>
    <w:p/>
    <w:p>
      <w:pPr>
        <w:pStyle w:val="ListBullet"/>
      </w:pPr>
      <w:r>
        <w:rPr>
          <w:b/>
        </w:rPr>
        <w:t xml:space="preserve">V→T attention:  </w:t>
      </w:r>
      <w:r>
        <w:t>Visual attends to text (V→T): each visual token queries the text sequence. This lets each spatial region of the X-ray look up relevant history tokens (e.g., the cardiac region can attend to the word 'male' or '70').</w:t>
      </w:r>
    </w:p>
    <w:p>
      <w:pPr>
        <w:pStyle w:val="ListBullet"/>
      </w:pPr>
      <w:r>
        <w:rPr>
          <w:b/>
        </w:rPr>
        <w:t xml:space="preserve">T→V attention:  </w:t>
      </w:r>
      <w:r>
        <w:t>Text attends to visual (T→V): each history token queries the visual token sequence. This lets the word 'emphysema' in the prior history focus on the upper lung region where emphysema typically appears.</w:t>
      </w:r>
    </w:p>
    <w:p/>
    <w:p>
      <w:pPr/>
      <w:r>
        <w:t>Each cross-attention uses 8 heads, with head dimension 64 (512 / 8). The output of each direction is added back to the input via a residual connection and layer-normalised, following the standard transformer pattern. The T→V attention weights are also returned as output for explainability (attention heatmaps).</w:t>
      </w:r>
    </w:p>
    <w:p/>
    <w:p>
      <w:pPr>
        <w:pStyle w:val="Heading2"/>
      </w:pPr>
      <w:r>
        <w:t>3.5 Consistency Module</w:t>
      </w:r>
    </w:p>
    <w:p>
      <w:pPr/>
      <w:r>
        <w:t>After fusion, a consistency module computes a scalar compatibility score s ∈ [0, 1] that measures how well the visual and textual representations agree. The score is used to gate the contribution of the fused representation in the final prediction.</w:t>
      </w:r>
    </w:p>
    <w:p/>
    <w:p>
      <w:pPr/>
      <w:r>
        <w:t>The module takes three inputs:</w:t>
      </w:r>
    </w:p>
    <w:p>
      <w:pPr>
        <w:pStyle w:val="ListBullet"/>
      </w:pPr>
      <w:r>
        <w:t>V_fused — mean-pooled fused visual tokens (B, 512)</w:t>
      </w:r>
    </w:p>
    <w:p>
      <w:pPr>
        <w:pStyle w:val="ListBullet"/>
      </w:pPr>
      <w:r>
        <w:t>T_fused — mean-pooled fused text tokens (B, 512)</w:t>
      </w:r>
    </w:p>
    <w:p>
      <w:pPr>
        <w:pStyle w:val="ListBullet"/>
      </w:pPr>
      <w:r>
        <w:t>t_cls   — [CLS] embedding from ClinicalBERT (B, 768), as a global history summary</w:t>
      </w:r>
    </w:p>
    <w:p/>
    <w:p>
      <w:pPr/>
      <w:r>
        <w:t>These are concatenated and passed through an MLP:</w:t>
      </w:r>
    </w:p>
    <w:p>
      <w:pPr>
        <w:spacing w:before="40" w:after="40"/>
        <w:ind w:left="567"/>
      </w:pPr>
      <w:r>
        <w:rPr>
          <w:rFonts w:ascii="Courier New" w:hAnsi="Courier New"/>
          <w:color w:val="2E86C1"/>
          <w:sz w:val="18"/>
        </w:rPr>
        <w:t>h = concat([V_fused, T_fused, t_cls])   # (B, 512 + 512 + 768) = (B, 1792)</w:t>
      </w:r>
    </w:p>
    <w:p>
      <w:pPr>
        <w:spacing w:before="40" w:after="40"/>
        <w:ind w:left="567"/>
      </w:pPr>
      <w:r>
        <w:rPr>
          <w:rFonts w:ascii="Courier New" w:hAnsi="Courier New"/>
          <w:color w:val="2E86C1"/>
          <w:sz w:val="18"/>
        </w:rPr>
        <w:t>s = sigmoid(MLP(h))                     # (B, 1),  s ∈ [0, 1]</w:t>
      </w:r>
    </w:p>
    <w:p/>
    <w:p>
      <w:pPr/>
      <w:r>
        <w:t>The final prediction combines an image-only branch and a fused branch, gated by s:</w:t>
      </w:r>
    </w:p>
    <w:p>
      <w:pPr>
        <w:spacing w:before="40" w:after="40"/>
        <w:ind w:left="567"/>
      </w:pPr>
      <w:r>
        <w:rPr>
          <w:rFonts w:ascii="Courier New" w:hAnsi="Courier New"/>
          <w:color w:val="2E86C1"/>
          <w:sz w:val="18"/>
        </w:rPr>
        <w:t>logits_img   = head_img(proj(V.mean(dim=1)))          # image-only path</w:t>
      </w:r>
    </w:p>
    <w:p>
      <w:pPr>
        <w:spacing w:before="40" w:after="40"/>
        <w:ind w:left="567"/>
      </w:pPr>
      <w:r>
        <w:rPr>
          <w:rFonts w:ascii="Courier New" w:hAnsi="Courier New"/>
          <w:color w:val="2E86C1"/>
          <w:sz w:val="18"/>
        </w:rPr>
        <w:t>logits_fused = head_fused((V_fused * s).mean(dim=1))  # fused path, scaled by s</w:t>
      </w:r>
    </w:p>
    <w:p>
      <w:pPr>
        <w:spacing w:before="40" w:after="40"/>
        <w:ind w:left="567"/>
      </w:pPr>
      <w:r>
        <w:rPr>
          <w:rFonts w:ascii="Courier New" w:hAnsi="Courier New"/>
          <w:color w:val="2E86C1"/>
          <w:sz w:val="18"/>
        </w:rPr>
        <w:t>logits       = logits_img + s * logits_fused           # gated combination (eq. 15)</w:t>
      </w:r>
    </w:p>
    <w:p/>
    <w:p>
      <w:pPr/>
      <w:r>
        <w:t>When the history is missing or uninformative (s → 0), the model falls back to the image-only prediction. When image and history strongly agree (s → 1), the fused prediction is fully incorporated.</w:t>
      </w:r>
    </w:p>
    <w:p>
      <w:r>
        <w:br w:type="page"/>
      </w:r>
    </w:p>
    <w:p>
      <w:pPr>
        <w:pStyle w:val="Heading1"/>
      </w:pPr>
      <w:r>
        <w:t>4. Training</w:t>
      </w:r>
    </w:p>
    <w:p>
      <w:pPr>
        <w:pStyle w:val="Heading2"/>
      </w:pPr>
      <w:r>
        <w:t>4.1 Loss Function</w:t>
      </w:r>
    </w:p>
    <w:p>
      <w:pPr/>
      <w:r>
        <w:t>The training objective combines a primary classification loss with a consistency regularisation term:</w:t>
      </w:r>
    </w:p>
    <w:p/>
    <w:p>
      <w:pPr>
        <w:spacing w:before="40" w:after="40"/>
        <w:ind w:left="567"/>
      </w:pPr>
      <w:r>
        <w:rPr>
          <w:rFonts w:ascii="Courier New" w:hAnsi="Courier New"/>
          <w:color w:val="2E86C1"/>
          <w:sz w:val="18"/>
        </w:rPr>
        <w:t>L = L_cls + λ · L_cons</w:t>
      </w:r>
    </w:p>
    <w:p/>
    <w:p>
      <w:pPr>
        <w:pStyle w:val="ListBullet"/>
      </w:pPr>
      <w:r>
        <w:rPr>
          <w:b/>
        </w:rPr>
        <w:t xml:space="preserve">L_cls:  </w:t>
      </w:r>
      <w:r>
        <w:t>Binary Cross-Entropy with Logits applied independently to each of the 14 disease classes. A per-class positive weight (neg_count / pos_count, clamped to 50) is used to handle severe label imbalance.</w:t>
      </w:r>
    </w:p>
    <w:p>
      <w:pPr>
        <w:pStyle w:val="ListBullet"/>
      </w:pPr>
      <w:r>
        <w:rPr>
          <w:b/>
        </w:rPr>
        <w:t xml:space="preserve">L_cons: </w:t>
      </w:r>
      <w:r>
        <w:t>Encourages agreement between the gated output and the image-only output, weighted by the consistency score. This prevents the model from ignoring one modality entirely.</w:t>
      </w:r>
    </w:p>
    <w:p>
      <w:pPr>
        <w:pStyle w:val="ListBullet"/>
      </w:pPr>
      <w:r>
        <w:rPr>
          <w:b/>
        </w:rPr>
        <w:t xml:space="preserve">λ:      </w:t>
      </w:r>
      <w:r>
        <w:t>Consistency loss weight, set to 0.1 as per the paper.</w:t>
      </w:r>
    </w:p>
    <w:p/>
    <w:p>
      <w:pPr>
        <w:pStyle w:val="Heading2"/>
      </w:pPr>
      <w:r>
        <w:t>4.2 Optimiser and Schedule</w:t>
      </w:r>
    </w:p>
    <w:tbl>
      <w:tblPr>
        <w:tblStyle w:val="LightShading-Accent1"/>
        <w:tblW w:type="auto" w:w="0"/>
        <w:tblLook w:firstColumn="1" w:firstRow="1" w:lastColumn="0" w:lastRow="0" w:noHBand="0" w:noVBand="1" w:val="04A0"/>
      </w:tblPr>
      <w:tblGrid>
        <w:gridCol w:w="3022"/>
        <w:gridCol w:w="3022"/>
        <w:gridCol w:w="3022"/>
      </w:tblGrid>
      <w:tr>
        <w:tc>
          <w:tcPr>
            <w:tcW w:type="dxa" w:w="3022"/>
          </w:tcPr>
          <w:p>
            <w:r>
              <w:rPr>
                <w:b/>
              </w:rPr>
              <w:t>Hyperparameter</w:t>
            </w:r>
          </w:p>
        </w:tc>
        <w:tc>
          <w:tcPr>
            <w:tcW w:type="dxa" w:w="3022"/>
          </w:tcPr>
          <w:p>
            <w:r>
              <w:rPr>
                <w:b/>
              </w:rPr>
              <w:t>Value</w:t>
            </w:r>
          </w:p>
        </w:tc>
        <w:tc>
          <w:tcPr>
            <w:tcW w:type="dxa" w:w="3022"/>
          </w:tcPr>
          <w:p>
            <w:r>
              <w:rPr>
                <w:b/>
              </w:rPr>
              <w:t>Notes</w:t>
            </w:r>
          </w:p>
        </w:tc>
      </w:tr>
      <w:tr>
        <w:tc>
          <w:tcPr>
            <w:tcW w:type="dxa" w:w="3022"/>
          </w:tcPr>
          <w:p>
            <w:r>
              <w:t>Optimiser</w:t>
            </w:r>
          </w:p>
        </w:tc>
        <w:tc>
          <w:tcPr>
            <w:tcW w:type="dxa" w:w="3022"/>
          </w:tcPr>
          <w:p>
            <w:r>
              <w:t>AdamW</w:t>
            </w:r>
          </w:p>
        </w:tc>
        <w:tc>
          <w:tcPr>
            <w:tcW w:type="dxa" w:w="3022"/>
          </w:tcPr>
          <w:p>
            <w:r>
              <w:t>Weight decay = 1e-4</w:t>
            </w:r>
          </w:p>
        </w:tc>
      </w:tr>
      <w:tr>
        <w:tc>
          <w:tcPr>
            <w:tcW w:type="dxa" w:w="3022"/>
          </w:tcPr>
          <w:p>
            <w:r>
              <w:t>New layer LR</w:t>
            </w:r>
          </w:p>
        </w:tc>
        <w:tc>
          <w:tcPr>
            <w:tcW w:type="dxa" w:w="3022"/>
          </w:tcPr>
          <w:p>
            <w:r>
              <w:t>1e-4</w:t>
            </w:r>
          </w:p>
        </w:tc>
        <w:tc>
          <w:tcPr>
            <w:tcW w:type="dxa" w:w="3022"/>
          </w:tcPr>
          <w:p>
            <w:r>
              <w:t>Cross-attention, consistency module, heads</w:t>
            </w:r>
          </w:p>
        </w:tc>
      </w:tr>
      <w:tr>
        <w:tc>
          <w:tcPr>
            <w:tcW w:type="dxa" w:w="3022"/>
          </w:tcPr>
          <w:p>
            <w:r>
              <w:t>Backbone LR</w:t>
            </w:r>
          </w:p>
        </w:tc>
        <w:tc>
          <w:tcPr>
            <w:tcW w:type="dxa" w:w="3022"/>
          </w:tcPr>
          <w:p>
            <w:r>
              <w:t>1e-5</w:t>
            </w:r>
          </w:p>
        </w:tc>
        <w:tc>
          <w:tcPr>
            <w:tcW w:type="dxa" w:w="3022"/>
          </w:tcPr>
          <w:p>
            <w:r>
              <w:t>DenseNet-121 and ClinicalBERT fine-tuning</w:t>
            </w:r>
          </w:p>
        </w:tc>
      </w:tr>
      <w:tr>
        <w:tc>
          <w:tcPr>
            <w:tcW w:type="dxa" w:w="3022"/>
          </w:tcPr>
          <w:p>
            <w:r>
              <w:t>LR schedule</w:t>
            </w:r>
          </w:p>
        </w:tc>
        <w:tc>
          <w:tcPr>
            <w:tcW w:type="dxa" w:w="3022"/>
          </w:tcPr>
          <w:p>
            <w:r>
              <w:t>Cosine annealing</w:t>
            </w:r>
          </w:p>
        </w:tc>
        <w:tc>
          <w:tcPr>
            <w:tcW w:type="dxa" w:w="3022"/>
          </w:tcPr>
          <w:p>
            <w:r>
              <w:t>T_max = num_epochs, eta_min = 1e-6</w:t>
            </w:r>
          </w:p>
        </w:tc>
      </w:tr>
      <w:tr>
        <w:tc>
          <w:tcPr>
            <w:tcW w:type="dxa" w:w="3022"/>
          </w:tcPr>
          <w:p>
            <w:r>
              <w:t>Gradient clipping</w:t>
            </w:r>
          </w:p>
        </w:tc>
        <w:tc>
          <w:tcPr>
            <w:tcW w:type="dxa" w:w="3022"/>
          </w:tcPr>
          <w:p>
            <w:r>
              <w:t>max_norm = 1.0</w:t>
            </w:r>
          </w:p>
        </w:tc>
        <w:tc>
          <w:tcPr>
            <w:tcW w:type="dxa" w:w="3022"/>
          </w:tcPr>
          <w:p>
            <w:r>
              <w:t>Applied before each optimizer.step()</w:t>
            </w:r>
          </w:p>
        </w:tc>
      </w:tr>
      <w:tr>
        <w:tc>
          <w:tcPr>
            <w:tcW w:type="dxa" w:w="3022"/>
          </w:tcPr>
          <w:p>
            <w:r>
              <w:t>Precision</w:t>
            </w:r>
          </w:p>
        </w:tc>
        <w:tc>
          <w:tcPr>
            <w:tcW w:type="dxa" w:w="3022"/>
          </w:tcPr>
          <w:p>
            <w:r>
              <w:t>FP32 (default)</w:t>
            </w:r>
          </w:p>
        </w:tc>
        <w:tc>
          <w:tcPr>
            <w:tcW w:type="dxa" w:w="3022"/>
          </w:tcPr>
          <w:p>
            <w:r>
              <w:t>FP16 mixed precision optional</w:t>
            </w:r>
          </w:p>
        </w:tc>
      </w:tr>
      <w:tr>
        <w:tc>
          <w:tcPr>
            <w:tcW w:type="dxa" w:w="3022"/>
          </w:tcPr>
          <w:p>
            <w:r>
              <w:t>Epochs</w:t>
            </w:r>
          </w:p>
        </w:tc>
        <w:tc>
          <w:tcPr>
            <w:tcW w:type="dxa" w:w="3022"/>
          </w:tcPr>
          <w:p>
            <w:r>
              <w:t>50</w:t>
            </w:r>
          </w:p>
        </w:tc>
        <w:tc>
          <w:tcPr>
            <w:tcW w:type="dxa" w:w="3022"/>
          </w:tcPr>
          <w:p>
            <w:r>
              <w:t>Default; early stopping via best AUC</w:t>
            </w:r>
          </w:p>
        </w:tc>
      </w:tr>
      <w:tr>
        <w:tc>
          <w:tcPr>
            <w:tcW w:type="dxa" w:w="3022"/>
          </w:tcPr>
          <w:p>
            <w:r>
              <w:t>Batch size</w:t>
            </w:r>
          </w:p>
        </w:tc>
        <w:tc>
          <w:tcPr>
            <w:tcW w:type="dxa" w:w="3022"/>
          </w:tcPr>
          <w:p>
            <w:r>
              <w:t>32</w:t>
            </w:r>
          </w:p>
        </w:tc>
        <w:tc>
          <w:tcPr>
            <w:tcW w:type="dxa" w:w="3022"/>
          </w:tcPr>
          <w:p>
            <w:r>
              <w:t>Adjust based on GPU memory</w:t>
            </w:r>
          </w:p>
        </w:tc>
      </w:tr>
    </w:tbl>
    <w:p/>
    <w:p>
      <w:pPr>
        <w:pStyle w:val="Heading2"/>
      </w:pPr>
      <w:r>
        <w:t>4.3 Class Imbalance</w:t>
      </w:r>
    </w:p>
    <w:p>
      <w:pPr/>
      <w:r>
        <w:t>The NIH dataset is highly imbalanced — Hernia appears in fewer than 0.2% of images while Infiltration appears in over 17%. Uniform BCE would cause the model to predict all negatives for rare classes. We address this with a per-class positive weight computed over the training set before training begins:</w:t>
      </w:r>
    </w:p>
    <w:p/>
    <w:p>
      <w:pPr>
        <w:spacing w:before="40" w:after="40"/>
        <w:ind w:left="567"/>
      </w:pPr>
      <w:r>
        <w:rPr>
          <w:rFonts w:ascii="Courier New" w:hAnsi="Courier New"/>
          <w:color w:val="2E86C1"/>
          <w:sz w:val="18"/>
        </w:rPr>
        <w:t>pos_weight[c] = neg_count[c] / pos_count[c],   clipped to [0, 50]</w:t>
      </w:r>
    </w:p>
    <w:p/>
    <w:p>
      <w:pPr/>
      <w:r>
        <w:t>This weight is passed directly to PyTorch's BCEWithLogitsLoss, which scales the gradient contribution of positive samples by this factor.</w:t>
      </w:r>
    </w:p>
    <w:p/>
    <w:p>
      <w:pPr>
        <w:pStyle w:val="Heading2"/>
      </w:pPr>
      <w:r>
        <w:t>4.4 Differential Learning Rates</w:t>
      </w:r>
    </w:p>
    <w:p>
      <w:pPr/>
      <w:r>
        <w:t>Pretrained backbone parameters (DenseNet-121, ClinicalBERT encoder layers) are fine-tuned with a learning rate 10× lower than the new components (cross-modal attention, consistency MLP, classification heads). This prevents catastrophic forgetting of the pretrained representations while allowing the new layers to learn quickly.</w:t>
      </w:r>
    </w:p>
    <w:p>
      <w:r>
        <w:br w:type="page"/>
      </w:r>
    </w:p>
    <w:p>
      <w:pPr>
        <w:pStyle w:val="Heading1"/>
      </w:pPr>
      <w:r>
        <w:t>5. Evaluation</w:t>
      </w:r>
    </w:p>
    <w:p>
      <w:pPr>
        <w:pStyle w:val="Heading2"/>
      </w:pPr>
      <w:r>
        <w:t>5.1 Metric: AUC-ROC</w:t>
      </w:r>
    </w:p>
    <w:p>
      <w:pPr/>
      <w:r>
        <w:t>Following the NIH ChestXray14 benchmark convention, the primary evaluation metric is the Area Under the ROC Curve (AUC) computed independently for each of the 14 disease classes. The mean AUC across all classes is reported as the summary metric. AUC is preferred over accuracy because it is threshold-independent and handles class imbalance robustly.</w:t>
      </w:r>
    </w:p>
    <w:p/>
    <w:p>
      <w:pPr>
        <w:pStyle w:val="Heading2"/>
      </w:pPr>
      <w:r>
        <w:t>5.2 Expected Behaviour</w:t>
      </w:r>
    </w:p>
    <w:p>
      <w:pPr/>
      <w:r>
        <w:t>The multimodal model is expected to outperform an image-only DenseNet-121 baseline, particularly for diseases with strong demographic priors:</w:t>
      </w:r>
    </w:p>
    <w:tbl>
      <w:tblPr>
        <w:tblStyle w:val="LightShading-Accent1"/>
        <w:tblW w:type="auto" w:w="0"/>
        <w:tblLook w:firstColumn="1" w:firstRow="1" w:lastColumn="0" w:lastRow="0" w:noHBand="0" w:noVBand="1" w:val="04A0"/>
      </w:tblPr>
      <w:tblGrid>
        <w:gridCol w:w="3022"/>
        <w:gridCol w:w="3022"/>
        <w:gridCol w:w="3022"/>
      </w:tblGrid>
      <w:tr>
        <w:tc>
          <w:tcPr>
            <w:tcW w:type="dxa" w:w="3022"/>
          </w:tcPr>
          <w:p>
            <w:r>
              <w:rPr>
                <w:b/>
              </w:rPr>
              <w:t>Disease</w:t>
            </w:r>
          </w:p>
        </w:tc>
        <w:tc>
          <w:tcPr>
            <w:tcW w:type="dxa" w:w="3022"/>
          </w:tcPr>
          <w:p>
            <w:r>
              <w:rPr>
                <w:b/>
              </w:rPr>
              <w:t>Key Prior Factor</w:t>
            </w:r>
          </w:p>
        </w:tc>
        <w:tc>
          <w:tcPr>
            <w:tcW w:type="dxa" w:w="3022"/>
          </w:tcPr>
          <w:p>
            <w:r>
              <w:rPr>
                <w:b/>
              </w:rPr>
              <w:t>Expected Gain</w:t>
            </w:r>
          </w:p>
        </w:tc>
      </w:tr>
      <w:tr>
        <w:tc>
          <w:tcPr>
            <w:tcW w:type="dxa" w:w="3022"/>
          </w:tcPr>
          <w:p>
            <w:r>
              <w:t>Cardiomegaly</w:t>
            </w:r>
          </w:p>
        </w:tc>
        <w:tc>
          <w:tcPr>
            <w:tcW w:type="dxa" w:w="3022"/>
          </w:tcPr>
          <w:p>
            <w:r>
              <w:t>Age, gender</w:t>
            </w:r>
          </w:p>
        </w:tc>
        <w:tc>
          <w:tcPr>
            <w:tcW w:type="dxa" w:w="3022"/>
          </w:tcPr>
          <w:p>
            <w:r>
              <w:t>High</w:t>
            </w:r>
          </w:p>
        </w:tc>
      </w:tr>
      <w:tr>
        <w:tc>
          <w:tcPr>
            <w:tcW w:type="dxa" w:w="3022"/>
          </w:tcPr>
          <w:p>
            <w:r>
              <w:t>Hernia</w:t>
            </w:r>
          </w:p>
        </w:tc>
        <w:tc>
          <w:tcPr>
            <w:tcW w:type="dxa" w:w="3022"/>
          </w:tcPr>
          <w:p>
            <w:r>
              <w:t>Age</w:t>
            </w:r>
          </w:p>
        </w:tc>
        <w:tc>
          <w:tcPr>
            <w:tcW w:type="dxa" w:w="3022"/>
          </w:tcPr>
          <w:p>
            <w:r>
              <w:t>High</w:t>
            </w:r>
          </w:p>
        </w:tc>
      </w:tr>
      <w:tr>
        <w:tc>
          <w:tcPr>
            <w:tcW w:type="dxa" w:w="3022"/>
          </w:tcPr>
          <w:p>
            <w:r>
              <w:t>Emphysema</w:t>
            </w:r>
          </w:p>
        </w:tc>
        <w:tc>
          <w:tcPr>
            <w:tcW w:type="dxa" w:w="3022"/>
          </w:tcPr>
          <w:p>
            <w:r>
              <w:t>Age, follow-up count</w:t>
            </w:r>
          </w:p>
        </w:tc>
        <w:tc>
          <w:tcPr>
            <w:tcW w:type="dxa" w:w="3022"/>
          </w:tcPr>
          <w:p>
            <w:r>
              <w:t>Medium</w:t>
            </w:r>
          </w:p>
        </w:tc>
      </w:tr>
      <w:tr>
        <w:tc>
          <w:tcPr>
            <w:tcW w:type="dxa" w:w="3022"/>
          </w:tcPr>
          <w:p>
            <w:r>
              <w:t>Effusion</w:t>
            </w:r>
          </w:p>
        </w:tc>
        <w:tc>
          <w:tcPr>
            <w:tcW w:type="dxa" w:w="3022"/>
          </w:tcPr>
          <w:p>
            <w:r>
              <w:t>Follow-up visits</w:t>
            </w:r>
          </w:p>
        </w:tc>
        <w:tc>
          <w:tcPr>
            <w:tcW w:type="dxa" w:w="3022"/>
          </w:tcPr>
          <w:p>
            <w:r>
              <w:t>Medium</w:t>
            </w:r>
          </w:p>
        </w:tc>
      </w:tr>
      <w:tr>
        <w:tc>
          <w:tcPr>
            <w:tcW w:type="dxa" w:w="3022"/>
          </w:tcPr>
          <w:p>
            <w:r>
              <w:t>Pneumothorax</w:t>
            </w:r>
          </w:p>
        </w:tc>
        <w:tc>
          <w:tcPr>
            <w:tcW w:type="dxa" w:w="3022"/>
          </w:tcPr>
          <w:p>
            <w:r>
              <w:t>View position (AP)</w:t>
            </w:r>
          </w:p>
        </w:tc>
        <w:tc>
          <w:tcPr>
            <w:tcW w:type="dxa" w:w="3022"/>
          </w:tcPr>
          <w:p>
            <w:r>
              <w:t>Medium</w:t>
            </w:r>
          </w:p>
        </w:tc>
      </w:tr>
      <w:tr>
        <w:tc>
          <w:tcPr>
            <w:tcW w:type="dxa" w:w="3022"/>
          </w:tcPr>
          <w:p>
            <w:r>
              <w:t>Pneumonia</w:t>
            </w:r>
          </w:p>
        </w:tc>
        <w:tc>
          <w:tcPr>
            <w:tcW w:type="dxa" w:w="3022"/>
          </w:tcPr>
          <w:p>
            <w:r>
              <w:t>Age</w:t>
            </w:r>
          </w:p>
        </w:tc>
        <w:tc>
          <w:tcPr>
            <w:tcW w:type="dxa" w:w="3022"/>
          </w:tcPr>
          <w:p>
            <w:r>
              <w:t>Medium</w:t>
            </w:r>
          </w:p>
        </w:tc>
      </w:tr>
      <w:tr>
        <w:tc>
          <w:tcPr>
            <w:tcW w:type="dxa" w:w="3022"/>
          </w:tcPr>
          <w:p>
            <w:r>
              <w:t>Atelectasis</w:t>
            </w:r>
          </w:p>
        </w:tc>
        <w:tc>
          <w:tcPr>
            <w:tcW w:type="dxa" w:w="3022"/>
          </w:tcPr>
          <w:p>
            <w:r>
              <w:t>View position</w:t>
            </w:r>
          </w:p>
        </w:tc>
        <w:tc>
          <w:tcPr>
            <w:tcW w:type="dxa" w:w="3022"/>
          </w:tcPr>
          <w:p>
            <w:r>
              <w:t>Low–Medium</w:t>
            </w:r>
          </w:p>
        </w:tc>
      </w:tr>
    </w:tbl>
    <w:p/>
    <w:p>
      <w:pPr/>
      <w:r>
        <w:t>The consistency score s provides an additional signal: a low s on a given sample indicates that the image and history are conflicting (e.g., history says initial visit but image shows chronic changes), which may correlate with labelling uncertainty.</w:t>
      </w:r>
    </w:p>
    <w:p>
      <w:r>
        <w:br w:type="page"/>
      </w:r>
    </w:p>
    <w:p>
      <w:pPr>
        <w:pStyle w:val="Heading1"/>
      </w:pPr>
      <w:r>
        <w:t>6. Code Structure</w:t>
      </w:r>
    </w:p>
    <w:tbl>
      <w:tblPr>
        <w:tblStyle w:val="LightShading-Accent1"/>
        <w:tblW w:type="auto" w:w="0"/>
        <w:tblLook w:firstColumn="1" w:firstRow="1" w:lastColumn="0" w:lastRow="0" w:noHBand="0" w:noVBand="1" w:val="04A0"/>
      </w:tblPr>
      <w:tblGrid>
        <w:gridCol w:w="4533"/>
        <w:gridCol w:w="4533"/>
      </w:tblGrid>
      <w:tr>
        <w:tc>
          <w:tcPr>
            <w:tcW w:type="dxa" w:w="4533"/>
          </w:tcPr>
          <w:p>
            <w:r>
              <w:rPr>
                <w:b/>
              </w:rPr>
              <w:t>File / Folder</w:t>
            </w:r>
          </w:p>
        </w:tc>
        <w:tc>
          <w:tcPr>
            <w:tcW w:type="dxa" w:w="4533"/>
          </w:tcPr>
          <w:p>
            <w:r>
              <w:rPr>
                <w:b/>
              </w:rPr>
              <w:t>Purpose</w:t>
            </w:r>
          </w:p>
        </w:tc>
      </w:tr>
      <w:tr>
        <w:tc>
          <w:tcPr>
            <w:tcW w:type="dxa" w:w="4533"/>
          </w:tcPr>
          <w:p>
            <w:r>
              <w:t>models/model.py</w:t>
            </w:r>
          </w:p>
        </w:tc>
        <w:tc>
          <w:tcPr>
            <w:tcW w:type="dxa" w:w="4533"/>
          </w:tcPr>
          <w:p>
            <w:r>
              <w:t>Full end-to-end MultimodalDiagnosticModel (forward pass, gated combination)</w:t>
            </w:r>
          </w:p>
        </w:tc>
      </w:tr>
      <w:tr>
        <w:tc>
          <w:tcPr>
            <w:tcW w:type="dxa" w:w="4533"/>
          </w:tcPr>
          <w:p>
            <w:r>
              <w:t>models/visual_encoder.py</w:t>
            </w:r>
          </w:p>
        </w:tc>
        <w:tc>
          <w:tcPr>
            <w:tcW w:type="dxa" w:w="4533"/>
          </w:tcPr>
          <w:p>
            <w:r>
              <w:t>DenseNet-121 and ViT-Base/16 encoders; build_visual_encoder() factory</w:t>
            </w:r>
          </w:p>
        </w:tc>
      </w:tr>
      <w:tr>
        <w:tc>
          <w:tcPr>
            <w:tcW w:type="dxa" w:w="4533"/>
          </w:tcPr>
          <w:p>
            <w:r>
              <w:t>models/text_encoder.py</w:t>
            </w:r>
          </w:p>
        </w:tc>
        <w:tc>
          <w:tcPr>
            <w:tcW w:type="dxa" w:w="4533"/>
          </w:tcPr>
          <w:p>
            <w:r>
              <w:t>ClinicalHistoryEncoder wrapping Bio_ClinicalBERT; tokenize() helper</w:t>
            </w:r>
          </w:p>
        </w:tc>
      </w:tr>
      <w:tr>
        <w:tc>
          <w:tcPr>
            <w:tcW w:type="dxa" w:w="4533"/>
          </w:tcPr>
          <w:p>
            <w:r>
              <w:t>models/cross_attention.py</w:t>
            </w:r>
          </w:p>
        </w:tc>
        <w:tc>
          <w:tcPr>
            <w:tcW w:type="dxa" w:w="4533"/>
          </w:tcPr>
          <w:p>
            <w:r>
              <w:t>CrossModalFusion: bidirectional V→T and T→V attention with projections</w:t>
            </w:r>
          </w:p>
        </w:tc>
      </w:tr>
      <w:tr>
        <w:tc>
          <w:tcPr>
            <w:tcW w:type="dxa" w:w="4533"/>
          </w:tcPr>
          <w:p>
            <w:r>
              <w:t>models/consistency.py</w:t>
            </w:r>
          </w:p>
        </w:tc>
        <w:tc>
          <w:tcPr>
            <w:tcW w:type="dxa" w:w="4533"/>
          </w:tcPr>
          <w:p>
            <w:r>
              <w:t>ConsistencyModule MLP; consistency_loss(); gated_logits()</w:t>
            </w:r>
          </w:p>
        </w:tc>
      </w:tr>
      <w:tr>
        <w:tc>
          <w:tcPr>
            <w:tcW w:type="dxa" w:w="4533"/>
          </w:tcPr>
          <w:p>
            <w:r>
              <w:t>models/lung_roi.py</w:t>
            </w:r>
          </w:p>
        </w:tc>
        <w:tc>
          <w:tcPr>
            <w:tcW w:type="dxa" w:w="4533"/>
          </w:tcPr>
          <w:p>
            <w:r>
              <w:t>extract_lung_roi() using torchxrayvision PSPNet segmentation</w:t>
            </w:r>
          </w:p>
        </w:tc>
      </w:tr>
      <w:tr>
        <w:tc>
          <w:tcPr>
            <w:tcW w:type="dxa" w:w="4533"/>
          </w:tcPr>
          <w:p>
            <w:r>
              <w:t>data/dataset.py</w:t>
            </w:r>
          </w:p>
        </w:tc>
        <w:tc>
          <w:tcPr>
            <w:tcW w:type="dxa" w:w="4533"/>
          </w:tcPr>
          <w:p>
            <w:r>
              <w:t>ChestXray14Dataset; build_clinical_history(); get_transforms()</w:t>
            </w:r>
          </w:p>
        </w:tc>
      </w:tr>
      <w:tr>
        <w:tc>
          <w:tcPr>
            <w:tcW w:type="dxa" w:w="4533"/>
          </w:tcPr>
          <w:p>
            <w:r>
              <w:t>data/preprocess.py</w:t>
            </w:r>
          </w:p>
        </w:tc>
        <w:tc>
          <w:tcPr>
            <w:tcW w:type="dxa" w:w="4533"/>
          </w:tcPr>
          <w:p>
            <w:r>
              <w:t>NIH_CLASSES list; normalize_labels(); validate_image()</w:t>
            </w:r>
          </w:p>
        </w:tc>
      </w:tr>
      <w:tr>
        <w:tc>
          <w:tcPr>
            <w:tcW w:type="dxa" w:w="4533"/>
          </w:tcPr>
          <w:p>
            <w:r>
              <w:t>train.py</w:t>
            </w:r>
          </w:p>
        </w:tc>
        <w:tc>
          <w:tcPr>
            <w:tcW w:type="dxa" w:w="4533"/>
          </w:tcPr>
          <w:p>
            <w:r>
              <w:t>Full training script with differential LR, resume, ROI collate, AUC logging</w:t>
            </w:r>
          </w:p>
        </w:tc>
      </w:tr>
      <w:tr>
        <w:tc>
          <w:tcPr>
            <w:tcW w:type="dxa" w:w="4533"/>
          </w:tcPr>
          <w:p>
            <w:r>
              <w:t>train_simple.py</w:t>
            </w:r>
          </w:p>
        </w:tc>
        <w:tc>
          <w:tcPr>
            <w:tcW w:type="dxa" w:w="4533"/>
          </w:tcPr>
          <w:p>
            <w:r>
              <w:t>Simplified training loop for readability and quick experimentation</w:t>
            </w:r>
          </w:p>
        </w:tc>
      </w:tr>
      <w:tr>
        <w:tc>
          <w:tcPr>
            <w:tcW w:type="dxa" w:w="4533"/>
          </w:tcPr>
          <w:p>
            <w:r>
              <w:t>infer.py</w:t>
            </w:r>
          </w:p>
        </w:tc>
        <w:tc>
          <w:tcPr>
            <w:tcW w:type="dxa" w:w="4533"/>
          </w:tcPr>
          <w:p>
            <w:r>
              <w:t>Single-sample inference with attention heatmap and top-token output</w:t>
            </w:r>
          </w:p>
        </w:tc>
      </w:tr>
      <w:tr>
        <w:tc>
          <w:tcPr>
            <w:tcW w:type="dxa" w:w="4533"/>
          </w:tcPr>
          <w:p>
            <w:r>
              <w:t>demo.py</w:t>
            </w:r>
          </w:p>
        </w:tc>
        <w:tc>
          <w:tcPr>
            <w:tcW w:type="dxa" w:w="4533"/>
          </w:tcPr>
          <w:p>
            <w:r>
              <w:t>Presentation-friendly demo: takes patient fields, prints clean results table</w:t>
            </w:r>
          </w:p>
        </w:tc>
      </w:tr>
      <w:tr>
        <w:tc>
          <w:tcPr>
            <w:tcW w:type="dxa" w:w="4533"/>
          </w:tcPr>
          <w:p>
            <w:r>
              <w:t>evaluate.py</w:t>
            </w:r>
          </w:p>
        </w:tc>
        <w:tc>
          <w:tcPr>
            <w:tcW w:type="dxa" w:w="4533"/>
          </w:tcPr>
          <w:p>
            <w:r>
              <w:t>Batch evaluation on the test split; per-class AUC table</w:t>
            </w:r>
          </w:p>
        </w:tc>
      </w:tr>
      <w:tr>
        <w:tc>
          <w:tcPr>
            <w:tcW w:type="dxa" w:w="4533"/>
          </w:tcPr>
          <w:p>
            <w:r>
              <w:t>app/backend.py</w:t>
            </w:r>
          </w:p>
        </w:tc>
        <w:tc>
          <w:tcPr>
            <w:tcW w:type="dxa" w:w="4533"/>
          </w:tcPr>
          <w:p>
            <w:r>
              <w:t>Flask/FastAPI backend for the web demo interface</w:t>
            </w:r>
          </w:p>
        </w:tc>
      </w:tr>
      <w:tr>
        <w:tc>
          <w:tcPr>
            <w:tcW w:type="dxa" w:w="4533"/>
          </w:tcPr>
          <w:p>
            <w:r>
              <w:t>app/static/index.html</w:t>
            </w:r>
          </w:p>
        </w:tc>
        <w:tc>
          <w:tcPr>
            <w:tcW w:type="dxa" w:w="4533"/>
          </w:tcPr>
          <w:p>
            <w:r>
              <w:t>Web demo frontend</w:t>
            </w:r>
          </w:p>
        </w:tc>
      </w:tr>
      <w:tr>
        <w:tc>
          <w:tcPr>
            <w:tcW w:type="dxa" w:w="4533"/>
          </w:tcPr>
          <w:p>
            <w:r>
              <w:t>presentation.html</w:t>
            </w:r>
          </w:p>
        </w:tc>
        <w:tc>
          <w:tcPr>
            <w:tcW w:type="dxa" w:w="4533"/>
          </w:tcPr>
          <w:p>
            <w:r>
              <w:t>10-minute slide deck (browser-based, arrow-key navigation)</w:t>
            </w:r>
          </w:p>
        </w:tc>
      </w:tr>
    </w:tbl>
    <w:p/>
    <w:p/>
    <w:p>
      <w:pPr>
        <w:pStyle w:val="Heading1"/>
      </w:pPr>
      <w:r>
        <w:t>7. How to Run</w:t>
      </w:r>
    </w:p>
    <w:p>
      <w:pPr>
        <w:pStyle w:val="Heading2"/>
      </w:pPr>
      <w:r>
        <w:t>7.1 Training</w:t>
      </w:r>
    </w:p>
    <w:p>
      <w:pPr>
        <w:spacing w:before="40" w:after="40"/>
        <w:ind w:left="567"/>
      </w:pPr>
      <w:r>
        <w:rPr>
          <w:rFonts w:ascii="Courier New" w:hAnsi="Courier New"/>
          <w:color w:val="2E86C1"/>
          <w:sz w:val="18"/>
        </w:rPr>
        <w:t>python train_simple.py --data_root /path/to/NIH_ChestXray14 --backbone densenet</w:t>
      </w:r>
    </w:p>
    <w:p>
      <w:pPr/>
      <w:r>
        <w:t>Full training with all options:</w:t>
      </w:r>
    </w:p>
    <w:p>
      <w:pPr>
        <w:spacing w:before="40" w:after="40"/>
        <w:ind w:left="567"/>
      </w:pPr>
      <w:r>
        <w:rPr>
          <w:rFonts w:ascii="Courier New" w:hAnsi="Courier New"/>
          <w:color w:val="2E86C1"/>
          <w:sz w:val="18"/>
        </w:rPr>
        <w:t>python train.py --data_root /path/to/NIH_ChestXray14 \</w:t>
        <w:br/>
        <w:t xml:space="preserve">                --visual_backbone densenet \</w:t>
        <w:br/>
        <w:t xml:space="preserve">                --epochs 50 --batch_size 32 \</w:t>
        <w:br/>
        <w:t xml:space="preserve">                --checkpoint_dir checkpoints/</w:t>
      </w:r>
    </w:p>
    <w:p/>
    <w:p>
      <w:pPr>
        <w:pStyle w:val="Heading2"/>
      </w:pPr>
      <w:r>
        <w:t>7.2 Demo (single image)</w:t>
      </w:r>
    </w:p>
    <w:p>
      <w:pPr>
        <w:spacing w:before="40" w:after="40"/>
        <w:ind w:left="567"/>
      </w:pPr>
      <w:r>
        <w:rPr>
          <w:rFonts w:ascii="Courier New" w:hAnsi="Courier New"/>
          <w:color w:val="2E86C1"/>
          <w:sz w:val="18"/>
        </w:rPr>
        <w:t>python demo.py --image path/to/xray.png \</w:t>
        <w:br/>
        <w:t xml:space="preserve">               --checkpoint checkpoints/best.pth \</w:t>
        <w:br/>
        <w:t xml:space="preserve">               --age 67 --gender M --view PA --followup 2</w:t>
      </w:r>
    </w:p>
    <w:p/>
    <w:p>
      <w:pPr>
        <w:pStyle w:val="Heading2"/>
      </w:pPr>
      <w:r>
        <w:t>7.3 Full Inference with Attention Maps</w:t>
      </w:r>
    </w:p>
    <w:p>
      <w:pPr>
        <w:spacing w:before="40" w:after="40"/>
        <w:ind w:left="567"/>
      </w:pPr>
      <w:r>
        <w:rPr>
          <w:rFonts w:ascii="Courier New" w:hAnsi="Courier New"/>
          <w:color w:val="2E86C1"/>
          <w:sz w:val="18"/>
        </w:rPr>
        <w:t>python infer.py --image path/to/xray.png \</w:t>
        <w:br/>
        <w:t xml:space="preserve">                --history "Patient is a 67-year-old male. PA view. Follow-up 2." \</w:t>
        <w:br/>
        <w:t xml:space="preserve">                --checkpoint checkpoints/best.pth \</w:t>
        <w:br/>
        <w:t xml:space="preserve">                --output_dir results/</w:t>
      </w:r>
    </w:p>
    <w:p/>
    <w:p>
      <w:r>
        <w:br w:type="page"/>
      </w:r>
    </w:p>
    <w:p>
      <w:pPr>
        <w:pStyle w:val="Heading1"/>
      </w:pPr>
      <w:r>
        <w:t>8. Key Contributions and Novelty</w:t>
      </w:r>
    </w:p>
    <w:p>
      <w:pPr>
        <w:pStyle w:val="Heading2"/>
      </w:pPr>
      <w:r>
        <w:t>8.1 History Conditioning as a First-Class Input</w:t>
      </w:r>
    </w:p>
    <w:p>
      <w:pPr/>
      <w:r>
        <w:t>Unlike prior chest X-ray classification models that treat diagnosis as a pure computer vision problem, this architecture treats patient history as an equal input modality. The history is not used as a post-hoc filter but participates in the prediction through learned cross-modal attention weights.</w:t>
      </w:r>
    </w:p>
    <w:p>
      <w:pPr>
        <w:pStyle w:val="Heading2"/>
      </w:pPr>
      <w:r>
        <w:t>8.2 Bidirectional Token-Level Attention</w:t>
      </w:r>
    </w:p>
    <w:p>
      <w:pPr/>
      <w:r>
        <w:t>Most multimodal fusion approaches use simple concatenation or late fusion (combining final-layer embeddings). This model performs attention at the token level in both directions simultaneously — the image looks at the text and the text looks at the image. This allows fine-grained spatial-semantic alignment: the cardiac region of the X-ray can attend to age/gender tokens, and the word 'emphysema' in the history can focus on the upper lung region.</w:t>
      </w:r>
    </w:p>
    <w:p>
      <w:pPr>
        <w:pStyle w:val="Heading2"/>
      </w:pPr>
      <w:r>
        <w:t>8.3 Consistency Gating</w:t>
      </w:r>
    </w:p>
    <w:p>
      <w:pPr/>
      <w:r>
        <w:t>The compatibility score s explicitly models the degree of agreement between the two modalities. This is important in clinical settings where histories may be incomplete, incorrect, or contradictory to image findings. A low s causes the model to rely more heavily on the image-only branch, providing a natural fallback when the history is unreliable.</w:t>
      </w:r>
    </w:p>
    <w:p>
      <w:pPr>
        <w:pStyle w:val="Heading2"/>
      </w:pPr>
      <w:r>
        <w:t>8.4 Synthetic History for Unimodal Datasets</w:t>
      </w:r>
    </w:p>
    <w:p>
      <w:pPr/>
      <w:r>
        <w:t>The NIH ChestXray14 dataset has no free-text clinical notes. Rather than requiring a new dataset, we demonstrate that structured metadata (age, gender, view, follow-up number, prior labels) can be converted into natural-language history strings sufficient to train and benefit from the multimodal architecture. This makes the approach practically applicable to many existing medical imaging datasets.</w:t>
      </w:r>
    </w:p>
    <w:p>
      <w:r>
        <w:br w:type="page"/>
      </w:r>
    </w:p>
    <w:p>
      <w:pPr>
        <w:pStyle w:val="Heading1"/>
      </w:pPr>
      <w:r>
        <w:t>9. Future Work</w:t>
      </w:r>
    </w:p>
    <w:p>
      <w:pPr>
        <w:pStyle w:val="ListBullet"/>
      </w:pPr>
      <w:r>
        <w:t>Replace synthetic history strings with real radiology reports from MIMIC-CXR, which pairs 227,000 chest X-rays with actual free-text reports.</w:t>
      </w:r>
    </w:p>
    <w:p>
      <w:pPr>
        <w:pStyle w:val="ListBullet"/>
      </w:pPr>
      <w:r>
        <w:t>Extend to additional imaging modalities: CT scans, MRI, and integration with lab results or vital signs.</w:t>
      </w:r>
    </w:p>
    <w:p>
      <w:pPr>
        <w:pStyle w:val="ListBullet"/>
      </w:pPr>
      <w:r>
        <w:t>Explainability improvements: visualise both T→V and V→T attention maps side by side; identify which history tokens drive which spatial predictions.</w:t>
      </w:r>
    </w:p>
    <w:p>
      <w:pPr>
        <w:pStyle w:val="ListBullet"/>
      </w:pPr>
      <w:r>
        <w:t>Temporal modelling: the current model treats each visit independently. A sequential model over a patient's visit history could better capture disease progression.</w:t>
      </w:r>
    </w:p>
    <w:p>
      <w:pPr>
        <w:pStyle w:val="ListBullet"/>
      </w:pPr>
      <w:r>
        <w:t>Clinical validation: prospective evaluation against radiologist readings on a de-identified institutional dataset.</w:t>
      </w:r>
    </w:p>
    <w:p/>
    <w:p>
      <w:pPr>
        <w:pStyle w:val="Heading1"/>
      </w:pPr>
      <w:r>
        <w:t>10. References</w:t>
      </w:r>
    </w:p>
    <w:p>
      <w:pPr>
        <w:pStyle w:val="ListNumber"/>
      </w:pPr>
      <w:r>
        <w:t>Wang, X. et al. (2017). ChestX-ray8: Hospital-scale Chest X-ray Database and Benchmarks. CVPR.</w:t>
      </w:r>
    </w:p>
    <w:p>
      <w:pPr>
        <w:pStyle w:val="ListNumber"/>
      </w:pPr>
      <w:r>
        <w:t>Huang, G. et al. (2017). Densely Connected Convolutional Networks (DenseNet). CVPR.</w:t>
      </w:r>
    </w:p>
    <w:p>
      <w:pPr>
        <w:pStyle w:val="ListNumber"/>
      </w:pPr>
      <w:r>
        <w:t>Rajpurkar, P. et al. (2017). CheXNet: Radiologist-Level Pneumonia Detection on Chest X-Rays with Deep Learning. arXiv:1711.05225.</w:t>
      </w:r>
    </w:p>
    <w:p>
      <w:pPr>
        <w:pStyle w:val="ListNumber"/>
      </w:pPr>
      <w:r>
        <w:t>Alsentzer, E. et al. (2019). Publicly Available Clinical BERT Embeddings. Clinical NLP Workshop @ NAACL.</w:t>
      </w:r>
    </w:p>
    <w:p>
      <w:pPr>
        <w:pStyle w:val="ListNumber"/>
      </w:pPr>
      <w:r>
        <w:t>Devlin, J. et al. (2019). BERT: Pre-training of Deep Bidirectional Transformers for Language Understanding. NAACL.</w:t>
      </w:r>
    </w:p>
    <w:p>
      <w:pPr>
        <w:pStyle w:val="ListNumber"/>
      </w:pPr>
      <w:r>
        <w:t>Cohen, J.P. et al. (2022). TorchXRayVision: A library of chest X-ray datasets and models. MIDL.</w:t>
      </w:r>
    </w:p>
    <w:p>
      <w:pPr>
        <w:pStyle w:val="ListNumber"/>
      </w:pPr>
      <w:r>
        <w:t>Vaswani, A. et al. (2017). Attention Is All You Need. NeurIPS.</w:t>
      </w:r>
    </w:p>
    <w:sectPr w:rsidR="00FC693F" w:rsidRPr="0006063C" w:rsidSect="00034616">
      <w:pgSz w:w="12240" w:h="15840"/>
      <w:pgMar w:top="1417" w:right="158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