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River Token: Projeto e Avaliação de um Sistema de Governança On-Chain Resistente a Vote-and-Run para um Fan Token ERC-20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Enrico da Rocha Santos Teixeira, Pedro Henrique Coelho Mendes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Departamento de Computação – Universidade Federal do Piauí (UFPI)</w:t>
      </w:r>
    </w:p>
    <w:p>
      <w:pPr>
        <w:spacing w:after="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Teresina – PI – Brasil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{enrico, pedro}@ufpi.edu.br</w:t>
      </w:r>
    </w:p>
    <w:p>
      <w:pPr>
        <w:spacing w:after="120" w:line="264"/>
        <w:ind w:left="454" w:right="45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Abstract.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Fan tokens have become a consolidated mechanism for fan engagement, but the market is concentrated in large clubs and locked into closed platforms. This work proposes River Token ($RVR), an open ERC-20 fan token deployed on Ethereum for a regional Brazilian club, whose main contribution over the previous task is an on-chain governance (DAO) layer hardened against vote-and-run attacks. We describe the smart-contract design — non-inflationary staking, native-ETH purchase (evaluated on the Sepolia testnet) and vote-time token locking — and a comparative study of voting systems (one-token-one-vote, quadratic, vote-escrow, cooldown and delegation) and token standards (ERC-20, ERC-721, ERC-1155). The evaluation methodology measures gas cost per function, simulates governance attacks on a testnet, and quantifies the effective voting power under the project's real token distribution. Preliminary results and the full experimental evaluation are reported.</w:t>
      </w:r>
    </w:p>
    <w:p>
      <w:pPr>
        <w:spacing w:after="240" w:line="264"/>
        <w:ind w:left="454" w:right="454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Resumo.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Fan tokens tornaram-se um mecanismo consolidado de engajamento da torcida, mas o mercado é concentrado em grandes clubes e preso a plataformas fechadas. Este trabalho propõe o River Token ($RVR), um fan token ERC-20 aberto, emitido na rede Ethereum para um clube regional brasileiro, cujo principal diferencial em relação à tarefa anterior é uma camada de governança on-chain (DAO) reforçada contra ataques de vote-and-run. Descrevemos o projeto do contrato inteligente — staking não-inflacionário, compra com ETH nativo (avaliada na testnet Sepolia) e bloqueio de tokens durante a votação — e um estudo comparativo de sistemas de votação (um-token-um-voto, quadrática, vote-escrow, carência e delegação) e de padrões de token (ERC-20, ERC-721 e ERC-1155). A metodologia de avaliação mede o custo de gas por função, simula ataques de governança em testnet e quantifica o poder de voto efetivo sob a distribuição real de tokens do projeto. Resultados preliminares e a avaliação experimental completa são reportados.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Introdução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fan tokens consolidaram-se como instrumento de engajamento entre clubes esportivos e suas torcidas. Por meio de tokens fungíveis emitidos em blockchain, os torcedores passam a participar de enquetes oficiais, acessar benefícios e adquirir itens exclusivos, transformando a relação de consumo passivo do espetáculo esportivo em participação ativa. O ecossistema da Chiliz/Socios.com, principal referência comercial do setor, reúne mais de 70 clubes e organizações e já gerou centenas de milhões de dólares para seus parceiros, com presença consolidada no futebol brasileiro [Chiliz 2024].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Apesar do crescimento, o modelo predominante apresenta duas limitações relevantes. Primeiro, há forte concentração nos grandes clubes, deixando de fora agremiações tradicionais de menor expressão econômica. Segundo, a operação depende de uma plataforma proprietária e de um token de utilidade próprio, configurando um ambiente fechado em que o clube e o torcedor têm pouca autonomia sobre as regras. Como consequência, a promessa de descentralização e transparência da tecnologia blockchain é apenas parcialmente cumprida.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trabalho propõe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River Token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($RVR), um fan token ERC-20 próprio, aberto e auditável, emitido diretamente na rede Ethereum para o River Atlético Clube, clube tradicional de Teresina/PI. Diferentemente das soluções comerciais, o contrato é público e verificável por qualquer pessoa, sem intermediário decidindo regras por fora da blockchain. Na tarefa anterior, o projeto concentrou-se na emissão e nas funcionalidades do token. O presente trabalho avança sobre esse ponto: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diferencial central passa a ser o sistema de votação e de direitos (DAO)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e, sobretudo, sua robustez diante de manipulações.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pergunta de pesquisa que orienta o estudo é: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como projetar um sistema de votação on-chain que reduza os incentivos à venda de tokens logo após a votação (vote-and-run) e à dominância por grandes detentores, e como avaliar empiricamente essas propriedades?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questão é especialmente relevante neste caso porque o clube detém parcela majoritária do supply, o que torna o desenho do mecanismo de voto determinante para que a governança seja efetivamente participativa.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responder a essa pergunta, definem-se os seguintes objetivos. Como objetivo geral, projetar e avaliar experimentalmente uma camada de governança para o River Token resistente a ataques de vote-and-run. Como objetivos específicos: (i) formalizar o contrato de governança como uma DAO, com regras de proposta, peso de voto, quórum e direitos por nível de fidelidade; (ii) implementar e comparar mecanismos de mitigação (bloqueio para votar, carência/cooldown, vote-escrow, votação quadrática e delegação); (iii) avaliar a aplicabilidade do padrão ERC-1155 frente ao ERC-20; e (iv) medir, em ambiente de teste, o custo computacional (gas), a resistência a ataques e o poder de voto efetivo de cada sistema sob a distribuição real de tokens do projeto.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restante do artigo está organizado da seguinte forma. A Seção 2 discute trabalhos relacionados e o diferencial da proposta. A Seção 3 descreve a proposta em detalhes, incluindo a arquitetura do contrato e os mecanismos de governança. A Seção 4 apresenta a metodologia de avaliação e os resultados. A Seção 5 conclui o trabalho e aponta direções futuras.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Trabalhos Relacionados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trabalhos relacionados a esta proposta podem ser agrupados em três frentes: plataformas comerciais de fan tokens, mecanismos de governança em finanças descentralizadas (DeFi) e padrões de tokenização.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Fan tokens e tokenização no esporte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Chiliz e sua plataforma Socios.com são a principal referência comercial, oferecendo tokens fungíveis que dão direito a votar em enquetes não vinculantes do clube e a acessar recompensas e experiências [Chiliz 2024]. Clubes como Flamengo (token $MENGO) e Paris Saint-Germain operam nesse modelo. Embora bem-sucedidas em engajamento, essas soluções concentram-se em grandes clubes, operam sobre uma blockchain e um token proprietários (o $CHZ) e mantêm o controle das regras na plataforma, e não inteiramente em contrato aberto. A presente proposta diferencia-se por emitir um token próprio e auditável na Ethereum pública, voltado a um clube regional, e por tratar a governança como objeto central de projeto e avaliação.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Mecanismos de governança em DeFi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literatura e a prática de DeFi oferecem diversos mecanismos para tornar a votação on-chain mais robusta. O Snapshot popularizou a votação por captura de estado (snapshot) em um bloco de referência. A Aragon disponibiliza módulos de bloqueio para votar (lock-to-vote), em que os tokens ficam travados durante a votação [Aragon 2023]. O modelo vote-escrow da Curve Finance (veCRV) condiciona o poder de voto ao tempo de bloqueio, de um a quatro anos, alinhando poder e comprometimento de longo prazo [Egorov 2019]. A votação quadrática, em que o poder de voto é proporcional à raiz quadrada dos tokens, busca reduzir a dominância de grandes detentores [Posner and Weyl 2018, Buterin et al. 2019]. Por fim, ataques de ordenação e de empréstimo-relâmpago (flash loans) que viabilizam compras massivas momentâneas relacionam-se ao fenômeno de front running on-chain [Daian et al. 2020]. Esta proposta combina e adapta esses mecanismos ao contexto de um fan token e os avalia comparativamente.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 Padrões de token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padrão ERC-20 [Vogelsteller and Buterin 2015] define tokens fungíveis e é o mais adotado para ativos divisíveis e governança por peso. O ERC-721 [Entriken et al. 2018] define tokens não-fungíveis, adequados a colecionáveis e ingressos únicos. O ERC-1155 [Radomski et al. 2018] unifica ativos fungíveis e não-fungíveis em um único contrato, com operações em lote. A escolha entre esses padrões para o caso de uso de governança e benefícios é analisada na Seção 3 e avaliada experimentalmente na Seção 4.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 Posicionamento da proposta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síntese, enquanto as soluções comerciais priorizam o engajamento sobre uma plataforma fechada e os trabalhos de DeFi tratam de mecanismos de governança isoladamente, esta proposta integra ambos: um fan token aberto na Ethereum, com uma camada de governança projetada especificamente contra vote-and-run, e uma avaliação experimental comparativa de sistemas de votação e padrões de token sob a distribuição real de um clube regional.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Proposta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 seção descreve o River Token em detalhes: a tokenomics, a arquitetura do contrato inteligente, as melhorias incorporadas em relação à proposta inicial, o desenho da governança como DAO e os mecanismos de mitigação de vote-and-run.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 Visão geral e tokenomics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River Token é um token fungível ERC-20 com supply máximo fixo de 10.000.000 $RVR, estabelecido como barreira permanente contra inflação. A distribuição implementada no contrato reserva 60% ao clube, 10% a um fundo de staking interno e 30% à venda pública, conforme a Tabela 1. Os 10% de staking são alocados ao próprio contrato no momento do deploy, e não criados posteriormente, preservando o teto de supply.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700"/>
        <w:gridCol w:w="3404"/>
      </w:tblGrid>
      <w:tr>
        <w:trPr>
          <w:tblHeader/>
        </w:trP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Destino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Percentual</w:t>
            </w:r>
          </w:p>
        </w:tc>
        <w:tc>
          <w:tcPr>
            <w:tcW w:type="dxa" w:w="34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Quantidade ($RVR)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Clube (PARTE_CLUBE)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60%</w:t>
            </w:r>
          </w:p>
        </w:tc>
        <w:tc>
          <w:tcPr>
            <w:tcW w:type="dxa" w:w="34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6.000.000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Fundo de staking (PARTE_STAKING)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10%</w:t>
            </w:r>
          </w:p>
        </w:tc>
        <w:tc>
          <w:tcPr>
            <w:tcW w:type="dxa" w:w="34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1.000.000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Venda pública (PARTE_VENDA)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30%</w:t>
            </w:r>
          </w:p>
        </w:tc>
        <w:tc>
          <w:tcPr>
            <w:tcW w:type="dxa" w:w="34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3.000.000</w:t>
            </w:r>
          </w:p>
        </w:tc>
      </w:tr>
      <w:tr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100%</w:t>
            </w:r>
          </w:p>
        </w:tc>
        <w:tc>
          <w:tcPr>
            <w:tcW w:type="dxa" w:w="34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10.000.000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1. Distribuição do supply do River Token.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token concede ao torcedor quatro classes de direitos: governança (voto em propostas oficiais), acesso a ingressos com desconto ou prioridade, loja exclusiva e níveis de fidelidade (tiers) — Bronze (100 $RVR), Prata (1.000), Ouro (5.000) e Platina (20.000) — que condicionam benefícios e, na proposta de governança, podem condicionar direitos de voto e de proposta.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 Arquitetura do contrato inteligente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contrato RiverToken.sol herda das implementações ERC-20 e Ownable da biblioteca OpenZeppelin [OpenZeppelin 2024] e organiza-se em oito módulos: (1) declaração de variáveis e estruturas de estado; (2) construtor; (3) sobrescrita de _update para proteção anti-fraude; (4) compra de tokens com ETH; (5) sistema de tiers de fidelidade; (6) criação e votação de propostas; (7) encerramento de propostas e consulta de resultados; e (8) staking não-inflacionário. O construtor envia 6.000.000 $RVR ao clube, reserva 1.000.000 $RVR no próprio contrato para staking e deixa os 3.000.000 $RVR restantes para emissão gradual conforme a venda pública.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 Melhorias em relação à proposta inicial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Três melhorias foram incorporadas durante a implementação. A primeira é a compra de tokens com ETH nativo: a função comprar() é payable e permite adquirir $RVR enviando Ether da própria rede ao contrato, com preço configurável pelo clube (setPreco), possibilidade de pausar a venda (setVendaAtiva) e saque do valor arrecadado (sacarETH); duas travas impedem esgotar o estoque de venda e ultrapassar o supply máximo. Cabe esclarecer que essa compra é avaliada na testnet Sepolia, utilizando ETH de teste obtido gratuitamente em faucets e sem valor financeiro — ou seja, todo o experimento ocorre em ambiente de teste, sem transação com moeda real. A segunda é o staking não-inflacionário: em vez de mintar novos tokens para pagar recompensas — o que violaria o teto de supply — reservam-se 10% do supply no contrato desde o deploy; a taxa padrão é de 5% ao ano (500 bps), configurável até 50%, e se o fundo se esgotar, apenas o principal é devolvido. A terceira é o bloqueio de tokens na votação: ao votar, os tokens do usuário são registrados em tokensBloqueados e a sobrescrita de _update impede sua transferência até o encerramento da proposta, eliminando o ataque em que um mesmo saldo vota e em seguida é transferido para votar novamente.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 Governança como DAO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camada de governança é estruturada como uma DAO cujas regras residem inteiramente no contrato. O direito de propor é estratificado por tier: além do clube, detentores do tier Ouro ou superior podem criar propostas, limitadas a uma por semana no tier Ouro e a duas no Platina; propostas de não-membros entram em uma fila de moderação, na qual o clube decide se serão submetidas a voto. O voto é quadrático: o peso de cada eleitor é a raiz quadrada da quantidade de tokens comprometida, o que reduz a dominância de grandes detentores. Os tokens usados em um voto são bloqueados e liberados automaticamente no encerramento da proposta, e cada eleitor precisa possuir uma credencial de identidade para votar.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conter o ataque Sybil — em que um mesmo ator fragmenta seus tokens em várias carteiras para inflar o poder de voto quadrático (Seção 4.3) —, adota-se uma verificação de identidade simples: mediante uma taxa única, que não gera tokens de governança, a carteira recebe um NFT soulbound (não-transferível) que serve de credencial e é exigido para votar. Como cada identidade tem custo e não pode ser transferida entre carteiras, a fragmentação em muitas contas torna-se economicamente onerosa, mitigando o ataque.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política de emissão também é definida por governança. Os 10.000.000 $RVR iniciais deixam de ser um teto fixo: novos tokens só podem ser criados por meio de uma proposta de emissão aprovada em votação, limitada a 5% do supply por rodada e a uma emissão a cada 90 dias. Assim, a decisão de inflacionar — ou não — o token passa a ser periódica e coletiva, em vez de unilateral.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3.5. Ameaças e mecanismos anti vote-and-run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Distinguem-se dois vetores de ataque correlatos. No vote-and-run, o detentor vota e vende os tokens logo em seguida, capturando influência sem manter exposição ao resultado. No flash-buy, o atacante adquire grande volume de tokens às vésperas da votação, vota e sai, possivelmente usando empréstimos-relâmpago. O bloqueio para votar mitiga o primeiro durante a votação, mas não desincentiva o segundo, motivando os demais mecanismos da Tabela 2.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904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Mecanismo</w:t>
            </w:r>
          </w:p>
        </w:tc>
        <w:tc>
          <w:tcPr>
            <w:tcW w:type="dxa" w:w="59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Descrição e efeito sobre o ataque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Snapshot</w:t>
            </w:r>
          </w:p>
        </w:tc>
        <w:tc>
          <w:tcPr>
            <w:tcW w:type="dxa" w:w="59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Poder de voto congelado no bloco da proposta. Não impede compra anterior ao snapshot.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Lock-to-vote</w:t>
            </w:r>
          </w:p>
        </w:tc>
        <w:tc>
          <w:tcPr>
            <w:tcW w:type="dxa" w:w="59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Tokens travados durante a votação e liberados ao final; impede a venda no período (anti vote-and-run).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Carência (cooldown)</w:t>
            </w:r>
          </w:p>
        </w:tc>
        <w:tc>
          <w:tcPr>
            <w:tcW w:type="dxa" w:w="59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Exige tempo mínimo de posse antes de votar e/ou carência de saque após votar; ataca o flash-buy.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Vote-escrow (veTokens)</w:t>
            </w:r>
          </w:p>
        </w:tc>
        <w:tc>
          <w:tcPr>
            <w:tcW w:type="dxa" w:w="59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Poder de voto cresce com o tempo de bloqueio; vender antecipadamente reduz poder e recompensas.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Votação quadrática</w:t>
            </w:r>
          </w:p>
        </w:tc>
        <w:tc>
          <w:tcPr>
            <w:tcW w:type="dxa" w:w="59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Poder de voto = raiz quadrada dos tokens; eleva o custo de manipulação por grandes detentores.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Delegação</w:t>
            </w:r>
          </w:p>
        </w:tc>
        <w:tc>
          <w:tcPr>
            <w:tcW w:type="dxa" w:w="59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Transferência do poder de voto a um representante sem venda dos tokens; melhora representatividade.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2. Mecanismos de mitigação considerados e seu efeito.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carência (cooldown) merece destaque por responder diretamente à questão levantada na avaliação parcial: ao exigir um tempo mínimo entre a compra e a habilitação para votar, desincentiva a aquisição oportunista de poder de voto. Seu efeito é avaliado quantitativamente na Seção 4, por meio do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custo do ataque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função do capital imobilizado, do tempo de bloqueio e do custo de oportunidade — comparado ao benefício obtido.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3.6. Escolha do padrão de token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a governança por peso de voto, o padrão ERC-20 é o mais adequado, por ser fungível, divisível e amplamente suportado por carteiras e ferramentas. O ERC-1155 torna-se atrativo caso o projeto unifique, em um único contrato, o token fungível de governança e os ativos não-fungíveis já previstos (ingressos, colecionáveis e passes por tier), aproveitando operações em lote. A hipótese a ser avaliada é que o ERC-20 deve ser mantido para a governança, ao passo que o ERC-1155 se justifica quando os ativos não-fungíveis forem incorporados — desde que a economia de gas compense a maior complexidade de implementação.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Avaliação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 seção descreve a metodologia experimental e reporta os resultados. A avaliação é organizada em torno de três eixos: custo computacional (gas), resistência a ataques de governança e poder de voto efetivo sob diferentes sistemas de votação.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Metodologia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contratos são implementados em Solidity e implantados em ambiente local (Hardhat) e na testnet Sepolia, sem custo financeiro real. As variantes avaliadas incluem o contrato base e versões com carência (cooldown), votação quadrática e uma implementação mínima em ERC-1155. Para cada variante, mede-se: (i) o consumo de gas das principais funções (deploy, compra, transferência, criação de proposta, voto, encerramento, stake e unstake); (ii) a viabilidade econômica, estimando o custo em ETH para o torcedor; (iii) a resistência a ataques, por meio de cenários controlados de vote-and-run, flash-buy e dominância de grande detentor; e (iv) o poder de voto efetivo, calculado analiticamente e por simulação a partir da distribuição real de tokens (60% clube, 30% público, 10% staking).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Custo computacional (gas)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Mede-se o gas consumido por cada função do contrato e estima-se o custo correspondente em ETH, comparando-se as variantes entre si e o ERC-20 frente ao ERC-1155.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4"/>
        <w:gridCol w:w="3500"/>
      </w:tblGrid>
      <w:tr>
        <w:trPr>
          <w:tblHeader/>
        </w:trPr>
        <w:tc>
          <w:tcPr>
            <w:tcW w:type="dxa" w:w="50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Função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Gas</w:t>
            </w:r>
          </w:p>
        </w:tc>
      </w:tr>
      <w:tr>
        <w:tc>
          <w:tcPr>
            <w:tcW w:type="dxa" w:w="50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deploy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2.271.630</w:t>
            </w:r>
          </w:p>
        </w:tc>
      </w:tr>
      <w:tr>
        <w:tc>
          <w:tcPr>
            <w:tcW w:type="dxa" w:w="50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comprar()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101.944</w:t>
            </w:r>
          </w:p>
        </w:tc>
      </w:tr>
      <w:tr>
        <w:tc>
          <w:tcPr>
            <w:tcW w:type="dxa" w:w="50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criarProposta()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101.056</w:t>
            </w:r>
          </w:p>
        </w:tc>
      </w:tr>
      <w:tr>
        <w:tc>
          <w:tcPr>
            <w:tcW w:type="dxa" w:w="50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votar()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173.134</w:t>
            </w:r>
          </w:p>
        </w:tc>
      </w:tr>
      <w:tr>
        <w:tc>
          <w:tcPr>
            <w:tcW w:type="dxa" w:w="50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stake()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72.759</w:t>
            </w:r>
          </w:p>
        </w:tc>
      </w:tr>
      <w:tr>
        <w:tc>
          <w:tcPr>
            <w:tcW w:type="dxa" w:w="50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unstake()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59.806</w:t>
            </w:r>
          </w:p>
        </w:tc>
      </w:tr>
      <w:tr>
        <w:tc>
          <w:tcPr>
            <w:tcW w:type="dxa" w:w="50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encerrarProposta()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61.752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4. Custo de gas por função do RiverToken.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função votar() é a mais custosa (173.134 gas), por registrar o voto e travar os tokens do eleitor; o deploy (2,27 milhões de gas) reflete o contrato completo, com governança e staking. Os valores foram coletados na rede local do Hardhat e são idênticos aos da Sepolia, pois o custo depende dos opcodes executados, não da rede, permitindo estimar o custo em ETH para o torcedor a partir do preço de gas vigente.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4.3. Poder de voto efetivo por sistema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responder a qual sistema de votação é mais adequado, simulou-se uma votação com a distribuição real do projeto sob cada sistema, calculando-se a fração de poder de voto detida pelo clube e pela torcida. Considera-se o supply votável de 9.000.000 $RVR — o fundo de staking de 1.000.000, não-votante, é excluído — e uma torcida de 4.655 detentores distribuída em quatro tiers (5 Platina, 50 Ouro, 600 Prata e 4.000 Bronze), totalizando os 3.000.000 da venda pública. A Tabela 3 e a Figura 1 resumem os resultados.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4"/>
        <w:gridCol w:w="2000"/>
        <w:gridCol w:w="2000"/>
      </w:tblGrid>
      <w:tr>
        <w:trPr>
          <w:tblHeader/>
        </w:trPr>
        <w:tc>
          <w:tcPr>
            <w:tcW w:type="dxa" w:w="4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Sistema de votação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Clube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Torcida</w:t>
            </w:r>
          </w:p>
        </w:tc>
      </w:tr>
      <w:tr>
        <w:tc>
          <w:tcPr>
            <w:tcW w:type="dxa" w:w="4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Um-token-um-voto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66,7%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33,3%</w:t>
            </w:r>
          </w:p>
        </w:tc>
      </w:tr>
      <w:tr>
        <w:tc>
          <w:tcPr>
            <w:tcW w:type="dxa" w:w="4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Votação quadrática (honesta)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2,1%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97,9%</w:t>
            </w:r>
          </w:p>
        </w:tc>
      </w:tr>
      <w:tr>
        <w:tc>
          <w:tcPr>
            <w:tcW w:type="dxa" w:w="4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Vote-escrow (torcida trava 4×)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33,3%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66,7%</w:t>
            </w:r>
          </w:p>
        </w:tc>
      </w:tr>
      <w:tr>
        <w:tc>
          <w:tcPr>
            <w:tcW w:type="dxa" w:w="4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Teto de 1% por carteira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2,9%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97,1%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3. Poder de voto efetivo do clube e da torcida por sistema.</w:t>
      </w:r>
    </w:p>
    <w:p>
      <w:pPr>
        <w:spacing w:after="20" w:before="100"/>
        <w:jc w:val="center"/>
      </w:pPr>
      <w:r>
        <w:drawing>
          <wp:inline distT="0" distB="0" distL="0" distR="0">
            <wp:extent cx="4476750" cy="2228850"/>
            <wp:effectExtent t="0" r="0" b="0" l="0"/>
            <wp:docPr id="1" name="figura" descr="figura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1. Distribuição do poder de voto efetivo por sistema de votação.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Sob um-token-um-voto, o clube detém 66,7% do poder — maioria absoluta — o que reduz a governança a uma formalidade, já que o resultado de qualquer proposta é decidido isoladamente pelo clube. A votação quadrática inverte radicalmente o quadro: como o poder passa a ser proporcional à raiz quadrada do saldo, os milhares de pequenos detentores superam o clube, cuja participação cai para 2,1%.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Esse ganho, contudo, depende criticamente da resistência a ataques Sybil. A Figura 2 mostra que, ao fragmentar seus 6.000.000 $RVR em múltiplas carteiras, o clube recupera poder sob a votação quadrática: chega a 18% com 100 carteiras e à paridade (50%) com aproximadamente 2.128 carteiras. Sem um mecanismo de identidade que impeça essa fragmentação, a quadrática não garante, por si só, a descentralização do poder.</w:t>
      </w:r>
    </w:p>
    <w:p>
      <w:pPr>
        <w:spacing w:after="20" w:before="100"/>
        <w:jc w:val="center"/>
      </w:pPr>
      <w:r>
        <w:drawing>
          <wp:inline distT="0" distB="0" distL="0" distR="0">
            <wp:extent cx="4476750" cy="2162175"/>
            <wp:effectExtent t="0" r="0" b="0" l="0"/>
            <wp:docPr id="1" name="figura" descr="figura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Figura 2. Vulnerabilidade da votação quadrática à fragmentação (Sybil) do clube.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vote-escrow realinha o poder ao comprometimento: se a torcida bloqueia seus tokens por mais tempo (4×) do que o clube (1×), o poder do clube cai para 33,3%; o efeito desaparece caso o clube também bloqueie pelo prazo máximo. O teto de 1% por carteira reduz o poder do clube a 2,9%, mas é igualmente vulnerável à fragmentação em carteiras. Conclui-se que nenhum mecanismo isolado é suficiente: a quadrática e o teto exigem resistência a Sybil — por exemplo, prova de identidade ou limite associado a tiers verificados —, ao passo que o vote-escrow só é eficaz quando alinhado ao comprometimento de longo prazo. O desenho recomendado, portanto, combina mecanismos: peso quadrático ou com teto, ancorado em identidade, somado a vote-escrow e à carência discutida na Seção 4.4.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 Resistência a ataques de governança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mecanismo de mitigação é submetido aos cenários de ataque correspondentes em testnet, registrando-se se a tentativa é bloqueada pelo contrato e qual o custo imposto ao atacante. Para a carência (cooldown), quantifica-se o custo do ataque em função do tempo de bloqueio exigido.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mecanismos foram validados por uma suíte de testes automatizados (dez casos, todos aprovados). A Tabela 5 resume os cenários de ataque e o comportamento observado do contrato.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300"/>
        <w:gridCol w:w="2504"/>
      </w:tblGrid>
      <w:tr>
        <w:trPr>
          <w:tblHeader/>
        </w:trP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Cenário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Mecanismo de defesa</w:t>
            </w:r>
          </w:p>
        </w:tc>
        <w:tc>
          <w:tcPr>
            <w:tcW w:type="dxa" w:w="2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Resultado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Voto duplo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Registro por proposta (jaVotou)</w:t>
            </w:r>
          </w:p>
        </w:tc>
        <w:tc>
          <w:tcPr>
            <w:tcW w:type="dxa" w:w="2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Revertido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Vote-and-run (vender após votar)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Trava de tokens no _update</w:t>
            </w:r>
          </w:p>
        </w:tc>
        <w:tc>
          <w:tcPr>
            <w:tcW w:type="dxa" w:w="2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Revertido; liberado ao encerrar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Flash-buy (comprar e votar na hora)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Carência (cooldown)</w:t>
            </w:r>
          </w:p>
        </w:tc>
        <w:tc>
          <w:tcPr>
            <w:tcW w:type="dxa" w:w="2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Revertido; liberado após o prazo</w:t>
            </w:r>
          </w:p>
        </w:tc>
      </w:tr>
      <w:tr>
        <w:tc>
          <w:tcPr>
            <w:tcW w:type="dxa" w:w="2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Transferir tokens em staking</w:t>
            </w:r>
          </w:p>
        </w:tc>
        <w:tc>
          <w:tcPr>
            <w:tcW w:type="dxa" w:w="3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Trava de staking no _update</w:t>
            </w:r>
          </w:p>
        </w:tc>
        <w:tc>
          <w:tcPr>
            <w:tcW w:type="dxa" w:w="2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Revertido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5. Cenários de ataque e resposta do contrato.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todos os casos, a tentativa maliciosa é revertida pelo contrato. O vote-and-run é impedido pela trava de transferência durante a votação; o voto duplo, pelo registro por proposta; e o flash-buy, pela carência (cooldown), que exige tempo mínimo de posse antes de votar. Para o cooldown, o custo do ataque cresce com o tempo de bloqueio exigido: quanto maior a carência, maior o capital imobilizado e o custo de oportunidade do atacante, tornando o ataque economicamente desvantajoso.</w:t>
      </w: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4.5. Comparação de padrões de token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Compara-se o custo de gas e a complexidade de implementação entre ERC-20, ERC-721 e ERC-1155 para o conjunto de operações do projeto (mint, transferência e operações em lote), avaliando-se quando a unificação em ERC-1155 compensa.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4"/>
        <w:gridCol w:w="1800"/>
        <w:gridCol w:w="1800"/>
        <w:gridCol w:w="1800"/>
      </w:tblGrid>
      <w:tr>
        <w:trPr>
          <w:tblHeader/>
        </w:trPr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Operação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ERC-20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ERC-721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ERC-1155</w:t>
            </w:r>
          </w:p>
        </w:tc>
      </w:tr>
      <w:tr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Deploy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2.271.630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1.087.629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1.267.037</w:t>
            </w:r>
          </w:p>
        </w:tc>
      </w:tr>
      <w:tr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Emissão (mint)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84.844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95.804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52.572</w:t>
            </w:r>
          </w:p>
        </w:tc>
      </w:tr>
      <w:tr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Transferência (1)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44.552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55.018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52.268</w:t>
            </w:r>
          </w:p>
        </w:tc>
      </w:tr>
      <w:tr>
        <w:tc>
          <w:tcPr>
            <w:tcW w:type="dxa" w:w="31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Emissão em lote (10)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291.365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266.731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6. Custo de gas por operação em cada padrão de token.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resultados confirmam a análise qualitativa. O ERC-20 tem a transferência mais barata (44.552 gas), adequada a um ativo puramente fungível e à governança por peso. O ERC-721 é o mais caro por unidade, tanto na emissão (95.804) quanto na transferência (55.018), por tratar cada token como único. O ERC-1155 tem a emissão individual mais barata (52.572) e vence na emissão em lote (266.731 para dez itens, contra 291.365 do ERC-721), confirmando sua vantagem em operações em massa. Conclui-se que o ERC-20 é o padrão adequado para o token de governança, enquanto o ERC-1155 é preferível para os ativos não-fungíveis, como ingressos e colecionáveis, sobretudo com emissão em lote. O deploy do RiverToken (2,27 milhões) é naturalmente maior por conter toda a lógica de governança e staking, ao contrário dos contratos mínimos usados na comparação.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comparação anterior trata de operações isoladas. Para decidir a arquitetura do sistema completo, avaliou-se a DAO com todas as funcionalidades (voto quadrático, tiers, moderação, identidade e emissão) em duas formas: unificada em um único contrato ERC-1155 e dividida em ERC-20, para a governança, mais ERC-721, para a identidade soulbound. A Tabela 7 apresenta o custo de gas de ambas.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4"/>
        <w:gridCol w:w="2400"/>
        <w:gridCol w:w="2400"/>
      </w:tblGrid>
      <w:tr>
        <w:trPr>
          <w:tblHeader/>
        </w:trPr>
        <w:tc>
          <w:tcPr>
            <w:tcW w:type="dxa" w:w="3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Operação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ERC-1155 unificado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0E3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ERC-20 + ERC-721</w:t>
            </w:r>
          </w:p>
        </w:tc>
      </w:tr>
      <w:tr>
        <w:tc>
          <w:tcPr>
            <w:tcW w:type="dxa" w:w="3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Deploy (total)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3.611.789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4.076.501</w:t>
            </w:r>
          </w:p>
        </w:tc>
      </w:tr>
      <w:tr>
        <w:tc>
          <w:tcPr>
            <w:tcW w:type="dxa" w:w="3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verificarIdentidade()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167.902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129.369</w:t>
            </w:r>
          </w:p>
        </w:tc>
      </w:tr>
      <w:tr>
        <w:tc>
          <w:tcPr>
            <w:tcW w:type="dxa" w:w="3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comprar()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110.776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103.447</w:t>
            </w:r>
          </w:p>
        </w:tc>
      </w:tr>
      <w:tr>
        <w:tc>
          <w:tcPr>
            <w:tcW w:type="dxa" w:w="3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criarProposta()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150.213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150.288</w:t>
            </w:r>
          </w:p>
        </w:tc>
      </w:tr>
      <w:tr>
        <w:tc>
          <w:tcPr>
            <w:tcW w:type="dxa" w:w="3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votar() (quadrático)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176.323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176.190</w:t>
            </w:r>
          </w:p>
        </w:tc>
      </w:tr>
      <w:tr>
        <w:tc>
          <w:tcPr>
            <w:tcW w:type="dxa" w:w="37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encerrarProposta()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44.551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44.573</w:t>
            </w:r>
          </w:p>
        </w:tc>
      </w:tr>
    </w:tbl>
    <w:p>
      <w:pPr>
        <w:spacing w:after="160" w:before="8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Tabela 7. DAO completa: arquitetura unificada (ERC-1155) vs. dividida (ERC-20 + ERC-721).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arquitetura unificada em ERC-1155 é mais econômica no deploy (3,61 milhões contra 4,08 milhões de gas), por concentrar tudo em um único contrato, e equivale à dividida nas operações de governança — comprar, criar proposta, votar e encerrar diferem em menos de 1%. A emissão da credencial de identidade, por sua vez, é mais barata na forma dividida (129.369 contra 167.902 gas), pois o ERC-721 mínimo custa menos que criar um novo identificador no ERC-1155 com contabilização de supply. No conjunto, a unificação em ERC-1155 é preferível para este sistema — menos contratos para implantar e auditar, deploy mais barato e paridade nas operações frequentes —, ficando a divisão justificada apenas se a emissão de identidades for a operação dominante.</w:t>
      </w:r>
    </w:p>
    <w:p>
      <w:pPr>
        <w:spacing w:before="160" w:after="100"/>
      </w:pPr>
      <w:r>
        <w:rPr>
          <w:rFonts w:ascii="Times New Roman" w:hAnsi="Times New Roman" w:cs="Times New Roman"/>
          <w:b/>
          <w:sz w:val="24"/>
        </w:rPr>
        <w:t>4.6. Validação em testnet</w:t>
      </w:r>
    </w:p>
    <w:p>
      <w:pPr>
        <w:spacing w:after="120" w:line="276" w:lineRule="auto"/>
        <w:ind w:firstLine="562"/>
        <w:jc w:val="both"/>
      </w:pPr>
      <w:r>
        <w:rPr>
          <w:rFonts w:ascii="Times New Roman" w:hAnsi="Times New Roman" w:cs="Times New Roman"/>
          <w:b w:val="0"/>
          <w:sz w:val="24"/>
        </w:rPr>
        <w:t>Para atender ao requisito de execução em rede de teste, as duas arquiteturas foram implantadas e exercitadas na testnet pública Ethereum Sepolia. A Tabela 8 lista os endereços dos contratos publicados e a Tabela 9, as transações que percorrem o fluxo principal do sistema — compra, verificação de identidade, criação de proposta e voto — em cada arquitetura. Todas as transações foram confirmadas com sucesso na rede.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33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E3E4"/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/>
                <w:sz w:val="20"/>
              </w:rPr>
              <w:t>Contrato</w:t>
            </w:r>
          </w:p>
        </w:tc>
        <w:tc>
          <w:tcPr>
            <w:tcW w:type="dxa" w:w="511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E3E4"/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/>
                <w:sz w:val="20"/>
              </w:rPr>
              <w:t>Endereço na Sepolia</w:t>
            </w:r>
          </w:p>
        </w:tc>
      </w:tr>
      <w:tr>
        <w:tc>
          <w:tcPr>
            <w:tcW w:type="dxa" w:w="33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22"/>
              </w:rPr>
              <w:t>RiverDAO1155 (unificado)</w:t>
            </w:r>
          </w:p>
        </w:tc>
        <w:tc>
          <w:tcPr>
            <w:tcW w:type="dxa" w:w="511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0x7EAE8884d6B14adE861C5E4c638D6E0b327D44CD</w:t>
            </w:r>
          </w:p>
        </w:tc>
      </w:tr>
      <w:tr>
        <w:tc>
          <w:tcPr>
            <w:tcW w:type="dxa" w:w="33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22"/>
              </w:rPr>
              <w:t>RiverIdentidade721</w:t>
            </w:r>
          </w:p>
        </w:tc>
        <w:tc>
          <w:tcPr>
            <w:tcW w:type="dxa" w:w="511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0x4D9cCE75CE33BC36a7a696589FF56Ef3519992c1</w:t>
            </w:r>
          </w:p>
        </w:tc>
      </w:tr>
      <w:tr>
        <w:tc>
          <w:tcPr>
            <w:tcW w:type="dxa" w:w="33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22"/>
              </w:rPr>
              <w:t>RiverToken20</w:t>
            </w:r>
          </w:p>
        </w:tc>
        <w:tc>
          <w:tcPr>
            <w:tcW w:type="dxa" w:w="511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0xF00FE5A34D8119840E4F94F6D2154F4Efcf93ee1</w:t>
            </w:r>
          </w:p>
        </w:tc>
      </w:tr>
      <w:tr>
        <w:tc>
          <w:tcPr>
            <w:tcW w:type="dxa" w:w="33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22"/>
              </w:rPr>
              <w:t>Carteira do clube (deployer)</w:t>
            </w:r>
          </w:p>
        </w:tc>
        <w:tc>
          <w:tcPr>
            <w:tcW w:type="dxa" w:w="511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18"/>
              </w:rPr>
              <w:t>0x99EC4E0B39376E2e9837f17E74dFac187077cD5C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 w:cs="Times New Roman"/>
          <w:b w:val="0"/>
          <w:sz w:val="20"/>
        </w:rPr>
        <w:t>Tabela 8. Contratos publicados na testnet Sepolia.</w:t>
      </w:r>
    </w:p>
    <w:p>
      <w:pPr>
        <w:spacing w:after="120" w:line="276" w:lineRule="auto"/>
        <w:ind w:firstLine="562"/>
        <w:jc w:val="both"/>
      </w:pPr>
      <w:r>
        <w:rPr>
          <w:rFonts w:ascii="Times New Roman" w:hAnsi="Times New Roman" w:cs="Times New Roman"/>
          <w:b w:val="0"/>
          <w:sz w:val="24"/>
        </w:rPr>
        <w:t>Cada transação da Tabela 9 pode ser verificada no explorador de blocos, acessando o endereço https://sepolia.etherscan.io/tx/ seguido do respectivo hash.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44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E3E4"/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/>
                <w:sz w:val="20"/>
              </w:rPr>
              <w:t>Operação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E3E4"/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/>
                <w:sz w:val="20"/>
              </w:rPr>
              <w:t>Arquitetura</w:t>
            </w:r>
          </w:p>
        </w:tc>
        <w:tc>
          <w:tcPr>
            <w:tcW w:type="dxa" w:w="381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E3E4"/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/>
                <w:sz w:val="20"/>
              </w:rPr>
              <w:t>Hash da transação</w:t>
            </w:r>
          </w:p>
        </w:tc>
      </w:tr>
      <w:tr>
        <w:tc>
          <w:tcPr>
            <w:tcW w:type="dxa" w:w="244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20"/>
              </w:rPr>
              <w:t>comprar()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20"/>
              </w:rPr>
              <w:t>ERC-1155</w:t>
            </w:r>
          </w:p>
        </w:tc>
        <w:tc>
          <w:tcPr>
            <w:tcW w:type="dxa" w:w="381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0x16b55ac53b3952c3034d6da487e65e5776edf22b81a5b0f130117e949d9df75b</w:t>
            </w:r>
          </w:p>
        </w:tc>
      </w:tr>
      <w:tr>
        <w:tc>
          <w:tcPr>
            <w:tcW w:type="dxa" w:w="244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20"/>
              </w:rPr>
              <w:t>verificarIdentidade()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20"/>
              </w:rPr>
              <w:t>ERC-1155</w:t>
            </w:r>
          </w:p>
        </w:tc>
        <w:tc>
          <w:tcPr>
            <w:tcW w:type="dxa" w:w="381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0x2d721c2285ab063fe05bc9b0825322a7ad807d87c04e2c751d34e7ba283994f7</w:t>
            </w:r>
          </w:p>
        </w:tc>
      </w:tr>
      <w:tr>
        <w:tc>
          <w:tcPr>
            <w:tcW w:type="dxa" w:w="244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20"/>
              </w:rPr>
              <w:t>criarProposta()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20"/>
              </w:rPr>
              <w:t>ERC-1155</w:t>
            </w:r>
          </w:p>
        </w:tc>
        <w:tc>
          <w:tcPr>
            <w:tcW w:type="dxa" w:w="381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0x0525f0016de818c3e0350bb2c137eb64476b75be195fdf2902cc23ea3db593f0</w:t>
            </w:r>
          </w:p>
        </w:tc>
      </w:tr>
      <w:tr>
        <w:tc>
          <w:tcPr>
            <w:tcW w:type="dxa" w:w="244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20"/>
              </w:rPr>
              <w:t>votar()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20"/>
              </w:rPr>
              <w:t>ERC-1155</w:t>
            </w:r>
          </w:p>
        </w:tc>
        <w:tc>
          <w:tcPr>
            <w:tcW w:type="dxa" w:w="381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0x0919961612a4b09b28ff921afb0bb8cb4b567da32f3de8285e827219227302bd</w:t>
            </w:r>
          </w:p>
        </w:tc>
      </w:tr>
      <w:tr>
        <w:tc>
          <w:tcPr>
            <w:tcW w:type="dxa" w:w="244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20"/>
              </w:rPr>
              <w:t>comprar()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20"/>
              </w:rPr>
              <w:t>ERC-20 + ERC-721</w:t>
            </w:r>
          </w:p>
        </w:tc>
        <w:tc>
          <w:tcPr>
            <w:tcW w:type="dxa" w:w="381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0x6f0e3c6984c35492e9c7bade341e1833df8131fe854c3b911fdd298fd519ab72</w:t>
            </w:r>
          </w:p>
        </w:tc>
      </w:tr>
      <w:tr>
        <w:tc>
          <w:tcPr>
            <w:tcW w:type="dxa" w:w="244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20"/>
              </w:rPr>
              <w:t>verificarIdentidade()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20"/>
              </w:rPr>
              <w:t>ERC-20 + ERC-721</w:t>
            </w:r>
          </w:p>
        </w:tc>
        <w:tc>
          <w:tcPr>
            <w:tcW w:type="dxa" w:w="381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0x4de24227cabb74dd65397471e73c7c238ba8a0acceb3fd64281ec2a77cd6a0c7</w:t>
            </w:r>
          </w:p>
        </w:tc>
      </w:tr>
      <w:tr>
        <w:tc>
          <w:tcPr>
            <w:tcW w:type="dxa" w:w="244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20"/>
              </w:rPr>
              <w:t>criarProposta()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20"/>
              </w:rPr>
              <w:t>ERC-20 + ERC-721</w:t>
            </w:r>
          </w:p>
        </w:tc>
        <w:tc>
          <w:tcPr>
            <w:tcW w:type="dxa" w:w="381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0xb589e3f10f2a8a88093f10b7f0076f487aca4fb10a1315313178ad617a89ebf3</w:t>
            </w:r>
          </w:p>
        </w:tc>
      </w:tr>
      <w:tr>
        <w:tc>
          <w:tcPr>
            <w:tcW w:type="dxa" w:w="244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20"/>
              </w:rPr>
              <w:t>votar()</w:t>
            </w:r>
          </w:p>
        </w:tc>
        <w:tc>
          <w:tcPr>
            <w:tcW w:type="dxa" w:w="2232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20"/>
              </w:rPr>
              <w:t>ERC-20 + ERC-721</w:t>
            </w:r>
          </w:p>
        </w:tc>
        <w:tc>
          <w:tcPr>
            <w:tcW w:type="dxa" w:w="381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after="0"/>
            </w:pPr>
            <w:r>
              <w:rPr>
                <w:rFonts w:ascii="Times New Roman" w:hAnsi="Times New Roman" w:cs="Times New Roman"/>
                <w:b w:val="0"/>
                <w:sz w:val="16"/>
              </w:rPr>
              <w:t>0x9eeeb78ee0dbf067bd837cb5b005aa7c464b9d990ed5fdfbdb8b3e42798fb227</w:t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 w:cs="Times New Roman"/>
          <w:b w:val="0"/>
          <w:sz w:val="20"/>
        </w:rPr>
        <w:t>Tabela 9. Transações de exemplo executadas na testnet Sepolia.</w:t>
      </w:r>
    </w:p>
    <w:p>
      <w:pPr>
        <w:spacing w:after="120" w:line="276" w:lineRule="auto"/>
        <w:ind w:firstLine="562"/>
        <w:jc w:val="both"/>
      </w:pPr>
      <w:r>
        <w:rPr>
          <w:rFonts w:ascii="Times New Roman" w:hAnsi="Times New Roman" w:cs="Times New Roman"/>
          <w:b w:val="0"/>
          <w:sz w:val="24"/>
        </w:rPr>
        <w:t>A execução na testnet confirmou os resultados obtidos em ambiente local. Em particular, o custo de gas da verificação de identidade foi de 167.902 na arquitetura unificada e de 129.369 na dividida — idêntico aos valores da Tabela 7 —, evidenciando que o consumo de gas independe da rede. Além disso, na arquitetura dividida, a chamada de verificação de identidade ao contrato ERC-20 acionou a emissão do NFT soulbound no contrato ERC-721, validando na prática a integração entre os dois contratos.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Conclusões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trabalho apresentou o projeto e a avaliação de uma camada de governança on-chain para o River Token, um fan token ERC-20 aberto voltado a um clube regional, tendo como diferencial central a resistência a ataques de vote-and-run. Descreveram-se a arquitetura do contrato, as melhorias de implementação (compra com ETH, staking não-inflacionário e bloqueio de tokens na votação) e um conjunto de mecanismos de mitigação, além de uma metodologia experimental para avaliá-los quanto a custo de gas, resistência a ataques e poder de voto efetivo.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resultados alcançados sustentam três conclusões. Primeiro, a simulação de poder de voto mostrou que, sob um-token-um-voto, o clube detém 66,7% do poder — maioria absoluta —, ao passo que a votação quadrática e o teto por carteira reduzem drasticamente essa dominância, embora exijam resistência a Sybil, e o vote-escrow depende do comprometimento de longo prazo; nenhum mecanismo isolado é suficiente, recomendando-se sua combinação. Segundo, a avaliação de robustez confirmou que o contrato bloqueia, na prática, o voto duplo, o vote-and-run e o flash-buy (via carência), com todos os casos de teste aprovados. Terceiro, a comparação de padrões indicou o ERC-20 como o mais adequado à governança (transferência de 44.552 gas) e o ERC-1155 como preferível para ativos não-fungíveis e operações em lote.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Entre as limitações, destacam-se a concentração de 60% do supply no clube — que torna o sistema de votação determinante para a efetiva participação da torcida —, o custo de gas na Ethereum como barreira ao torcedor comum, as barreiras de adoção associadas ao uso de carteiras e à compra de ETH, e a vulnerabilidade a ataques Sybil introduzida por esquemas como a votação quadrática.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Como trabalhos futuros, pretende-se migrar a operação para uma rede de camada 2 (por exemplo, Base ou Arbitrum) a fim de reduzir custos, integrar os ativos não-fungíveis (ingressos e colecionáveis) por meio do padrão ERC-1155, conduzir um piloto com a torcida para avaliar adoção real, e empregar verificação formal e auditoria sobre o contrato de governança.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Referências</w:t>
      </w:r>
    </w:p>
    <w:p>
      <w:pPr>
        <w:spacing w:after="80" w:line="264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Aragon (2023). Aragon OSx and governance plugins documentation. Disponível em: https://aragon.org. Acesso em: 2026.</w:t>
      </w:r>
    </w:p>
    <w:p>
      <w:pPr>
        <w:spacing w:after="80" w:line="264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Buterin, V. (2014). Ethereum: A next-generation smart contract and decentralized application platform. White paper.</w:t>
      </w:r>
    </w:p>
    <w:p>
      <w:pPr>
        <w:spacing w:after="80" w:line="264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Buterin, V., Hitzig, Z. and Weyl, E. G. (2019). A flexible design for funding public goods. Management Science, 65(11):5171–5187.</w:t>
      </w:r>
    </w:p>
    <w:p>
      <w:pPr>
        <w:spacing w:after="80" w:line="264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Chiliz (2024). Chiliz and Socios.com ecosystem. Disponível em: https://www.chiliz.com. Acesso em: 2026.</w:t>
      </w:r>
    </w:p>
    <w:p>
      <w:pPr>
        <w:spacing w:after="80" w:line="264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Daian, P., Goldfeder, S., Kell, T., Li, Y., Zhao, X., Bentov, I., Breidenbach, L. and Juels, A. (2020). Flash boys 2.0: Frontrunning in decentralized exchanges, miner extractable value, and consensus instability. In IEEE Symposium on Security and Privacy (S&amp;P).</w:t>
      </w:r>
    </w:p>
    <w:p>
      <w:pPr>
        <w:spacing w:after="80" w:line="264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Egorov, M. (2019). StableSwap: Efficient mechanism for stablecoin liquidity. Curve Finance white paper.</w:t>
      </w:r>
    </w:p>
    <w:p>
      <w:pPr>
        <w:spacing w:after="80" w:line="264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Entriken, W., Shirley, D., Evans, J. and Sachs, N. (2018). EIP-721: Non-fungible token standard. Ethereum Improvement Proposals.</w:t>
      </w:r>
    </w:p>
    <w:p>
      <w:pPr>
        <w:spacing w:after="80" w:line="264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OpenZeppelin (2024). OpenZeppelin Contracts library documentation. Disponível em: https://docs.openzeppelin.com/contracts. Acesso em: 2026.</w:t>
      </w:r>
    </w:p>
    <w:p>
      <w:pPr>
        <w:spacing w:after="80" w:line="264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Posner, E. A. and Weyl, E. G. (2018). Radical Markets: Uprooting Capitalism and Democracy for a Just Society. Princeton University Press.</w:t>
      </w:r>
    </w:p>
    <w:p>
      <w:pPr>
        <w:spacing w:after="80" w:line="264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Radomski, W., Cooke, A., Castonguay, P., Therien, J., Binet, E. and Sandford, R. (2018). EIP-1155: Multi token standard. Ethereum Improvement Proposals.</w:t>
      </w:r>
    </w:p>
    <w:p>
      <w:pPr>
        <w:spacing w:after="80" w:line="264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Vogelsteller, F. and Buterin, V. (2015). EIP-20: Token standard. Ethereum Improvement Proposals.</w:t>
      </w:r>
    </w:p>
    <w:p>
      <w:pPr>
        <w:spacing w:after="80" w:line="264"/>
        <w:ind w:left="567" w:hanging="567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Wood, G. (2014). Ethereum: A secure decentralised generalised transaction ledger. Ethereum Yellow Paper.</w:t>
      </w:r>
    </w:p>
    <w:sectPr>
      <w:footerReference w:type="default" r:id="rId7"/>
      <w:pgSz w:w="11906" w:h="16838" w:orient="portrait"/>
      <w:pgMar w:top="1984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039bc19677d00734a098958380b7e7cbee3f8f1.png"/><Relationship Id="rId9" Type="http://schemas.openxmlformats.org/officeDocument/2006/relationships/image" Target="media/cceffcb119a21b115efb767f86b6e4beb6e244ae.png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2026-07-06T17:10:20.389Z</dcterms:created>
  <dcterms:modified xsi:type="dcterms:W3CDTF">2026-07-06T17:10:20.390Z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