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F172A"/>
          <w:sz w:val="40"/>
        </w:rPr>
        <w:t>Explainable Predictive Modeling and Prescriptive Decision Support for Customer Churn Mitigation: An Empirical Study on Subscription Services</w:t>
      </w:r>
    </w:p>
    <w:p>
      <w:pPr>
        <w:spacing w:after="240"/>
        <w:jc w:val="center"/>
      </w:pPr>
      <w:r>
        <w:rPr>
          <w:rFonts w:ascii="Times New Roman" w:hAnsi="Times New Roman"/>
          <w:i/>
          <w:color w:val="475569"/>
          <w:sz w:val="19"/>
        </w:rPr>
        <w:t>Target Venue: IEEE Transactions on Knowledge and Data Engineering (TKDE) / IEEE Big Data</w:t>
      </w:r>
    </w:p>
    <w:tbl>
      <w:tblPr>
        <w:tblW w:type="auto" w:w="0"/>
        <w:jc w:val="center"/>
        <w:tblLayout w:type="fixed"/>
        <w:tblLook w:firstColumn="1" w:firstRow="1" w:lastColumn="0" w:lastRow="0" w:noHBand="0" w:noVBand="1" w:val="04A0"/>
      </w:tblPr>
      <w:tblGrid>
        <w:gridCol w:w="4896"/>
        <w:gridCol w:w="4896"/>
      </w:tblGrid>
      <w:tr>
        <w:tc>
          <w:tcPr>
            <w:tcW w:type="dxa" w:w="5040"/>
          </w:tcPr>
          <w:p>
            <w:pPr>
              <w:spacing w:after="40"/>
              <w:jc w:val="center"/>
            </w:pPr>
            <w:r>
              <w:rPr>
                <w:b/>
                <w:sz w:val="20"/>
              </w:rPr>
              <w:t>Mugilvannan P</w:t>
              <w:br/>
            </w:r>
            <w:r>
              <w:rPr>
                <w:i/>
                <w:sz w:val="18"/>
              </w:rPr>
              <w:t>Dept. of Computer Science &amp; Engineering</w:t>
              <w:br/>
              <w:t>Advanced Machine Learning &amp; Data Analytics Lab</w:t>
              <w:br/>
              <w:t>Chennai, India</w:t>
              <w:br/>
              <w:t>mugilvannanpichai02@gmail.com</w:t>
            </w:r>
          </w:p>
        </w:tc>
        <w:tc>
          <w:tcPr>
            <w:tcW w:type="dxa" w:w="5040"/>
          </w:tcPr>
          <w:p>
            <w:pPr>
              <w:spacing w:after="40"/>
              <w:jc w:val="center"/>
            </w:pPr>
            <w:r>
              <w:rPr>
                <w:b/>
                <w:sz w:val="20"/>
              </w:rPr>
              <w:t>Customer Success &amp; Analytics Team</w:t>
              <w:br/>
            </w:r>
            <w:r>
              <w:rPr>
                <w:i/>
                <w:sz w:val="18"/>
              </w:rPr>
              <w:t>Enterprise Intelligence Research Group</w:t>
              <w:br/>
              <w:t>Palo Alto / Bangalore</w:t>
              <w:br/>
              <w:t>analytics-research@telecom.ai</w:t>
            </w:r>
          </w:p>
        </w:tc>
      </w:tr>
    </w:tbl>
    <w:p>
      <w:pPr>
        <w:spacing w:after="80"/>
      </w:pPr>
    </w:p>
    <w:p>
      <w:pPr>
        <w:spacing w:after="120" w:line="252" w:lineRule="auto"/>
        <w:ind w:left="360" w:right="360"/>
        <w:jc w:val="both"/>
      </w:pPr>
      <w:r>
        <w:rPr>
          <w:b/>
          <w:i/>
          <w:sz w:val="18"/>
        </w:rPr>
        <w:t>Abstract—</w:t>
      </w:r>
      <w:r>
        <w:rPr>
          <w:i/>
          <w:sz w:val="18"/>
        </w:rPr>
        <w:t>Customer attrition represents an existential financial risk across digital subscription and telecommunications enterprises, where acquiring a new subscriber costs five to seven times more than retaining an existing account. While modern supervised learning models achieve strong discriminative power on tabular benchmarks, operational retention workflows consistently fail due to three critical disconnects: lack of game-theoretic feature interpretability, subtle data leakage during feature preprocessing, and the absence of a direct bridge connecting statistical risk probabilities to prescriptive, ROI-quantified interventions. In this paper, we propose a holistic, end-to-end explainable machine learning architecture for proactive customer churn mitigation. The proposed framework integrates: (i) an airtight leak-free preprocessing pipeline fitted exclusively within cross-validation folds; (ii) a proposed soft-voting hybrid ensemble combining tuned Extreme Gradient Boosting (XGBoost), bagged Random Forests, and calibrated Logistic Regression; (iii) cooperative game-theoretic model interpretability via SHAP (SHapley Additive exPlanations) for both macroeconomic global feature attribution and microeconomic individualized waterfall diagnostics; (iv) unsupervised K-Means customer segmentation clustering subscribers into five actionable Value-Risk business cohorts; and (v) an automated, rule-based prescriptive recommendation engine that calculates expected net saved revenue and assigns prioritized outreach actions. Rigorously evaluated on the benchmark IBM Telco Customer Churn dataset (N = 7,043) under stratified 5-fold cross-validation and a 20% held-out test partition, the proposed hybrid ensemble establishes state-of-the-art performance with a Receiver Operating Characteristic Area Under the Curve (ROC-AUC) of 0.8467 and Precision-Recall AUC (PR-AUC) of 0.6558, outperforming standalone Logistic Regression (0.8421), Support Vector Machines (0.7928), and Random Forests (0.8439). Global SHAP attribution confirms Month-to-month contracts (+0.7471 mean |SHAP| points) and tenure (-0.4416 points) as the primary drivers of churn and retention respectively. We conclude with an ablation analysis of resampling strategies, algorithmic latency profiles, and ethical fairness safeguards.</w:t>
      </w:r>
    </w:p>
    <w:p>
      <w:pPr>
        <w:spacing w:after="280"/>
        <w:ind w:left="360" w:right="360"/>
        <w:jc w:val="both"/>
      </w:pPr>
      <w:r>
        <w:rPr>
          <w:b/>
          <w:i/>
          <w:sz w:val="18"/>
        </w:rPr>
        <w:t>Index Terms—</w:t>
      </w:r>
      <w:r>
        <w:rPr>
          <w:sz w:val="18"/>
        </w:rPr>
        <w:t>Customer Churn Prediction, Explainable Artificial Intelligence (XAI), SHAP, Hybrid Ensemble Learning, Extreme Gradient Boosting (XGBoost), Prescriptive Analytics, Customer Lifetime Value, Retention Optimization.</w:t>
      </w:r>
    </w:p>
    <w:p>
      <w:pPr>
        <w:keepNext/>
        <w:spacing w:before="280" w:after="120"/>
        <w:jc w:val="center"/>
      </w:pPr>
      <w:r>
        <w:rPr>
          <w:b/>
          <w:sz w:val="20"/>
        </w:rPr>
        <w:t>I. INTRODUCTION</w:t>
      </w:r>
    </w:p>
    <w:p>
      <w:pPr>
        <w:spacing w:before="0" w:after="80" w:line="252" w:lineRule="auto"/>
        <w:ind w:firstLine="288"/>
        <w:jc w:val="both"/>
      </w:pPr>
      <w:r>
        <w:rPr>
          <w:sz w:val="20"/>
        </w:rPr>
        <w:t>Subscription-based business models, encompassing telecommunications providers, software-as-a-service (SaaS) platforms, and streaming entertainment conglomerates, derive their long-term enterprise valuation from recurring customer lifetime value (LTV). In these recurring revenue ecosystems, subscriber churn—defined as the voluntary or involuntary cessation of a customer contract—acts as a direct negative multiplier on compounding revenue growth. Empirical corporate finance benchmarks demonstrate that acquiring a replacement subscriber requires an expenditure five to seven times greater than the marginal cost of preserving an existing account [1]. In a modern telecommunications enterprise serving several million accounts, even an incremental 1% reduction in monthly churn directly preserves millions of dollars in annualized recurring revenue (ARR).</w:t>
      </w:r>
    </w:p>
    <w:p>
      <w:pPr>
        <w:spacing w:before="0" w:after="80" w:line="252" w:lineRule="auto"/>
        <w:ind w:firstLine="288"/>
        <w:jc w:val="both"/>
      </w:pPr>
      <w:r>
        <w:rPr>
          <w:sz w:val="20"/>
        </w:rPr>
        <w:t>Historically, churn mitigation relied heavily on statistical scoring cards, notably parametric logistic regression and Cox proportional hazards models. While interpretable through odds ratios, these linear approaches fail to encapsulate high-order non-linear interactions, multi-collinear billing variables, and customer behavioral dynamics [2]. In response, the machine learning research community embraced non-parametric gradient boosted decision trees (GBDTs), Random Forests, and multi-layer neural networks. Although these complex algorithms consistently outperform linear baselines on benchmark area under the curve (AUC) metrics, their internal decision boundaries operate as mathematical 'black boxes'.</w:t>
      </w:r>
    </w:p>
    <w:p>
      <w:pPr>
        <w:spacing w:before="0" w:after="80" w:line="252" w:lineRule="auto"/>
        <w:ind w:firstLine="288"/>
        <w:jc w:val="both"/>
      </w:pPr>
      <w:r>
        <w:rPr>
          <w:sz w:val="20"/>
        </w:rPr>
        <w:t>This lack of model interpretability constitutes a severe operational barrier in enterprise settings. A frontline customer success manager or customer retention specialist presented with an automated alert stating that 'Customer #7590-VHVEG has an 82% probability of churning' cannot determine whether the subscriber is departing due to excessive monthly charges, frequent internet fiber outages, or an absence of technical support services. Prescribing an untargeted discount coupon to a customer seeking technical reliability wastes marketing budgets and often fails to prevent attrition. Consequently, the modern frontier of data-driven retention requires an architectural synthesis of three disciplines: high-accuracy predictive classification, rigorous game-theoretic interpretability, and prescriptive operational decision support.</w:t>
      </w:r>
    </w:p>
    <w:p>
      <w:pPr>
        <w:spacing w:before="0" w:after="80" w:line="252" w:lineRule="auto"/>
        <w:ind w:firstLine="288"/>
        <w:jc w:val="both"/>
      </w:pPr>
      <w:r>
        <w:rPr>
          <w:sz w:val="20"/>
        </w:rPr>
        <w:t>In this investigation, we present an end-to-end, scientifically validated machine learning architecture designed to address these enterprise hurdles. Using the canonical IBM Telco benchmark dataset (N = 7,043), we formulate a leakage-free preprocessing pipeline, systematically benchmark six standalone machine learning algorithms, introduce a novel soft-voting hybrid ensemble architecture achieving an ROC-AUC of 0.8467, extract global and local feature attributions using SHAP (SHapley Additive exPlanations), cluster subscribers into five actionable risk-value cohorts via K-Means, and connect these predictions directly to an automated prescriptive retention engine that computes expected net saved revenue.</w:t>
      </w:r>
    </w:p>
    <w:p>
      <w:pPr>
        <w:keepNext/>
        <w:spacing w:before="280" w:after="120"/>
        <w:jc w:val="center"/>
      </w:pPr>
      <w:r>
        <w:rPr>
          <w:b/>
          <w:sz w:val="20"/>
        </w:rPr>
        <w:t>II. RELATED WORK</w:t>
      </w:r>
    </w:p>
    <w:p>
      <w:pPr>
        <w:spacing w:before="0" w:after="80" w:line="252" w:lineRule="auto"/>
        <w:ind w:firstLine="288"/>
        <w:jc w:val="both"/>
      </w:pPr>
      <w:r>
        <w:rPr>
          <w:sz w:val="20"/>
        </w:rPr>
        <w:t>The academic literature addressing customer churn modeling spans three distinct methodological epochs:</w:t>
      </w:r>
    </w:p>
    <w:p>
      <w:pPr>
        <w:spacing w:before="0" w:after="80" w:line="252" w:lineRule="auto"/>
        <w:ind w:firstLine="288"/>
        <w:jc w:val="both"/>
      </w:pPr>
      <w:r>
        <w:rPr>
          <w:sz w:val="20"/>
        </w:rPr>
        <w:t>1) Parametric &amp; Statistical Foundations: Early empirical studies by Mozer et al. [1] and Neslin et al. [2] established logistic regression, discriminant analysis, and decision trees (C4.5/CART) as standard predictive baselines. These works demonstrated that contract duration, billing magnitude, and tenure represent statistically significant covariates. However, their linear assumptions imposed severe constraints when modeling non-linear interactions, such as the compounding churn risk observed when high monthly charges coincide with Month-to-month contracts.</w:t>
      </w:r>
    </w:p>
    <w:p>
      <w:pPr>
        <w:spacing w:before="0" w:after="80" w:line="252" w:lineRule="auto"/>
        <w:ind w:firstLine="288"/>
        <w:jc w:val="both"/>
      </w:pPr>
      <w:r>
        <w:rPr>
          <w:sz w:val="20"/>
        </w:rPr>
        <w:t>2) Non-Parametric Ensemble Learning: Over the past decade, ensemble methods have dominated tabular data competitions and empirical churn benchmarks. Extensive comparative studies by Chen et al. [3] and Amin et al. [4] demonstrated that bagged Random Forests and gradient boosting architectures consistently achieve superior Gini and AUC coefficients compared to deep feedforward networks and Support Vector Machines (SVM). Recent works by Ke et al. [5] (LightGBM) and Chen &amp; Guestrin [6] (XGBoost) confirmed that tree-based gradient boosting excels on tabular customer records containing heterogeneous categorical and continuous features.</w:t>
      </w:r>
    </w:p>
    <w:p>
      <w:pPr>
        <w:spacing w:before="0" w:after="80" w:line="252" w:lineRule="auto"/>
        <w:ind w:firstLine="288"/>
        <w:jc w:val="both"/>
      </w:pPr>
      <w:r>
        <w:rPr>
          <w:sz w:val="20"/>
        </w:rPr>
        <w:t>3) Class Imbalance &amp; Resampling Paradigms: Churn datasets inherently exhibit asymmetric label distributions, typically featuring churn rates between 15% and 30%. Chawla et al. [7] formulated the Synthetic Minority Over-sampling Technique (SMOTE), which interpolates synthetic minority feature vectors. While SMOTE successfully elevates sensitivity (recall), recent critical examinations by Blagus &amp; Lusa [8] note that naive oversampling frequently deteriorates precision, causing extensive false-positive classifications that escalate operational intervention expenses in corporate retention settings.</w:t>
      </w:r>
    </w:p>
    <w:p>
      <w:pPr>
        <w:spacing w:before="0" w:after="80" w:line="252" w:lineRule="auto"/>
        <w:ind w:firstLine="288"/>
        <w:jc w:val="both"/>
      </w:pPr>
      <w:r>
        <w:rPr>
          <w:sz w:val="20"/>
        </w:rPr>
        <w:t>4) Explainable Artificial Intelligence (XAI): To resolve the 'black-box' dilemma, Lundberg &amp; Lee [9] unified cooperative game theory with machine learning through SHAP (SHapley Additive exPlanations). SHAP computes Shapley values from classic game theory, providing mathematical guarantees of efficiency, symmetry, dummy player invariance, and additivity. While SHAP has been applied in healthcare and credit scoring, existing literature rarely couples instance-level SHAP attributions with rule-based prescriptive retention frameworks.</w:t>
      </w:r>
    </w:p>
    <w:p>
      <w:pPr>
        <w:keepNext/>
        <w:spacing w:before="280" w:after="120"/>
        <w:jc w:val="center"/>
      </w:pPr>
      <w:r>
        <w:rPr>
          <w:b/>
          <w:sz w:val="20"/>
        </w:rPr>
        <w:t>III. PROBLEM FORMULATION &amp; RESEARCH GAPS</w:t>
      </w:r>
    </w:p>
    <w:p>
      <w:pPr>
        <w:keepNext/>
        <w:spacing w:before="200" w:after="80"/>
        <w:jc w:val="left"/>
      </w:pPr>
      <w:r>
        <w:rPr>
          <w:b/>
          <w:i/>
          <w:sz w:val="20"/>
        </w:rPr>
        <w:t>A. Mathematical Problem Formulation</w:t>
      </w:r>
    </w:p>
    <w:p>
      <w:pPr>
        <w:spacing w:before="0" w:after="80" w:line="252" w:lineRule="auto"/>
        <w:ind w:firstLine="288"/>
        <w:jc w:val="both"/>
      </w:pPr>
      <w:r>
        <w:rPr>
          <w:sz w:val="20"/>
        </w:rPr>
        <w:t>Let D = {(x_i, y_i)}_{i=1}^N represent an observational dataset of N subscribers. Each customer instance x_i in R^d is represented by a d-dimensional feature vector containing demographic variables (e.g., gender, senior citizen status), subscribed services (e.g., internet service tier, tech support, online security), and contract/billing variables (e.g., contract term, tenure in months, monthly charges, payment modality). The ground-truth label y_i in {0, 1} denotes whether the subscriber terminated service (y_i = 1) or remained active (y_i = 0) during the observational window.</w:t>
      </w:r>
    </w:p>
    <w:p>
      <w:pPr>
        <w:spacing w:before="0" w:after="80" w:line="252" w:lineRule="auto"/>
        <w:ind w:firstLine="288"/>
        <w:jc w:val="both"/>
      </w:pPr>
      <w:r>
        <w:rPr>
          <w:sz w:val="20"/>
        </w:rPr>
        <w:t>The objective is threefold: (1) learn an optimal parameterized classification mapping f: R^d -&gt; [0, 1] outputting a calibrated posterior churn probability P(y_i = 1 | x_i); (2) for every prediction, compute an exact feature attribution vector phi_i in R^d decomposing the marginal log-odds contribution of each feature; and (3) map the probability and attribution pair (P_i, phi_i) through a prescriptive policy function Pi: ([0, 1] x R^d) -&gt; A to output a prioritized set of actionable business retention interventions.</w:t>
      </w:r>
    </w:p>
    <w:p>
      <w:pPr>
        <w:keepNext/>
        <w:spacing w:before="200" w:after="80"/>
        <w:jc w:val="left"/>
      </w:pPr>
      <w:r>
        <w:rPr>
          <w:b/>
          <w:i/>
          <w:sz w:val="20"/>
        </w:rPr>
        <w:t>B. Identified Research Gaps</w:t>
      </w:r>
    </w:p>
    <w:p>
      <w:pPr>
        <w:spacing w:before="0" w:after="80" w:line="252" w:lineRule="auto"/>
        <w:ind w:firstLine="288"/>
        <w:jc w:val="both"/>
      </w:pPr>
      <w:r>
        <w:rPr>
          <w:sz w:val="20"/>
        </w:rPr>
        <w:t>Our systematic survey of existing churn literature identifies three fundamental shortcomings:</w:t>
      </w:r>
    </w:p>
    <w:p>
      <w:pPr>
        <w:spacing w:before="0" w:after="80" w:line="252" w:lineRule="auto"/>
        <w:ind w:firstLine="288"/>
        <w:jc w:val="both"/>
      </w:pPr>
      <w:r>
        <w:rPr>
          <w:sz w:val="20"/>
        </w:rPr>
        <w:t>Gap 1: Preprocessing Data Leakage in Published Benchmarks. A substantial body of published literature performs global feature imputation, standard scaling, and categorical encoding across the entire dataset prior to partitioning cross-validation folds. This practice introduces subtle data leakage, artificially inflating reported test performance.</w:t>
      </w:r>
    </w:p>
    <w:p>
      <w:pPr>
        <w:spacing w:before="0" w:after="80" w:line="252" w:lineRule="auto"/>
        <w:ind w:firstLine="288"/>
        <w:jc w:val="both"/>
      </w:pPr>
      <w:r>
        <w:rPr>
          <w:sz w:val="20"/>
        </w:rPr>
        <w:t>Gap 2: The Disconnect Between Binary Prediction and Actionable Value. Standard predictive research treats churn classification as a terminal objective, reporting F1-scores without modeling financial revenue exposure or customer lifetime value (LTV). A churn prediction on a customer generating $20/month requires a fundamentally different operational response than an identical risk score on an enterprise account contributing $120/month.</w:t>
      </w:r>
    </w:p>
    <w:p>
      <w:pPr>
        <w:spacing w:before="0" w:after="80" w:line="252" w:lineRule="auto"/>
        <w:ind w:firstLine="288"/>
        <w:jc w:val="both"/>
      </w:pPr>
      <w:r>
        <w:rPr>
          <w:sz w:val="20"/>
        </w:rPr>
        <w:t>Gap 3: Absence of Calibrated Hybrid Ensembles. While individual algorithms exhibit unique strengths—logistic regression captures linear monotonic baselines, Random Forest mitigates variance, and XGBoost optimizes high-order gradient residuals—few frameworks combine them into a soft-voting ensemble calibrated to produce well-behaved probability distributions.</w:t>
      </w:r>
    </w:p>
    <w:p>
      <w:pPr>
        <w:keepNext/>
        <w:spacing w:before="280" w:after="120"/>
        <w:jc w:val="center"/>
      </w:pPr>
      <w:r>
        <w:rPr>
          <w:b/>
          <w:sz w:val="20"/>
        </w:rPr>
        <w:t>IV. PROPOSED SYSTEM METHODOLOGY</w:t>
      </w:r>
    </w:p>
    <w:p>
      <w:pPr>
        <w:keepNext/>
        <w:spacing w:before="200" w:after="80"/>
        <w:jc w:val="left"/>
      </w:pPr>
      <w:r>
        <w:rPr>
          <w:b/>
          <w:i/>
          <w:sz w:val="20"/>
        </w:rPr>
        <w:t>A. Leakage-Free Preprocessing Architecture</w:t>
      </w:r>
    </w:p>
    <w:p>
      <w:pPr>
        <w:spacing w:before="0" w:after="80" w:line="252" w:lineRule="auto"/>
        <w:ind w:firstLine="288"/>
        <w:jc w:val="both"/>
      </w:pPr>
      <w:r>
        <w:rPr>
          <w:sz w:val="20"/>
        </w:rPr>
        <w:t>To guarantee complete methodological integrity, the raw dataset D is first partitioned into a training partition D_train (80%, N = 5,634) and a held-out test partition D_test (20%, N = 1,409) using stratified random sampling to preserve the empirical churn prevalence ratio (26.54%). All transformation estimators—including numerical imputers, scalers, and one-hot encoders—are fitted strictly within D_train and subsequently applied downstream to D_test.</w:t>
      </w:r>
    </w:p>
    <w:p>
      <w:pPr>
        <w:spacing w:before="0" w:after="80" w:line="252" w:lineRule="auto"/>
        <w:ind w:firstLine="288"/>
        <w:jc w:val="both"/>
      </w:pPr>
      <w:r>
        <w:rPr>
          <w:sz w:val="20"/>
        </w:rPr>
        <w:t>1) Numerical Normalization: Continuous features x_num = [tenure, MonthlyCharges, TotalCharges]^T are standardized via z-score scaling: z_{ij} = (x_{ij} - mu_{j, train}) / sigma_{j, train}, where sample mean mu and sample standard deviation sigma are computed exclusively over training samples. For subscribers with tenure = 0 months, missing TotalCharges values are imputed deterministically as zero.</w:t>
      </w:r>
    </w:p>
    <w:p>
      <w:pPr>
        <w:spacing w:before="0" w:after="80" w:line="252" w:lineRule="auto"/>
        <w:ind w:firstLine="288"/>
        <w:jc w:val="both"/>
      </w:pPr>
      <w:r>
        <w:rPr>
          <w:sz w:val="20"/>
        </w:rPr>
        <w:t>2) Categorical One-Hot Encoding: Multi-category nominal attributes (e.g., Contract, InternetService, PaymentMethod) are converted into binary indicator vectors with unknown-category fallbacks to prevent pipeline failure during real-time inference.</w:t>
      </w:r>
    </w:p>
    <w:p>
      <w:pPr>
        <w:keepNext/>
        <w:spacing w:before="200" w:after="80"/>
        <w:jc w:val="left"/>
      </w:pPr>
      <w:r>
        <w:rPr>
          <w:b/>
          <w:i/>
          <w:sz w:val="20"/>
        </w:rPr>
        <w:t>B. Proposed Soft-Voting Hybrid Ensemble Architecture</w:t>
      </w:r>
    </w:p>
    <w:p>
      <w:pPr>
        <w:spacing w:before="0" w:after="80" w:line="252" w:lineRule="auto"/>
        <w:ind w:firstLine="288"/>
        <w:jc w:val="both"/>
      </w:pPr>
      <w:r>
        <w:rPr>
          <w:sz w:val="20"/>
        </w:rPr>
        <w:t>Rather than relying upon a solitary learning paradigm, we formulate a soft-voting hybrid ensemble architecture combining three complementary learners: Calibrated Regularized Logistic Regression (M_LR), a bagged Random Forest Classifier (M_RF), and Extreme Gradient Boosted Trees (M_XGB). The mathematical ensemble probability P_ens(y=1 | x) is computed via weighted soft probability aggregation:</w:t>
      </w:r>
    </w:p>
    <w:p>
      <w:pPr>
        <w:spacing w:before="120" w:after="120"/>
        <w:jc w:val="center"/>
      </w:pPr>
      <w:r>
        <w:rPr>
          <w:i/>
          <w:sz w:val="19"/>
        </w:rPr>
        <w:t>P_ens(y = 1 | x) = [ w_LR * P_LR(y=1 | x) + w_RF * P_RF(y=1 | x) + w_XGB * P_XGB(y=1 | x) ] / [ w_LR + w_RF + w_XGB ]    (1)</w:t>
      </w:r>
    </w:p>
    <w:p>
      <w:pPr>
        <w:spacing w:before="0" w:after="80" w:line="252" w:lineRule="auto"/>
        <w:ind w:firstLine="288"/>
        <w:jc w:val="both"/>
      </w:pPr>
      <w:r>
        <w:rPr>
          <w:sz w:val="20"/>
        </w:rPr>
        <w:t>The hyperparameter weights are set to w_LR = 1.0, w_RF = 1.2, and w_XGB = 1.5, reflecting each constituent learner's relative discriminative power observed during 5-fold cross-validation. This formulation enables the model to smooth localized decision irregularities while capturing complex gradient-boosted boundary shifts.</w:t>
      </w:r>
    </w:p>
    <w:p>
      <w:pPr>
        <w:keepNext/>
        <w:spacing w:before="200" w:after="80"/>
        <w:jc w:val="left"/>
      </w:pPr>
      <w:r>
        <w:rPr>
          <w:b/>
          <w:i/>
          <w:sz w:val="20"/>
        </w:rPr>
        <w:t>C. Cooperative Game-Theoretic SHAP Formulation</w:t>
      </w:r>
    </w:p>
    <w:p>
      <w:pPr>
        <w:spacing w:before="0" w:after="80" w:line="252" w:lineRule="auto"/>
        <w:ind w:firstLine="288"/>
        <w:jc w:val="both"/>
      </w:pPr>
      <w:r>
        <w:rPr>
          <w:sz w:val="20"/>
        </w:rPr>
        <w:t>Model explainability is governed by the cooperative game-theoretic framework established by Shapley [10]. For an arbitrary subscriber instance x, the local contribution phi_j of feature j to the prediction f(x) is uniquely determined by:</w:t>
      </w:r>
    </w:p>
    <w:p>
      <w:pPr>
        <w:spacing w:before="120" w:after="120"/>
        <w:jc w:val="center"/>
      </w:pPr>
      <w:r>
        <w:rPr>
          <w:i/>
          <w:sz w:val="19"/>
        </w:rPr>
        <w:t>phi_j(f, x) = sum_{S subset F \ {j}} [ |S|! (|F| - |S| - 1)! / |F|! ] * [ f_x(S union {j}) - f_x(S) ]    (2)</w:t>
      </w:r>
    </w:p>
    <w:p>
      <w:pPr>
        <w:spacing w:before="0" w:after="80" w:line="252" w:lineRule="auto"/>
        <w:ind w:firstLine="288"/>
        <w:jc w:val="both"/>
      </w:pPr>
      <w:r>
        <w:rPr>
          <w:sz w:val="20"/>
        </w:rPr>
        <w:t>where F denotes the complete feature space, S is an active feature subset excluding feature j, and f_x(S) represents the conditional expectation E[f(x) | x_S]. We utilize the TreeExplainer algorithm [9], enabling exact polynomial-time computation O(T * L * D^2) across all constituent tree ensembles, where T is tree count, L is leaf count, and D is maximum tree depth.</w:t>
      </w:r>
    </w:p>
    <w:p>
      <w:pPr>
        <w:keepNext/>
        <w:spacing w:before="200" w:after="80"/>
        <w:jc w:val="left"/>
      </w:pPr>
      <w:r>
        <w:rPr>
          <w:b/>
          <w:i/>
          <w:sz w:val="20"/>
        </w:rPr>
        <w:t>D. Unsupervised Customer Value-Risk Segmentation</w:t>
      </w:r>
    </w:p>
    <w:p>
      <w:pPr>
        <w:spacing w:before="0" w:after="80" w:line="252" w:lineRule="auto"/>
        <w:ind w:firstLine="288"/>
        <w:jc w:val="both"/>
      </w:pPr>
      <w:r>
        <w:rPr>
          <w:sz w:val="20"/>
        </w:rPr>
        <w:t>To bridge predictive scores with business strategy, the system applies unsupervised K-Means clustering across normalized customer dimensions (tenure, monthly billing, and predicted churn probability). By optimizing inertia across k in [2, 8] using the elbow method and silhouette coefficients, the framework segments subscribers into five distinct business cohorts: (1) VIP High-Risk Accounts; (2) Stable High-Value Subscribers; (3) Budget High-Risk Starters; (4) Low-Engagement Churn Targets; and (5) Tenured Low-Risk Advocates.</w:t>
      </w:r>
    </w:p>
    <w:p>
      <w:pPr>
        <w:keepNext/>
        <w:spacing w:before="200" w:after="80"/>
        <w:jc w:val="left"/>
      </w:pPr>
      <w:r>
        <w:rPr>
          <w:b/>
          <w:i/>
          <w:sz w:val="20"/>
        </w:rPr>
        <w:t>E. Prescriptive Retention Optimization Engine</w:t>
      </w:r>
    </w:p>
    <w:p>
      <w:pPr>
        <w:spacing w:before="0" w:after="80" w:line="252" w:lineRule="auto"/>
        <w:ind w:firstLine="288"/>
        <w:jc w:val="both"/>
      </w:pPr>
      <w:r>
        <w:rPr>
          <w:sz w:val="20"/>
        </w:rPr>
        <w:t>The prescriptive engine synthesizes predicted churn probabilities, customer billing history, and local SHAP risk factors to prescribe tailored retention actions. For any customer with predicted risk P_i &gt;= 0.50, the expected net saved revenue is computed as:</w:t>
      </w:r>
    </w:p>
    <w:p>
      <w:pPr>
        <w:spacing w:before="120" w:after="120"/>
        <w:jc w:val="center"/>
      </w:pPr>
      <w:r>
        <w:rPr>
          <w:i/>
          <w:sz w:val="19"/>
        </w:rPr>
        <w:t>E[Net Revenue Saved] = [ P_churn * P_success * (MonthlyCharges * Horizon) ] - Cost_intervention    (3)</w:t>
      </w:r>
    </w:p>
    <w:p>
      <w:pPr>
        <w:spacing w:before="0" w:after="80" w:line="252" w:lineRule="auto"/>
        <w:ind w:firstLine="288"/>
        <w:jc w:val="both"/>
      </w:pPr>
      <w:r>
        <w:rPr>
          <w:sz w:val="20"/>
        </w:rPr>
        <w:t>where Horizon = 12 months, P_success is the empirical intervention acceptance probability (0.25 to 0.45 depending on incentive depth), and Cost_intervention reflects the direct cost of vouchers, contract discounts, or complimentary service add-ons.</w:t>
      </w:r>
    </w:p>
    <w:p>
      <w:pPr>
        <w:keepNext/>
        <w:spacing w:before="280" w:after="120"/>
        <w:jc w:val="center"/>
      </w:pPr>
      <w:r>
        <w:rPr>
          <w:b/>
          <w:sz w:val="20"/>
        </w:rPr>
        <w:t>V. EXPERIMENTAL EVALUATION &amp; RESULTS</w:t>
      </w:r>
    </w:p>
    <w:p>
      <w:pPr>
        <w:keepNext/>
        <w:spacing w:before="200" w:after="80"/>
        <w:jc w:val="left"/>
      </w:pPr>
      <w:r>
        <w:rPr>
          <w:b/>
          <w:i/>
          <w:sz w:val="20"/>
        </w:rPr>
        <w:t>A. Dataset Profiling &amp; Distribution</w:t>
      </w:r>
    </w:p>
    <w:p>
      <w:pPr>
        <w:spacing w:before="0" w:after="80" w:line="252" w:lineRule="auto"/>
        <w:ind w:firstLine="288"/>
        <w:jc w:val="both"/>
      </w:pPr>
      <w:r>
        <w:rPr>
          <w:sz w:val="20"/>
        </w:rPr>
        <w:t>Experiments were conducted on the canonical IBM Telco Customer Churn dataset comprising N = 7,043 unique accounts. The target label exhibits 1,869 churners (26.54%) and 5,174 retained customers (73.46%). Features comprise three continuous variables (tenure, MonthlyCharges, TotalCharges) and 17 categorical features encompassing phone, internet, security, and contract parameters.</w:t>
      </w:r>
    </w:p>
    <w:p>
      <w:pPr>
        <w:keepNext/>
        <w:spacing w:before="200" w:after="80"/>
        <w:jc w:val="left"/>
      </w:pPr>
      <w:r>
        <w:rPr>
          <w:b/>
          <w:i/>
          <w:sz w:val="20"/>
        </w:rPr>
        <w:t>B. Benchmark Performance Comparison</w:t>
      </w:r>
    </w:p>
    <w:p>
      <w:pPr>
        <w:spacing w:before="0" w:after="80" w:line="252" w:lineRule="auto"/>
        <w:ind w:firstLine="288"/>
        <w:jc w:val="both"/>
      </w:pPr>
      <w:r>
        <w:rPr>
          <w:sz w:val="20"/>
        </w:rPr>
        <w:t>We benchmark the proposed Soft-Voting Hybrid Ensemble against six standard classifiers: Logistic Regression (L2 penalty), CART Decision Tree, Random Forest (120 trees), Support Vector Machine (RBF kernel, C = 1.0), Gradient Boosted Trees (GBDT), and Tuned XGBoost. All models were evaluated across the identical stratified 20% held-out test partition (N = 1,409) and assessed under 5-fold cross-validation. Table I summarizes the empirical findings.</w:t>
      </w:r>
    </w:p>
    <w:p>
      <w:pPr>
        <w:keepNext/>
        <w:spacing w:before="160" w:after="80"/>
        <w:jc w:val="center"/>
      </w:pPr>
      <w:r>
        <w:rPr>
          <w:b/>
          <w:sz w:val="18"/>
        </w:rPr>
        <w:t>TABLE I</w:t>
        <w:br/>
        <w:t>COMPARATIVE PERFORMANCE BENCHMARK ACROSS MACHINE LEARNING ALGORITHMS (N = 1,409 TEST SAMPLES)</w:t>
      </w:r>
    </w:p>
    <w:tbl>
      <w:tblPr>
        <w:tblW w:type="auto" w:w="0"/>
        <w:jc w:val="center"/>
        <w:tblLayout w:type="autofit"/>
        <w:tblLook w:firstColumn="1" w:firstRow="1" w:lastColumn="0" w:lastRow="0" w:noHBand="0" w:noVBand="1" w:val="04A0"/>
        <w:tblBorders>
          <w:top w:val="single" w:sz="8" w:space="0" w:color="1E293B"/>
          <w:bottom w:val="single" w:sz="8" w:space="0" w:color="1E293B"/>
          <w:left w:val="none"/>
          <w:right w:val="none"/>
          <w:insideH w:val="single" w:sz="4" w:space="0" w:color="D1D5DB"/>
          <w:insideV w:val="none"/>
        </w:tblBorders>
      </w:tblPr>
      <w:tblGrid>
        <w:gridCol w:w="1260"/>
        <w:gridCol w:w="1260"/>
        <w:gridCol w:w="1260"/>
        <w:gridCol w:w="1260"/>
        <w:gridCol w:w="1260"/>
        <w:gridCol w:w="1260"/>
        <w:gridCol w:w="1260"/>
        <w:gridCol w:w="1260"/>
      </w:tblGrid>
      <w:tr>
        <w:tc>
          <w:tcPr>
            <w:tcW w:type="dxa" w:w="1260"/>
            <w:shd w:fill="E2E8F0"/>
            <w:tcMar>
              <w:top w:w="120" w:type="dxa"/>
              <w:bottom w:w="120" w:type="dxa"/>
              <w:left w:w="100" w:type="dxa"/>
              <w:right w:w="100" w:type="dxa"/>
            </w:tcMar>
          </w:tcPr>
          <w:p>
            <w:pPr>
              <w:jc w:val="left"/>
            </w:pPr>
            <w:r>
              <w:rPr>
                <w:b/>
                <w:sz w:val="17"/>
              </w:rPr>
              <w:t>Model Architecture</w:t>
            </w:r>
          </w:p>
        </w:tc>
        <w:tc>
          <w:tcPr>
            <w:tcW w:type="dxa" w:w="1260"/>
            <w:shd w:fill="E2E8F0"/>
            <w:tcMar>
              <w:top w:w="120" w:type="dxa"/>
              <w:bottom w:w="120" w:type="dxa"/>
              <w:left w:w="100" w:type="dxa"/>
              <w:right w:w="100" w:type="dxa"/>
            </w:tcMar>
          </w:tcPr>
          <w:p>
            <w:pPr>
              <w:jc w:val="center"/>
            </w:pPr>
            <w:r>
              <w:rPr>
                <w:b/>
                <w:sz w:val="17"/>
              </w:rPr>
              <w:t>ROC-AUC</w:t>
            </w:r>
          </w:p>
        </w:tc>
        <w:tc>
          <w:tcPr>
            <w:tcW w:type="dxa" w:w="1260"/>
            <w:shd w:fill="E2E8F0"/>
            <w:tcMar>
              <w:top w:w="120" w:type="dxa"/>
              <w:bottom w:w="120" w:type="dxa"/>
              <w:left w:w="100" w:type="dxa"/>
              <w:right w:w="100" w:type="dxa"/>
            </w:tcMar>
          </w:tcPr>
          <w:p>
            <w:pPr>
              <w:jc w:val="center"/>
            </w:pPr>
            <w:r>
              <w:rPr>
                <w:b/>
                <w:sz w:val="17"/>
              </w:rPr>
              <w:t>PR-AUC</w:t>
            </w:r>
          </w:p>
        </w:tc>
        <w:tc>
          <w:tcPr>
            <w:tcW w:type="dxa" w:w="1260"/>
            <w:shd w:fill="E2E8F0"/>
            <w:tcMar>
              <w:top w:w="120" w:type="dxa"/>
              <w:bottom w:w="120" w:type="dxa"/>
              <w:left w:w="100" w:type="dxa"/>
              <w:right w:w="100" w:type="dxa"/>
            </w:tcMar>
          </w:tcPr>
          <w:p>
            <w:pPr>
              <w:jc w:val="center"/>
            </w:pPr>
            <w:r>
              <w:rPr>
                <w:b/>
                <w:sz w:val="17"/>
              </w:rPr>
              <w:t>Recall</w:t>
            </w:r>
          </w:p>
        </w:tc>
        <w:tc>
          <w:tcPr>
            <w:tcW w:type="dxa" w:w="1260"/>
            <w:shd w:fill="E2E8F0"/>
            <w:tcMar>
              <w:top w:w="120" w:type="dxa"/>
              <w:bottom w:w="120" w:type="dxa"/>
              <w:left w:w="100" w:type="dxa"/>
              <w:right w:w="100" w:type="dxa"/>
            </w:tcMar>
          </w:tcPr>
          <w:p>
            <w:pPr>
              <w:jc w:val="center"/>
            </w:pPr>
            <w:r>
              <w:rPr>
                <w:b/>
                <w:sz w:val="17"/>
              </w:rPr>
              <w:t>Precision</w:t>
            </w:r>
          </w:p>
        </w:tc>
        <w:tc>
          <w:tcPr>
            <w:tcW w:type="dxa" w:w="1260"/>
            <w:shd w:fill="E2E8F0"/>
            <w:tcMar>
              <w:top w:w="120" w:type="dxa"/>
              <w:bottom w:w="120" w:type="dxa"/>
              <w:left w:w="100" w:type="dxa"/>
              <w:right w:w="100" w:type="dxa"/>
            </w:tcMar>
          </w:tcPr>
          <w:p>
            <w:pPr>
              <w:jc w:val="center"/>
            </w:pPr>
            <w:r>
              <w:rPr>
                <w:b/>
                <w:sz w:val="17"/>
              </w:rPr>
              <w:t>F1-Score</w:t>
            </w:r>
          </w:p>
        </w:tc>
        <w:tc>
          <w:tcPr>
            <w:tcW w:type="dxa" w:w="1260"/>
            <w:shd w:fill="E2E8F0"/>
            <w:tcMar>
              <w:top w:w="120" w:type="dxa"/>
              <w:bottom w:w="120" w:type="dxa"/>
              <w:left w:w="100" w:type="dxa"/>
              <w:right w:w="100" w:type="dxa"/>
            </w:tcMar>
          </w:tcPr>
          <w:p>
            <w:pPr>
              <w:jc w:val="center"/>
            </w:pPr>
            <w:r>
              <w:rPr>
                <w:b/>
                <w:sz w:val="17"/>
              </w:rPr>
              <w:t>Accuracy</w:t>
            </w:r>
          </w:p>
        </w:tc>
        <w:tc>
          <w:tcPr>
            <w:tcW w:type="dxa" w:w="1260"/>
            <w:shd w:fill="E2E8F0"/>
            <w:tcMar>
              <w:top w:w="120" w:type="dxa"/>
              <w:bottom w:w="120" w:type="dxa"/>
              <w:left w:w="100" w:type="dxa"/>
              <w:right w:w="100" w:type="dxa"/>
            </w:tcMar>
          </w:tcPr>
          <w:p>
            <w:pPr>
              <w:jc w:val="center"/>
            </w:pPr>
            <w:r>
              <w:rPr>
                <w:b/>
                <w:sz w:val="17"/>
              </w:rPr>
              <w:t>5-Fold CV ROC</w:t>
            </w:r>
          </w:p>
        </w:tc>
      </w:tr>
      <w:tr>
        <w:tc>
          <w:tcPr>
            <w:tcW w:type="dxa" w:w="1260"/>
            <w:tcMar>
              <w:top w:w="100" w:type="dxa"/>
              <w:bottom w:w="100" w:type="dxa"/>
              <w:left w:w="100" w:type="dxa"/>
              <w:right w:w="100" w:type="dxa"/>
            </w:tcMar>
          </w:tcPr>
          <w:p>
            <w:pPr>
              <w:jc w:val="left"/>
            </w:pPr>
            <w:r>
              <w:rPr>
                <w:sz w:val="17"/>
              </w:rPr>
              <w:t>Logistic Regression (L2)</w:t>
            </w:r>
          </w:p>
        </w:tc>
        <w:tc>
          <w:tcPr>
            <w:tcW w:type="dxa" w:w="1260"/>
            <w:tcMar>
              <w:top w:w="100" w:type="dxa"/>
              <w:bottom w:w="100" w:type="dxa"/>
              <w:left w:w="100" w:type="dxa"/>
              <w:right w:w="100" w:type="dxa"/>
            </w:tcMar>
          </w:tcPr>
          <w:p>
            <w:pPr>
              <w:jc w:val="center"/>
            </w:pPr>
            <w:r>
              <w:rPr>
                <w:sz w:val="17"/>
              </w:rPr>
              <w:t>0.8421</w:t>
            </w:r>
          </w:p>
        </w:tc>
        <w:tc>
          <w:tcPr>
            <w:tcW w:type="dxa" w:w="1260"/>
            <w:tcMar>
              <w:top w:w="100" w:type="dxa"/>
              <w:bottom w:w="100" w:type="dxa"/>
              <w:left w:w="100" w:type="dxa"/>
              <w:right w:w="100" w:type="dxa"/>
            </w:tcMar>
          </w:tcPr>
          <w:p>
            <w:pPr>
              <w:jc w:val="center"/>
            </w:pPr>
            <w:r>
              <w:rPr>
                <w:sz w:val="17"/>
              </w:rPr>
              <w:t>0.6508</w:t>
            </w:r>
          </w:p>
        </w:tc>
        <w:tc>
          <w:tcPr>
            <w:tcW w:type="dxa" w:w="1260"/>
            <w:tcMar>
              <w:top w:w="100" w:type="dxa"/>
              <w:bottom w:w="100" w:type="dxa"/>
              <w:left w:w="100" w:type="dxa"/>
              <w:right w:w="100" w:type="dxa"/>
            </w:tcMar>
          </w:tcPr>
          <w:p>
            <w:pPr>
              <w:jc w:val="center"/>
            </w:pPr>
            <w:r>
              <w:rPr>
                <w:sz w:val="17"/>
              </w:rPr>
              <w:t>0.5615</w:t>
            </w:r>
          </w:p>
        </w:tc>
        <w:tc>
          <w:tcPr>
            <w:tcW w:type="dxa" w:w="1260"/>
            <w:tcMar>
              <w:top w:w="100" w:type="dxa"/>
              <w:bottom w:w="100" w:type="dxa"/>
              <w:left w:w="100" w:type="dxa"/>
              <w:right w:w="100" w:type="dxa"/>
            </w:tcMar>
          </w:tcPr>
          <w:p>
            <w:pPr>
              <w:jc w:val="center"/>
            </w:pPr>
            <w:r>
              <w:rPr>
                <w:sz w:val="17"/>
              </w:rPr>
              <w:t>0.6583</w:t>
            </w:r>
          </w:p>
        </w:tc>
        <w:tc>
          <w:tcPr>
            <w:tcW w:type="dxa" w:w="1260"/>
            <w:tcMar>
              <w:top w:w="100" w:type="dxa"/>
              <w:bottom w:w="100" w:type="dxa"/>
              <w:left w:w="100" w:type="dxa"/>
              <w:right w:w="100" w:type="dxa"/>
            </w:tcMar>
          </w:tcPr>
          <w:p>
            <w:pPr>
              <w:jc w:val="center"/>
            </w:pPr>
            <w:r>
              <w:rPr>
                <w:sz w:val="17"/>
              </w:rPr>
              <w:t>0.6061</w:t>
            </w:r>
          </w:p>
        </w:tc>
        <w:tc>
          <w:tcPr>
            <w:tcW w:type="dxa" w:w="1260"/>
            <w:tcMar>
              <w:top w:w="100" w:type="dxa"/>
              <w:bottom w:w="100" w:type="dxa"/>
              <w:left w:w="100" w:type="dxa"/>
              <w:right w:w="100" w:type="dxa"/>
            </w:tcMar>
          </w:tcPr>
          <w:p>
            <w:pPr>
              <w:jc w:val="center"/>
            </w:pPr>
            <w:r>
              <w:rPr>
                <w:sz w:val="17"/>
              </w:rPr>
              <w:t>0.8062</w:t>
            </w:r>
          </w:p>
        </w:tc>
        <w:tc>
          <w:tcPr>
            <w:tcW w:type="dxa" w:w="1260"/>
            <w:tcMar>
              <w:top w:w="100" w:type="dxa"/>
              <w:bottom w:w="100" w:type="dxa"/>
              <w:left w:w="100" w:type="dxa"/>
              <w:right w:w="100" w:type="dxa"/>
            </w:tcMar>
          </w:tcPr>
          <w:p>
            <w:pPr>
              <w:jc w:val="center"/>
            </w:pPr>
            <w:r>
              <w:rPr>
                <w:sz w:val="17"/>
              </w:rPr>
              <w:t>0.8447 ± 0.012</w:t>
            </w:r>
          </w:p>
        </w:tc>
      </w:tr>
      <w:tr>
        <w:tc>
          <w:tcPr>
            <w:tcW w:type="dxa" w:w="1260"/>
            <w:tcMar>
              <w:top w:w="100" w:type="dxa"/>
              <w:bottom w:w="100" w:type="dxa"/>
              <w:left w:w="100" w:type="dxa"/>
              <w:right w:w="100" w:type="dxa"/>
            </w:tcMar>
          </w:tcPr>
          <w:p>
            <w:pPr>
              <w:jc w:val="left"/>
            </w:pPr>
            <w:r>
              <w:rPr>
                <w:sz w:val="17"/>
              </w:rPr>
              <w:t>Decision Tree (CART)</w:t>
            </w:r>
          </w:p>
        </w:tc>
        <w:tc>
          <w:tcPr>
            <w:tcW w:type="dxa" w:w="1260"/>
            <w:tcMar>
              <w:top w:w="100" w:type="dxa"/>
              <w:bottom w:w="100" w:type="dxa"/>
              <w:left w:w="100" w:type="dxa"/>
              <w:right w:w="100" w:type="dxa"/>
            </w:tcMar>
          </w:tcPr>
          <w:p>
            <w:pPr>
              <w:jc w:val="center"/>
            </w:pPr>
            <w:r>
              <w:rPr>
                <w:sz w:val="17"/>
              </w:rPr>
              <w:t>0.8276</w:t>
            </w:r>
          </w:p>
        </w:tc>
        <w:tc>
          <w:tcPr>
            <w:tcW w:type="dxa" w:w="1260"/>
            <w:tcMar>
              <w:top w:w="100" w:type="dxa"/>
              <w:bottom w:w="100" w:type="dxa"/>
              <w:left w:w="100" w:type="dxa"/>
              <w:right w:w="100" w:type="dxa"/>
            </w:tcMar>
          </w:tcPr>
          <w:p>
            <w:pPr>
              <w:jc w:val="center"/>
            </w:pPr>
            <w:r>
              <w:rPr>
                <w:sz w:val="17"/>
              </w:rPr>
              <w:t>0.6094</w:t>
            </w:r>
          </w:p>
        </w:tc>
        <w:tc>
          <w:tcPr>
            <w:tcW w:type="dxa" w:w="1260"/>
            <w:tcMar>
              <w:top w:w="100" w:type="dxa"/>
              <w:bottom w:w="100" w:type="dxa"/>
              <w:left w:w="100" w:type="dxa"/>
              <w:right w:w="100" w:type="dxa"/>
            </w:tcMar>
          </w:tcPr>
          <w:p>
            <w:pPr>
              <w:jc w:val="center"/>
            </w:pPr>
            <w:r>
              <w:rPr>
                <w:sz w:val="17"/>
              </w:rPr>
              <w:t>0.5668</w:t>
            </w:r>
          </w:p>
        </w:tc>
        <w:tc>
          <w:tcPr>
            <w:tcW w:type="dxa" w:w="1260"/>
            <w:tcMar>
              <w:top w:w="100" w:type="dxa"/>
              <w:bottom w:w="100" w:type="dxa"/>
              <w:left w:w="100" w:type="dxa"/>
              <w:right w:w="100" w:type="dxa"/>
            </w:tcMar>
          </w:tcPr>
          <w:p>
            <w:pPr>
              <w:jc w:val="center"/>
            </w:pPr>
            <w:r>
              <w:rPr>
                <w:sz w:val="17"/>
              </w:rPr>
              <w:t>0.6347</w:t>
            </w:r>
          </w:p>
        </w:tc>
        <w:tc>
          <w:tcPr>
            <w:tcW w:type="dxa" w:w="1260"/>
            <w:tcMar>
              <w:top w:w="100" w:type="dxa"/>
              <w:bottom w:w="100" w:type="dxa"/>
              <w:left w:w="100" w:type="dxa"/>
              <w:right w:w="100" w:type="dxa"/>
            </w:tcMar>
          </w:tcPr>
          <w:p>
            <w:pPr>
              <w:jc w:val="center"/>
            </w:pPr>
            <w:r>
              <w:rPr>
                <w:sz w:val="17"/>
              </w:rPr>
              <w:t>0.5989</w:t>
            </w:r>
          </w:p>
        </w:tc>
        <w:tc>
          <w:tcPr>
            <w:tcW w:type="dxa" w:w="1260"/>
            <w:tcMar>
              <w:top w:w="100" w:type="dxa"/>
              <w:bottom w:w="100" w:type="dxa"/>
              <w:left w:w="100" w:type="dxa"/>
              <w:right w:w="100" w:type="dxa"/>
            </w:tcMar>
          </w:tcPr>
          <w:p>
            <w:pPr>
              <w:jc w:val="center"/>
            </w:pPr>
            <w:r>
              <w:rPr>
                <w:sz w:val="17"/>
              </w:rPr>
              <w:t>0.7984</w:t>
            </w:r>
          </w:p>
        </w:tc>
        <w:tc>
          <w:tcPr>
            <w:tcW w:type="dxa" w:w="1260"/>
            <w:tcMar>
              <w:top w:w="100" w:type="dxa"/>
              <w:bottom w:w="100" w:type="dxa"/>
              <w:left w:w="100" w:type="dxa"/>
              <w:right w:w="100" w:type="dxa"/>
            </w:tcMar>
          </w:tcPr>
          <w:p>
            <w:pPr>
              <w:jc w:val="center"/>
            </w:pPr>
            <w:r>
              <w:rPr>
                <w:sz w:val="17"/>
              </w:rPr>
              <w:t>0.8265 ± 0.015</w:t>
            </w:r>
          </w:p>
        </w:tc>
      </w:tr>
      <w:tr>
        <w:tc>
          <w:tcPr>
            <w:tcW w:type="dxa" w:w="1260"/>
            <w:tcMar>
              <w:top w:w="100" w:type="dxa"/>
              <w:bottom w:w="100" w:type="dxa"/>
              <w:left w:w="100" w:type="dxa"/>
              <w:right w:w="100" w:type="dxa"/>
            </w:tcMar>
          </w:tcPr>
          <w:p>
            <w:pPr>
              <w:jc w:val="left"/>
            </w:pPr>
            <w:r>
              <w:rPr>
                <w:sz w:val="17"/>
              </w:rPr>
              <w:t>Random Forest (120 Trees)</w:t>
            </w:r>
          </w:p>
        </w:tc>
        <w:tc>
          <w:tcPr>
            <w:tcW w:type="dxa" w:w="1260"/>
            <w:tcMar>
              <w:top w:w="100" w:type="dxa"/>
              <w:bottom w:w="100" w:type="dxa"/>
              <w:left w:w="100" w:type="dxa"/>
              <w:right w:w="100" w:type="dxa"/>
            </w:tcMar>
          </w:tcPr>
          <w:p>
            <w:pPr>
              <w:jc w:val="center"/>
            </w:pPr>
            <w:r>
              <w:rPr>
                <w:sz w:val="17"/>
              </w:rPr>
              <w:t>0.8439</w:t>
            </w:r>
          </w:p>
        </w:tc>
        <w:tc>
          <w:tcPr>
            <w:tcW w:type="dxa" w:w="1260"/>
            <w:tcMar>
              <w:top w:w="100" w:type="dxa"/>
              <w:bottom w:w="100" w:type="dxa"/>
              <w:left w:w="100" w:type="dxa"/>
              <w:right w:w="100" w:type="dxa"/>
            </w:tcMar>
          </w:tcPr>
          <w:p>
            <w:pPr>
              <w:jc w:val="center"/>
            </w:pPr>
            <w:r>
              <w:rPr>
                <w:sz w:val="17"/>
              </w:rPr>
              <w:t>0.6517</w:t>
            </w:r>
          </w:p>
        </w:tc>
        <w:tc>
          <w:tcPr>
            <w:tcW w:type="dxa" w:w="1260"/>
            <w:tcMar>
              <w:top w:w="100" w:type="dxa"/>
              <w:bottom w:w="100" w:type="dxa"/>
              <w:left w:w="100" w:type="dxa"/>
              <w:right w:w="100" w:type="dxa"/>
            </w:tcMar>
          </w:tcPr>
          <w:p>
            <w:pPr>
              <w:jc w:val="center"/>
            </w:pPr>
            <w:r>
              <w:rPr>
                <w:sz w:val="17"/>
              </w:rPr>
              <w:t>0.5000</w:t>
            </w:r>
          </w:p>
        </w:tc>
        <w:tc>
          <w:tcPr>
            <w:tcW w:type="dxa" w:w="1260"/>
            <w:tcMar>
              <w:top w:w="100" w:type="dxa"/>
              <w:bottom w:w="100" w:type="dxa"/>
              <w:left w:w="100" w:type="dxa"/>
              <w:right w:w="100" w:type="dxa"/>
            </w:tcMar>
          </w:tcPr>
          <w:p>
            <w:pPr>
              <w:jc w:val="center"/>
            </w:pPr>
            <w:r>
              <w:rPr>
                <w:sz w:val="17"/>
              </w:rPr>
              <w:t>0.6505</w:t>
            </w:r>
          </w:p>
        </w:tc>
        <w:tc>
          <w:tcPr>
            <w:tcW w:type="dxa" w:w="1260"/>
            <w:tcMar>
              <w:top w:w="100" w:type="dxa"/>
              <w:bottom w:w="100" w:type="dxa"/>
              <w:left w:w="100" w:type="dxa"/>
              <w:right w:w="100" w:type="dxa"/>
            </w:tcMar>
          </w:tcPr>
          <w:p>
            <w:pPr>
              <w:jc w:val="center"/>
            </w:pPr>
            <w:r>
              <w:rPr>
                <w:sz w:val="17"/>
              </w:rPr>
              <w:t>0.5658</w:t>
            </w:r>
          </w:p>
        </w:tc>
        <w:tc>
          <w:tcPr>
            <w:tcW w:type="dxa" w:w="1260"/>
            <w:tcMar>
              <w:top w:w="100" w:type="dxa"/>
              <w:bottom w:w="100" w:type="dxa"/>
              <w:left w:w="100" w:type="dxa"/>
              <w:right w:w="100" w:type="dxa"/>
            </w:tcMar>
          </w:tcPr>
          <w:p>
            <w:pPr>
              <w:jc w:val="center"/>
            </w:pPr>
            <w:r>
              <w:rPr>
                <w:sz w:val="17"/>
              </w:rPr>
              <w:t>0.7963</w:t>
            </w:r>
          </w:p>
        </w:tc>
        <w:tc>
          <w:tcPr>
            <w:tcW w:type="dxa" w:w="1260"/>
            <w:tcMar>
              <w:top w:w="100" w:type="dxa"/>
              <w:bottom w:w="100" w:type="dxa"/>
              <w:left w:w="100" w:type="dxa"/>
              <w:right w:w="100" w:type="dxa"/>
            </w:tcMar>
          </w:tcPr>
          <w:p>
            <w:pPr>
              <w:jc w:val="center"/>
            </w:pPr>
            <w:r>
              <w:rPr>
                <w:sz w:val="17"/>
              </w:rPr>
              <w:t>0.8471 ± 0.010</w:t>
            </w:r>
          </w:p>
        </w:tc>
      </w:tr>
      <w:tr>
        <w:tc>
          <w:tcPr>
            <w:tcW w:type="dxa" w:w="1260"/>
            <w:tcMar>
              <w:top w:w="100" w:type="dxa"/>
              <w:bottom w:w="100" w:type="dxa"/>
              <w:left w:w="100" w:type="dxa"/>
              <w:right w:w="100" w:type="dxa"/>
            </w:tcMar>
          </w:tcPr>
          <w:p>
            <w:pPr>
              <w:jc w:val="left"/>
            </w:pPr>
            <w:r>
              <w:rPr>
                <w:sz w:val="17"/>
              </w:rPr>
              <w:t>SVM (RBF Kernel)</w:t>
            </w:r>
          </w:p>
        </w:tc>
        <w:tc>
          <w:tcPr>
            <w:tcW w:type="dxa" w:w="1260"/>
            <w:tcMar>
              <w:top w:w="100" w:type="dxa"/>
              <w:bottom w:w="100" w:type="dxa"/>
              <w:left w:w="100" w:type="dxa"/>
              <w:right w:w="100" w:type="dxa"/>
            </w:tcMar>
          </w:tcPr>
          <w:p>
            <w:pPr>
              <w:jc w:val="center"/>
            </w:pPr>
            <w:r>
              <w:rPr>
                <w:sz w:val="17"/>
              </w:rPr>
              <w:t>0.7928</w:t>
            </w:r>
          </w:p>
        </w:tc>
        <w:tc>
          <w:tcPr>
            <w:tcW w:type="dxa" w:w="1260"/>
            <w:tcMar>
              <w:top w:w="100" w:type="dxa"/>
              <w:bottom w:w="100" w:type="dxa"/>
              <w:left w:w="100" w:type="dxa"/>
              <w:right w:w="100" w:type="dxa"/>
            </w:tcMar>
          </w:tcPr>
          <w:p>
            <w:pPr>
              <w:jc w:val="center"/>
            </w:pPr>
            <w:r>
              <w:rPr>
                <w:sz w:val="17"/>
              </w:rPr>
              <w:t>0.5756</w:t>
            </w:r>
          </w:p>
        </w:tc>
        <w:tc>
          <w:tcPr>
            <w:tcW w:type="dxa" w:w="1260"/>
            <w:tcMar>
              <w:top w:w="100" w:type="dxa"/>
              <w:bottom w:w="100" w:type="dxa"/>
              <w:left w:w="100" w:type="dxa"/>
              <w:right w:w="100" w:type="dxa"/>
            </w:tcMar>
          </w:tcPr>
          <w:p>
            <w:pPr>
              <w:jc w:val="center"/>
            </w:pPr>
            <w:r>
              <w:rPr>
                <w:sz w:val="17"/>
              </w:rPr>
              <w:t>0.4492</w:t>
            </w:r>
          </w:p>
        </w:tc>
        <w:tc>
          <w:tcPr>
            <w:tcW w:type="dxa" w:w="1260"/>
            <w:tcMar>
              <w:top w:w="100" w:type="dxa"/>
              <w:bottom w:w="100" w:type="dxa"/>
              <w:left w:w="100" w:type="dxa"/>
              <w:right w:w="100" w:type="dxa"/>
            </w:tcMar>
          </w:tcPr>
          <w:p>
            <w:pPr>
              <w:jc w:val="center"/>
            </w:pPr>
            <w:r>
              <w:rPr>
                <w:sz w:val="17"/>
              </w:rPr>
              <w:t>0.6614</w:t>
            </w:r>
          </w:p>
        </w:tc>
        <w:tc>
          <w:tcPr>
            <w:tcW w:type="dxa" w:w="1260"/>
            <w:tcMar>
              <w:top w:w="100" w:type="dxa"/>
              <w:bottom w:w="100" w:type="dxa"/>
              <w:left w:w="100" w:type="dxa"/>
              <w:right w:w="100" w:type="dxa"/>
            </w:tcMar>
          </w:tcPr>
          <w:p>
            <w:pPr>
              <w:jc w:val="center"/>
            </w:pPr>
            <w:r>
              <w:rPr>
                <w:sz w:val="17"/>
              </w:rPr>
              <w:t>0.5350</w:t>
            </w:r>
          </w:p>
        </w:tc>
        <w:tc>
          <w:tcPr>
            <w:tcW w:type="dxa" w:w="1260"/>
            <w:tcMar>
              <w:top w:w="100" w:type="dxa"/>
              <w:bottom w:w="100" w:type="dxa"/>
              <w:left w:w="100" w:type="dxa"/>
              <w:right w:w="100" w:type="dxa"/>
            </w:tcMar>
          </w:tcPr>
          <w:p>
            <w:pPr>
              <w:jc w:val="center"/>
            </w:pPr>
            <w:r>
              <w:rPr>
                <w:sz w:val="17"/>
              </w:rPr>
              <w:t>0.7928</w:t>
            </w:r>
          </w:p>
        </w:tc>
        <w:tc>
          <w:tcPr>
            <w:tcW w:type="dxa" w:w="1260"/>
            <w:tcMar>
              <w:top w:w="100" w:type="dxa"/>
              <w:bottom w:w="100" w:type="dxa"/>
              <w:left w:w="100" w:type="dxa"/>
              <w:right w:w="100" w:type="dxa"/>
            </w:tcMar>
          </w:tcPr>
          <w:p>
            <w:pPr>
              <w:jc w:val="center"/>
            </w:pPr>
            <w:r>
              <w:rPr>
                <w:sz w:val="17"/>
              </w:rPr>
              <w:t>0.8012 ± 0.014</w:t>
            </w:r>
          </w:p>
        </w:tc>
      </w:tr>
      <w:tr>
        <w:tc>
          <w:tcPr>
            <w:tcW w:type="dxa" w:w="1260"/>
            <w:tcMar>
              <w:top w:w="100" w:type="dxa"/>
              <w:bottom w:w="100" w:type="dxa"/>
              <w:left w:w="100" w:type="dxa"/>
              <w:right w:w="100" w:type="dxa"/>
            </w:tcMar>
          </w:tcPr>
          <w:p>
            <w:pPr>
              <w:jc w:val="left"/>
            </w:pPr>
            <w:r>
              <w:rPr>
                <w:sz w:val="17"/>
              </w:rPr>
              <w:t>Gradient Boosting (GBDT)</w:t>
            </w:r>
          </w:p>
        </w:tc>
        <w:tc>
          <w:tcPr>
            <w:tcW w:type="dxa" w:w="1260"/>
            <w:tcMar>
              <w:top w:w="100" w:type="dxa"/>
              <w:bottom w:w="100" w:type="dxa"/>
              <w:left w:w="100" w:type="dxa"/>
              <w:right w:w="100" w:type="dxa"/>
            </w:tcMar>
          </w:tcPr>
          <w:p>
            <w:pPr>
              <w:jc w:val="center"/>
            </w:pPr>
            <w:r>
              <w:rPr>
                <w:sz w:val="17"/>
              </w:rPr>
              <w:t>0.8444</w:t>
            </w:r>
          </w:p>
        </w:tc>
        <w:tc>
          <w:tcPr>
            <w:tcW w:type="dxa" w:w="1260"/>
            <w:tcMar>
              <w:top w:w="100" w:type="dxa"/>
              <w:bottom w:w="100" w:type="dxa"/>
              <w:left w:w="100" w:type="dxa"/>
              <w:right w:w="100" w:type="dxa"/>
            </w:tcMar>
          </w:tcPr>
          <w:p>
            <w:pPr>
              <w:jc w:val="center"/>
            </w:pPr>
            <w:r>
              <w:rPr>
                <w:sz w:val="17"/>
              </w:rPr>
              <w:t>0.6534</w:t>
            </w:r>
          </w:p>
        </w:tc>
        <w:tc>
          <w:tcPr>
            <w:tcW w:type="dxa" w:w="1260"/>
            <w:tcMar>
              <w:top w:w="100" w:type="dxa"/>
              <w:bottom w:w="100" w:type="dxa"/>
              <w:left w:w="100" w:type="dxa"/>
              <w:right w:w="100" w:type="dxa"/>
            </w:tcMar>
          </w:tcPr>
          <w:p>
            <w:pPr>
              <w:jc w:val="center"/>
            </w:pPr>
            <w:r>
              <w:rPr>
                <w:sz w:val="17"/>
              </w:rPr>
              <w:t>0.5241</w:t>
            </w:r>
          </w:p>
        </w:tc>
        <w:tc>
          <w:tcPr>
            <w:tcW w:type="dxa" w:w="1260"/>
            <w:tcMar>
              <w:top w:w="100" w:type="dxa"/>
              <w:bottom w:w="100" w:type="dxa"/>
              <w:left w:w="100" w:type="dxa"/>
              <w:right w:w="100" w:type="dxa"/>
            </w:tcMar>
          </w:tcPr>
          <w:p>
            <w:pPr>
              <w:jc w:val="center"/>
            </w:pPr>
            <w:r>
              <w:rPr>
                <w:sz w:val="17"/>
              </w:rPr>
              <w:t>0.6735</w:t>
            </w:r>
          </w:p>
        </w:tc>
        <w:tc>
          <w:tcPr>
            <w:tcW w:type="dxa" w:w="1260"/>
            <w:tcMar>
              <w:top w:w="100" w:type="dxa"/>
              <w:bottom w:w="100" w:type="dxa"/>
              <w:left w:w="100" w:type="dxa"/>
              <w:right w:w="100" w:type="dxa"/>
            </w:tcMar>
          </w:tcPr>
          <w:p>
            <w:pPr>
              <w:jc w:val="center"/>
            </w:pPr>
            <w:r>
              <w:rPr>
                <w:sz w:val="17"/>
              </w:rPr>
              <w:t>0.5895</w:t>
            </w:r>
          </w:p>
        </w:tc>
        <w:tc>
          <w:tcPr>
            <w:tcW w:type="dxa" w:w="1260"/>
            <w:tcMar>
              <w:top w:w="100" w:type="dxa"/>
              <w:bottom w:w="100" w:type="dxa"/>
              <w:left w:w="100" w:type="dxa"/>
              <w:right w:w="100" w:type="dxa"/>
            </w:tcMar>
          </w:tcPr>
          <w:p>
            <w:pPr>
              <w:jc w:val="center"/>
            </w:pPr>
            <w:r>
              <w:rPr>
                <w:sz w:val="17"/>
              </w:rPr>
              <w:t>0.8062</w:t>
            </w:r>
          </w:p>
        </w:tc>
        <w:tc>
          <w:tcPr>
            <w:tcW w:type="dxa" w:w="1260"/>
            <w:tcMar>
              <w:top w:w="100" w:type="dxa"/>
              <w:bottom w:w="100" w:type="dxa"/>
              <w:left w:w="100" w:type="dxa"/>
              <w:right w:w="100" w:type="dxa"/>
            </w:tcMar>
          </w:tcPr>
          <w:p>
            <w:pPr>
              <w:jc w:val="center"/>
            </w:pPr>
            <w:r>
              <w:rPr>
                <w:sz w:val="17"/>
              </w:rPr>
              <w:t>0.8488 ± 0.011</w:t>
            </w:r>
          </w:p>
        </w:tc>
      </w:tr>
      <w:tr>
        <w:tc>
          <w:tcPr>
            <w:tcW w:type="dxa" w:w="1260"/>
            <w:tcMar>
              <w:top w:w="100" w:type="dxa"/>
              <w:bottom w:w="100" w:type="dxa"/>
              <w:left w:w="100" w:type="dxa"/>
              <w:right w:w="100" w:type="dxa"/>
            </w:tcMar>
          </w:tcPr>
          <w:p>
            <w:pPr>
              <w:jc w:val="left"/>
            </w:pPr>
            <w:r>
              <w:rPr>
                <w:sz w:val="17"/>
              </w:rPr>
              <w:t>Tuned XGBoost</w:t>
            </w:r>
          </w:p>
        </w:tc>
        <w:tc>
          <w:tcPr>
            <w:tcW w:type="dxa" w:w="1260"/>
            <w:tcMar>
              <w:top w:w="100" w:type="dxa"/>
              <w:bottom w:w="100" w:type="dxa"/>
              <w:left w:w="100" w:type="dxa"/>
              <w:right w:w="100" w:type="dxa"/>
            </w:tcMar>
          </w:tcPr>
          <w:p>
            <w:pPr>
              <w:jc w:val="center"/>
            </w:pPr>
            <w:r>
              <w:rPr>
                <w:sz w:val="17"/>
              </w:rPr>
              <w:t>0.8447</w:t>
            </w:r>
          </w:p>
        </w:tc>
        <w:tc>
          <w:tcPr>
            <w:tcW w:type="dxa" w:w="1260"/>
            <w:tcMar>
              <w:top w:w="100" w:type="dxa"/>
              <w:bottom w:w="100" w:type="dxa"/>
              <w:left w:w="100" w:type="dxa"/>
              <w:right w:w="100" w:type="dxa"/>
            </w:tcMar>
          </w:tcPr>
          <w:p>
            <w:pPr>
              <w:jc w:val="center"/>
            </w:pPr>
            <w:r>
              <w:rPr>
                <w:sz w:val="17"/>
              </w:rPr>
              <w:t>0.6542</w:t>
            </w:r>
          </w:p>
        </w:tc>
        <w:tc>
          <w:tcPr>
            <w:tcW w:type="dxa" w:w="1260"/>
            <w:tcMar>
              <w:top w:w="100" w:type="dxa"/>
              <w:bottom w:w="100" w:type="dxa"/>
              <w:left w:w="100" w:type="dxa"/>
              <w:right w:w="100" w:type="dxa"/>
            </w:tcMar>
          </w:tcPr>
          <w:p>
            <w:pPr>
              <w:jc w:val="center"/>
            </w:pPr>
            <w:r>
              <w:rPr>
                <w:sz w:val="17"/>
              </w:rPr>
              <w:t>0.5321</w:t>
            </w:r>
          </w:p>
        </w:tc>
        <w:tc>
          <w:tcPr>
            <w:tcW w:type="dxa" w:w="1260"/>
            <w:tcMar>
              <w:top w:w="100" w:type="dxa"/>
              <w:bottom w:w="100" w:type="dxa"/>
              <w:left w:w="100" w:type="dxa"/>
              <w:right w:w="100" w:type="dxa"/>
            </w:tcMar>
          </w:tcPr>
          <w:p>
            <w:pPr>
              <w:jc w:val="center"/>
            </w:pPr>
            <w:r>
              <w:rPr>
                <w:sz w:val="17"/>
              </w:rPr>
              <w:t>0.6698</w:t>
            </w:r>
          </w:p>
        </w:tc>
        <w:tc>
          <w:tcPr>
            <w:tcW w:type="dxa" w:w="1260"/>
            <w:tcMar>
              <w:top w:w="100" w:type="dxa"/>
              <w:bottom w:w="100" w:type="dxa"/>
              <w:left w:w="100" w:type="dxa"/>
              <w:right w:w="100" w:type="dxa"/>
            </w:tcMar>
          </w:tcPr>
          <w:p>
            <w:pPr>
              <w:jc w:val="center"/>
            </w:pPr>
            <w:r>
              <w:rPr>
                <w:sz w:val="17"/>
              </w:rPr>
              <w:t>0.5931</w:t>
            </w:r>
          </w:p>
        </w:tc>
        <w:tc>
          <w:tcPr>
            <w:tcW w:type="dxa" w:w="1260"/>
            <w:tcMar>
              <w:top w:w="100" w:type="dxa"/>
              <w:bottom w:w="100" w:type="dxa"/>
              <w:left w:w="100" w:type="dxa"/>
              <w:right w:w="100" w:type="dxa"/>
            </w:tcMar>
          </w:tcPr>
          <w:p>
            <w:pPr>
              <w:jc w:val="center"/>
            </w:pPr>
            <w:r>
              <w:rPr>
                <w:sz w:val="17"/>
              </w:rPr>
              <w:t>0.8062</w:t>
            </w:r>
          </w:p>
        </w:tc>
        <w:tc>
          <w:tcPr>
            <w:tcW w:type="dxa" w:w="1260"/>
            <w:tcMar>
              <w:top w:w="100" w:type="dxa"/>
              <w:bottom w:w="100" w:type="dxa"/>
              <w:left w:w="100" w:type="dxa"/>
              <w:right w:w="100" w:type="dxa"/>
            </w:tcMar>
          </w:tcPr>
          <w:p>
            <w:pPr>
              <w:jc w:val="center"/>
            </w:pPr>
            <w:r>
              <w:rPr>
                <w:sz w:val="17"/>
              </w:rPr>
              <w:t>0.8492 ± 0.009</w:t>
            </w:r>
          </w:p>
        </w:tc>
      </w:tr>
      <w:tr>
        <w:tc>
          <w:tcPr>
            <w:tcW w:type="dxa" w:w="1260"/>
            <w:shd w:fill="F1F5F9"/>
            <w:tcMar>
              <w:top w:w="100" w:type="dxa"/>
              <w:bottom w:w="100" w:type="dxa"/>
              <w:left w:w="100" w:type="dxa"/>
              <w:right w:w="100" w:type="dxa"/>
            </w:tcMar>
          </w:tcPr>
          <w:p>
            <w:pPr>
              <w:jc w:val="left"/>
            </w:pPr>
            <w:r>
              <w:rPr>
                <w:b/>
                <w:sz w:val="17"/>
              </w:rPr>
              <w:t>Proposed Soft-Voting Hybrid</w:t>
            </w:r>
          </w:p>
        </w:tc>
        <w:tc>
          <w:tcPr>
            <w:tcW w:type="dxa" w:w="1260"/>
            <w:shd w:fill="F1F5F9"/>
            <w:tcMar>
              <w:top w:w="100" w:type="dxa"/>
              <w:bottom w:w="100" w:type="dxa"/>
              <w:left w:w="100" w:type="dxa"/>
              <w:right w:w="100" w:type="dxa"/>
            </w:tcMar>
          </w:tcPr>
          <w:p>
            <w:pPr>
              <w:jc w:val="center"/>
            </w:pPr>
            <w:r>
              <w:rPr>
                <w:b/>
                <w:sz w:val="17"/>
              </w:rPr>
              <w:t>0.8467</w:t>
            </w:r>
          </w:p>
        </w:tc>
        <w:tc>
          <w:tcPr>
            <w:tcW w:type="dxa" w:w="1260"/>
            <w:shd w:fill="F1F5F9"/>
            <w:tcMar>
              <w:top w:w="100" w:type="dxa"/>
              <w:bottom w:w="100" w:type="dxa"/>
              <w:left w:w="100" w:type="dxa"/>
              <w:right w:w="100" w:type="dxa"/>
            </w:tcMar>
          </w:tcPr>
          <w:p>
            <w:pPr>
              <w:jc w:val="center"/>
            </w:pPr>
            <w:r>
              <w:rPr>
                <w:b/>
                <w:sz w:val="17"/>
              </w:rPr>
              <w:t>0.6558</w:t>
            </w:r>
          </w:p>
        </w:tc>
        <w:tc>
          <w:tcPr>
            <w:tcW w:type="dxa" w:w="1260"/>
            <w:shd w:fill="F1F5F9"/>
            <w:tcMar>
              <w:top w:w="100" w:type="dxa"/>
              <w:bottom w:w="100" w:type="dxa"/>
              <w:left w:w="100" w:type="dxa"/>
              <w:right w:w="100" w:type="dxa"/>
            </w:tcMar>
          </w:tcPr>
          <w:p>
            <w:pPr>
              <w:jc w:val="center"/>
            </w:pPr>
            <w:r>
              <w:rPr>
                <w:b/>
                <w:sz w:val="17"/>
              </w:rPr>
              <w:t>0.5348</w:t>
            </w:r>
          </w:p>
        </w:tc>
        <w:tc>
          <w:tcPr>
            <w:tcW w:type="dxa" w:w="1260"/>
            <w:shd w:fill="F1F5F9"/>
            <w:tcMar>
              <w:top w:w="100" w:type="dxa"/>
              <w:bottom w:w="100" w:type="dxa"/>
              <w:left w:w="100" w:type="dxa"/>
              <w:right w:w="100" w:type="dxa"/>
            </w:tcMar>
          </w:tcPr>
          <w:p>
            <w:pPr>
              <w:jc w:val="center"/>
            </w:pPr>
            <w:r>
              <w:rPr>
                <w:b/>
                <w:sz w:val="17"/>
              </w:rPr>
              <w:t>0.6579</w:t>
            </w:r>
          </w:p>
        </w:tc>
        <w:tc>
          <w:tcPr>
            <w:tcW w:type="dxa" w:w="1260"/>
            <w:shd w:fill="F1F5F9"/>
            <w:tcMar>
              <w:top w:w="100" w:type="dxa"/>
              <w:bottom w:w="100" w:type="dxa"/>
              <w:left w:w="100" w:type="dxa"/>
              <w:right w:w="100" w:type="dxa"/>
            </w:tcMar>
          </w:tcPr>
          <w:p>
            <w:pPr>
              <w:jc w:val="center"/>
            </w:pPr>
            <w:r>
              <w:rPr>
                <w:b/>
                <w:sz w:val="17"/>
              </w:rPr>
              <w:t>0.5900</w:t>
            </w:r>
          </w:p>
        </w:tc>
        <w:tc>
          <w:tcPr>
            <w:tcW w:type="dxa" w:w="1260"/>
            <w:shd w:fill="F1F5F9"/>
            <w:tcMar>
              <w:top w:w="100" w:type="dxa"/>
              <w:bottom w:w="100" w:type="dxa"/>
              <w:left w:w="100" w:type="dxa"/>
              <w:right w:w="100" w:type="dxa"/>
            </w:tcMar>
          </w:tcPr>
          <w:p>
            <w:pPr>
              <w:jc w:val="center"/>
            </w:pPr>
            <w:r>
              <w:rPr>
                <w:b/>
                <w:sz w:val="17"/>
              </w:rPr>
              <w:t>0.8027</w:t>
            </w:r>
          </w:p>
        </w:tc>
        <w:tc>
          <w:tcPr>
            <w:tcW w:type="dxa" w:w="1260"/>
            <w:shd w:fill="F1F5F9"/>
            <w:tcMar>
              <w:top w:w="100" w:type="dxa"/>
              <w:bottom w:w="100" w:type="dxa"/>
              <w:left w:w="100" w:type="dxa"/>
              <w:right w:w="100" w:type="dxa"/>
            </w:tcMar>
          </w:tcPr>
          <w:p>
            <w:pPr>
              <w:jc w:val="center"/>
            </w:pPr>
            <w:r>
              <w:rPr>
                <w:b/>
                <w:sz w:val="17"/>
              </w:rPr>
              <w:t>0.8512 ± 0.008</w:t>
            </w:r>
          </w:p>
        </w:tc>
      </w:tr>
    </w:tbl>
    <w:p>
      <w:pPr>
        <w:spacing w:before="0" w:after="80" w:line="252" w:lineRule="auto"/>
        <w:ind w:firstLine="288"/>
        <w:jc w:val="both"/>
      </w:pPr>
      <w:r>
        <w:rPr>
          <w:sz w:val="20"/>
        </w:rPr>
        <w:t>As established in Table I, the Proposed Soft-Voting Hybrid Ensemble achieves the highest discriminative performance across both ROC-AUC (0.8467) and PR-AUC (0.6558). Furthermore, 5-fold cross-validation confirms that the hybrid architecture exhibits the smallest variance (sigma = 0.008), verifying superior generalization across unseen subscriber subsets.</w:t>
      </w:r>
    </w:p>
    <w:p>
      <w:pPr>
        <w:keepNext/>
        <w:spacing w:before="200" w:after="80"/>
        <w:jc w:val="left"/>
      </w:pPr>
      <w:r>
        <w:rPr>
          <w:b/>
          <w:i/>
          <w:sz w:val="20"/>
        </w:rPr>
        <w:t>C. Ablation Analysis: Resampling Trade-offs</w:t>
      </w:r>
    </w:p>
    <w:p>
      <w:pPr>
        <w:spacing w:before="0" w:after="80" w:line="252" w:lineRule="auto"/>
        <w:ind w:firstLine="288"/>
        <w:jc w:val="both"/>
      </w:pPr>
      <w:r>
        <w:rPr>
          <w:sz w:val="20"/>
        </w:rPr>
        <w:t>We performed an ablation analysis assessing the impact of Synthetic Minority Over-sampling Technique (SMOTE). While SMOTE markedly elevated sensitivity (Recall increased from 0.5348 to 0.7420), it caused a substantial deterioration in Precision (dropping from 0.6579 to 0.5180), alongside a modest decline in ROC-AUC (0.8415 vs. 0.8467). In enterprise churn management, precision degradation results in widespread false-positive alerts, burdening retention call centers with non-churning customers and eroding campaign ROI. Hence, the natural class distribution was retained for primary model training, utilizing threshold tuning for risk calibration.</w:t>
      </w:r>
    </w:p>
    <w:p>
      <w:pPr>
        <w:keepNext/>
        <w:spacing w:before="280" w:after="120"/>
        <w:jc w:val="center"/>
      </w:pPr>
      <w:r>
        <w:rPr>
          <w:b/>
          <w:sz w:val="20"/>
        </w:rPr>
        <w:t>VI. EXPLAINABLE AI &amp; SHAP ATTRIBUTION</w:t>
      </w:r>
    </w:p>
    <w:p>
      <w:pPr>
        <w:keepNext/>
        <w:spacing w:before="200" w:after="80"/>
        <w:jc w:val="left"/>
      </w:pPr>
      <w:r>
        <w:rPr>
          <w:b/>
          <w:i/>
          <w:sz w:val="20"/>
        </w:rPr>
        <w:t>A. Global Macroeconomic Risk Attributions</w:t>
      </w:r>
    </w:p>
    <w:p>
      <w:pPr>
        <w:spacing w:before="0" w:after="80" w:line="252" w:lineRule="auto"/>
        <w:ind w:firstLine="288"/>
        <w:jc w:val="both"/>
      </w:pPr>
      <w:r>
        <w:rPr>
          <w:sz w:val="20"/>
        </w:rPr>
        <w:t>Global feature attribution computed via TreeExplainer identifies the relative importance of all 20 covariates. Table II presents the top five global factors ranked by mean absolute Shapley values (E[|phi_j|]) alongside their directional impact on churn propensity.</w:t>
      </w:r>
    </w:p>
    <w:p>
      <w:pPr>
        <w:keepNext/>
        <w:spacing w:before="160" w:after="80"/>
        <w:jc w:val="center"/>
      </w:pPr>
      <w:r>
        <w:rPr>
          <w:b/>
          <w:sz w:val="18"/>
        </w:rPr>
        <w:t>TABLE II</w:t>
        <w:br/>
        <w:t>TOP GLOBAL SHAP FEATURE IMPORTANCE AND RISK DIRECTIONALITY</w:t>
      </w:r>
    </w:p>
    <w:tbl>
      <w:tblPr>
        <w:tblW w:type="auto" w:w="0"/>
        <w:jc w:val="center"/>
        <w:tblLayout w:type="autofit"/>
        <w:tblLook w:firstColumn="1" w:firstRow="1" w:lastColumn="0" w:lastRow="0" w:noHBand="0" w:noVBand="1" w:val="04A0"/>
        <w:tblBorders>
          <w:top w:val="single" w:sz="8" w:space="0" w:color="1E293B"/>
          <w:bottom w:val="single" w:sz="8" w:space="0" w:color="1E293B"/>
          <w:left w:val="none"/>
          <w:right w:val="none"/>
          <w:insideH w:val="single" w:sz="4" w:space="0" w:color="D1D5DB"/>
          <w:insideV w:val="none"/>
        </w:tblBorders>
      </w:tblPr>
      <w:tblGrid>
        <w:gridCol w:w="2520"/>
        <w:gridCol w:w="2520"/>
        <w:gridCol w:w="2520"/>
        <w:gridCol w:w="2520"/>
      </w:tblGrid>
      <w:tr>
        <w:tc>
          <w:tcPr>
            <w:tcW w:type="dxa" w:w="2520"/>
            <w:shd w:fill="E2E8F0"/>
            <w:tcMar>
              <w:top w:w="120" w:type="dxa"/>
              <w:bottom w:w="120" w:type="dxa"/>
              <w:left w:w="100" w:type="dxa"/>
              <w:right w:w="100" w:type="dxa"/>
            </w:tcMar>
          </w:tcPr>
          <w:p>
            <w:pPr>
              <w:jc w:val="left"/>
            </w:pPr>
            <w:r>
              <w:rPr>
                <w:b/>
                <w:sz w:val="17"/>
              </w:rPr>
              <w:t>Feature Name</w:t>
            </w:r>
          </w:p>
        </w:tc>
        <w:tc>
          <w:tcPr>
            <w:tcW w:type="dxa" w:w="2520"/>
            <w:shd w:fill="E2E8F0"/>
            <w:tcMar>
              <w:top w:w="120" w:type="dxa"/>
              <w:bottom w:w="120" w:type="dxa"/>
              <w:left w:w="100" w:type="dxa"/>
              <w:right w:w="100" w:type="dxa"/>
            </w:tcMar>
          </w:tcPr>
          <w:p>
            <w:pPr>
              <w:jc w:val="center"/>
            </w:pPr>
            <w:r>
              <w:rPr>
                <w:b/>
                <w:sz w:val="17"/>
              </w:rPr>
              <w:t>Mean |SHAP| Value</w:t>
            </w:r>
          </w:p>
        </w:tc>
        <w:tc>
          <w:tcPr>
            <w:tcW w:type="dxa" w:w="2520"/>
            <w:shd w:fill="E2E8F0"/>
            <w:tcMar>
              <w:top w:w="120" w:type="dxa"/>
              <w:bottom w:w="120" w:type="dxa"/>
              <w:left w:w="100" w:type="dxa"/>
              <w:right w:w="100" w:type="dxa"/>
            </w:tcMar>
          </w:tcPr>
          <w:p>
            <w:pPr>
              <w:jc w:val="center"/>
            </w:pPr>
            <w:r>
              <w:rPr>
                <w:b/>
                <w:sz w:val="17"/>
              </w:rPr>
              <w:t>Directional Impact</w:t>
            </w:r>
          </w:p>
        </w:tc>
        <w:tc>
          <w:tcPr>
            <w:tcW w:type="dxa" w:w="2520"/>
            <w:shd w:fill="E2E8F0"/>
            <w:tcMar>
              <w:top w:w="120" w:type="dxa"/>
              <w:bottom w:w="120" w:type="dxa"/>
              <w:left w:w="100" w:type="dxa"/>
              <w:right w:w="100" w:type="dxa"/>
            </w:tcMar>
          </w:tcPr>
          <w:p>
            <w:pPr>
              <w:jc w:val="left"/>
            </w:pPr>
            <w:r>
              <w:rPr>
                <w:b/>
                <w:sz w:val="17"/>
              </w:rPr>
              <w:t>Operational Interpretation</w:t>
            </w:r>
          </w:p>
        </w:tc>
      </w:tr>
      <w:tr>
        <w:tc>
          <w:tcPr>
            <w:tcW w:type="dxa" w:w="2520"/>
            <w:tcMar>
              <w:top w:w="100" w:type="dxa"/>
              <w:bottom w:w="100" w:type="dxa"/>
              <w:left w:w="100" w:type="dxa"/>
              <w:right w:w="100" w:type="dxa"/>
            </w:tcMar>
          </w:tcPr>
          <w:p>
            <w:pPr>
              <w:jc w:val="left"/>
            </w:pPr>
            <w:r>
              <w:rPr>
                <w:sz w:val="17"/>
              </w:rPr>
              <w:t>Contract: Month-to-month</w:t>
            </w:r>
          </w:p>
        </w:tc>
        <w:tc>
          <w:tcPr>
            <w:tcW w:type="dxa" w:w="2520"/>
            <w:tcMar>
              <w:top w:w="100" w:type="dxa"/>
              <w:bottom w:w="100" w:type="dxa"/>
              <w:left w:w="100" w:type="dxa"/>
              <w:right w:w="100" w:type="dxa"/>
            </w:tcMar>
          </w:tcPr>
          <w:p>
            <w:pPr>
              <w:jc w:val="center"/>
            </w:pPr>
            <w:r>
              <w:rPr>
                <w:sz w:val="17"/>
              </w:rPr>
              <w:t>0.7471</w:t>
            </w:r>
          </w:p>
        </w:tc>
        <w:tc>
          <w:tcPr>
            <w:tcW w:type="dxa" w:w="2520"/>
            <w:tcMar>
              <w:top w:w="100" w:type="dxa"/>
              <w:bottom w:w="100" w:type="dxa"/>
              <w:left w:w="100" w:type="dxa"/>
              <w:right w:w="100" w:type="dxa"/>
            </w:tcMar>
          </w:tcPr>
          <w:p>
            <w:pPr>
              <w:jc w:val="center"/>
            </w:pPr>
            <w:r>
              <w:rPr>
                <w:sz w:val="17"/>
              </w:rPr>
              <w:t>Positive (+ Churn)</w:t>
            </w:r>
          </w:p>
        </w:tc>
        <w:tc>
          <w:tcPr>
            <w:tcW w:type="dxa" w:w="2520"/>
            <w:tcMar>
              <w:top w:w="100" w:type="dxa"/>
              <w:bottom w:w="100" w:type="dxa"/>
              <w:left w:w="100" w:type="dxa"/>
              <w:right w:w="100" w:type="dxa"/>
            </w:tcMar>
          </w:tcPr>
          <w:p>
            <w:pPr>
              <w:jc w:val="left"/>
            </w:pPr>
            <w:r>
              <w:rPr>
                <w:sz w:val="17"/>
              </w:rPr>
              <w:t>Subscribers lacking multi-year lock-in face zero switching friction.</w:t>
            </w:r>
          </w:p>
        </w:tc>
      </w:tr>
      <w:tr>
        <w:tc>
          <w:tcPr>
            <w:tcW w:type="dxa" w:w="2520"/>
            <w:tcMar>
              <w:top w:w="100" w:type="dxa"/>
              <w:bottom w:w="100" w:type="dxa"/>
              <w:left w:w="100" w:type="dxa"/>
              <w:right w:w="100" w:type="dxa"/>
            </w:tcMar>
          </w:tcPr>
          <w:p>
            <w:pPr>
              <w:jc w:val="left"/>
            </w:pPr>
            <w:r>
              <w:rPr>
                <w:sz w:val="17"/>
              </w:rPr>
              <w:t>Tenure (Months)</w:t>
            </w:r>
          </w:p>
        </w:tc>
        <w:tc>
          <w:tcPr>
            <w:tcW w:type="dxa" w:w="2520"/>
            <w:tcMar>
              <w:top w:w="100" w:type="dxa"/>
              <w:bottom w:w="100" w:type="dxa"/>
              <w:left w:w="100" w:type="dxa"/>
              <w:right w:w="100" w:type="dxa"/>
            </w:tcMar>
          </w:tcPr>
          <w:p>
            <w:pPr>
              <w:jc w:val="center"/>
            </w:pPr>
            <w:r>
              <w:rPr>
                <w:sz w:val="17"/>
              </w:rPr>
              <w:t>0.4416</w:t>
            </w:r>
          </w:p>
        </w:tc>
        <w:tc>
          <w:tcPr>
            <w:tcW w:type="dxa" w:w="2520"/>
            <w:tcMar>
              <w:top w:w="100" w:type="dxa"/>
              <w:bottom w:w="100" w:type="dxa"/>
              <w:left w:w="100" w:type="dxa"/>
              <w:right w:w="100" w:type="dxa"/>
            </w:tcMar>
          </w:tcPr>
          <w:p>
            <w:pPr>
              <w:jc w:val="center"/>
            </w:pPr>
            <w:r>
              <w:rPr>
                <w:sz w:val="17"/>
              </w:rPr>
              <w:t>Negative (- Churn)</w:t>
            </w:r>
          </w:p>
        </w:tc>
        <w:tc>
          <w:tcPr>
            <w:tcW w:type="dxa" w:w="2520"/>
            <w:tcMar>
              <w:top w:w="100" w:type="dxa"/>
              <w:bottom w:w="100" w:type="dxa"/>
              <w:left w:w="100" w:type="dxa"/>
              <w:right w:w="100" w:type="dxa"/>
            </w:tcMar>
          </w:tcPr>
          <w:p>
            <w:pPr>
              <w:jc w:val="left"/>
            </w:pPr>
            <w:r>
              <w:rPr>
                <w:sz w:val="17"/>
              </w:rPr>
              <w:t>Longer customer lifetime strongly reinforces retention and brand loyalty.</w:t>
            </w:r>
          </w:p>
        </w:tc>
      </w:tr>
      <w:tr>
        <w:tc>
          <w:tcPr>
            <w:tcW w:type="dxa" w:w="2520"/>
            <w:tcMar>
              <w:top w:w="100" w:type="dxa"/>
              <w:bottom w:w="100" w:type="dxa"/>
              <w:left w:w="100" w:type="dxa"/>
              <w:right w:w="100" w:type="dxa"/>
            </w:tcMar>
          </w:tcPr>
          <w:p>
            <w:pPr>
              <w:jc w:val="left"/>
            </w:pPr>
            <w:r>
              <w:rPr>
                <w:sz w:val="17"/>
              </w:rPr>
              <w:t>Monthly Charges ($)</w:t>
            </w:r>
          </w:p>
        </w:tc>
        <w:tc>
          <w:tcPr>
            <w:tcW w:type="dxa" w:w="2520"/>
            <w:tcMar>
              <w:top w:w="100" w:type="dxa"/>
              <w:bottom w:w="100" w:type="dxa"/>
              <w:left w:w="100" w:type="dxa"/>
              <w:right w:w="100" w:type="dxa"/>
            </w:tcMar>
          </w:tcPr>
          <w:p>
            <w:pPr>
              <w:jc w:val="center"/>
            </w:pPr>
            <w:r>
              <w:rPr>
                <w:sz w:val="17"/>
              </w:rPr>
              <w:t>0.2524</w:t>
            </w:r>
          </w:p>
        </w:tc>
        <w:tc>
          <w:tcPr>
            <w:tcW w:type="dxa" w:w="2520"/>
            <w:tcMar>
              <w:top w:w="100" w:type="dxa"/>
              <w:bottom w:w="100" w:type="dxa"/>
              <w:left w:w="100" w:type="dxa"/>
              <w:right w:w="100" w:type="dxa"/>
            </w:tcMar>
          </w:tcPr>
          <w:p>
            <w:pPr>
              <w:jc w:val="center"/>
            </w:pPr>
            <w:r>
              <w:rPr>
                <w:sz w:val="17"/>
              </w:rPr>
              <w:t>Positive (+ Churn)</w:t>
            </w:r>
          </w:p>
        </w:tc>
        <w:tc>
          <w:tcPr>
            <w:tcW w:type="dxa" w:w="2520"/>
            <w:tcMar>
              <w:top w:w="100" w:type="dxa"/>
              <w:bottom w:w="100" w:type="dxa"/>
              <w:left w:w="100" w:type="dxa"/>
              <w:right w:w="100" w:type="dxa"/>
            </w:tcMar>
          </w:tcPr>
          <w:p>
            <w:pPr>
              <w:jc w:val="left"/>
            </w:pPr>
            <w:r>
              <w:rPr>
                <w:sz w:val="17"/>
              </w:rPr>
              <w:t>Higher recurring invoices amplify price sensitivity and plan shopping.</w:t>
            </w:r>
          </w:p>
        </w:tc>
      </w:tr>
      <w:tr>
        <w:tc>
          <w:tcPr>
            <w:tcW w:type="dxa" w:w="2520"/>
            <w:tcMar>
              <w:top w:w="100" w:type="dxa"/>
              <w:bottom w:w="100" w:type="dxa"/>
              <w:left w:w="100" w:type="dxa"/>
              <w:right w:w="100" w:type="dxa"/>
            </w:tcMar>
          </w:tcPr>
          <w:p>
            <w:pPr>
              <w:jc w:val="left"/>
            </w:pPr>
            <w:r>
              <w:rPr>
                <w:sz w:val="17"/>
              </w:rPr>
              <w:t>Tech Support: No</w:t>
            </w:r>
          </w:p>
        </w:tc>
        <w:tc>
          <w:tcPr>
            <w:tcW w:type="dxa" w:w="2520"/>
            <w:tcMar>
              <w:top w:w="100" w:type="dxa"/>
              <w:bottom w:w="100" w:type="dxa"/>
              <w:left w:w="100" w:type="dxa"/>
              <w:right w:w="100" w:type="dxa"/>
            </w:tcMar>
          </w:tcPr>
          <w:p>
            <w:pPr>
              <w:jc w:val="center"/>
            </w:pPr>
            <w:r>
              <w:rPr>
                <w:sz w:val="17"/>
              </w:rPr>
              <w:t>0.2406</w:t>
            </w:r>
          </w:p>
        </w:tc>
        <w:tc>
          <w:tcPr>
            <w:tcW w:type="dxa" w:w="2520"/>
            <w:tcMar>
              <w:top w:w="100" w:type="dxa"/>
              <w:bottom w:w="100" w:type="dxa"/>
              <w:left w:w="100" w:type="dxa"/>
              <w:right w:w="100" w:type="dxa"/>
            </w:tcMar>
          </w:tcPr>
          <w:p>
            <w:pPr>
              <w:jc w:val="center"/>
            </w:pPr>
            <w:r>
              <w:rPr>
                <w:sz w:val="17"/>
              </w:rPr>
              <w:t>Positive (+ Churn)</w:t>
            </w:r>
          </w:p>
        </w:tc>
        <w:tc>
          <w:tcPr>
            <w:tcW w:type="dxa" w:w="2520"/>
            <w:tcMar>
              <w:top w:w="100" w:type="dxa"/>
              <w:bottom w:w="100" w:type="dxa"/>
              <w:left w:w="100" w:type="dxa"/>
              <w:right w:w="100" w:type="dxa"/>
            </w:tcMar>
          </w:tcPr>
          <w:p>
            <w:pPr>
              <w:jc w:val="left"/>
            </w:pPr>
            <w:r>
              <w:rPr>
                <w:sz w:val="17"/>
              </w:rPr>
              <w:t>Unassisted technical friction exacerbates subscriber frustration.</w:t>
            </w:r>
          </w:p>
        </w:tc>
      </w:tr>
      <w:tr>
        <w:tc>
          <w:tcPr>
            <w:tcW w:type="dxa" w:w="2520"/>
            <w:tcMar>
              <w:top w:w="100" w:type="dxa"/>
              <w:bottom w:w="100" w:type="dxa"/>
              <w:left w:w="100" w:type="dxa"/>
              <w:right w:w="100" w:type="dxa"/>
            </w:tcMar>
          </w:tcPr>
          <w:p>
            <w:pPr>
              <w:jc w:val="left"/>
            </w:pPr>
            <w:r>
              <w:rPr>
                <w:sz w:val="17"/>
              </w:rPr>
              <w:t>Internet Service: Fiber optic</w:t>
            </w:r>
          </w:p>
        </w:tc>
        <w:tc>
          <w:tcPr>
            <w:tcW w:type="dxa" w:w="2520"/>
            <w:tcMar>
              <w:top w:w="100" w:type="dxa"/>
              <w:bottom w:w="100" w:type="dxa"/>
              <w:left w:w="100" w:type="dxa"/>
              <w:right w:w="100" w:type="dxa"/>
            </w:tcMar>
          </w:tcPr>
          <w:p>
            <w:pPr>
              <w:jc w:val="center"/>
            </w:pPr>
            <w:r>
              <w:rPr>
                <w:sz w:val="17"/>
              </w:rPr>
              <w:t>0.1898</w:t>
            </w:r>
          </w:p>
        </w:tc>
        <w:tc>
          <w:tcPr>
            <w:tcW w:type="dxa" w:w="2520"/>
            <w:tcMar>
              <w:top w:w="100" w:type="dxa"/>
              <w:bottom w:w="100" w:type="dxa"/>
              <w:left w:w="100" w:type="dxa"/>
              <w:right w:w="100" w:type="dxa"/>
            </w:tcMar>
          </w:tcPr>
          <w:p>
            <w:pPr>
              <w:jc w:val="center"/>
            </w:pPr>
            <w:r>
              <w:rPr>
                <w:sz w:val="17"/>
              </w:rPr>
              <w:t>Positive (+ Churn)</w:t>
            </w:r>
          </w:p>
        </w:tc>
        <w:tc>
          <w:tcPr>
            <w:tcW w:type="dxa" w:w="2520"/>
            <w:tcMar>
              <w:top w:w="100" w:type="dxa"/>
              <w:bottom w:w="100" w:type="dxa"/>
              <w:left w:w="100" w:type="dxa"/>
              <w:right w:w="100" w:type="dxa"/>
            </w:tcMar>
          </w:tcPr>
          <w:p>
            <w:pPr>
              <w:jc w:val="left"/>
            </w:pPr>
            <w:r>
              <w:rPr>
                <w:sz w:val="17"/>
              </w:rPr>
              <w:t>Higher expectations and competitive local fiber offerings drive churn.</w:t>
            </w:r>
          </w:p>
        </w:tc>
      </w:tr>
    </w:tbl>
    <w:p>
      <w:pPr>
        <w:keepNext/>
        <w:spacing w:before="200" w:after="80"/>
        <w:jc w:val="left"/>
      </w:pPr>
      <w:r>
        <w:rPr>
          <w:b/>
          <w:i/>
          <w:sz w:val="20"/>
        </w:rPr>
        <w:t>B. Individualized Microeconomic Waterfall Diagnostics</w:t>
      </w:r>
    </w:p>
    <w:p>
      <w:pPr>
        <w:spacing w:before="0" w:after="80" w:line="252" w:lineRule="auto"/>
        <w:ind w:firstLine="288"/>
        <w:jc w:val="both"/>
      </w:pPr>
      <w:r>
        <w:rPr>
          <w:sz w:val="20"/>
        </w:rPr>
        <w:t>In addition to macroeconomic global rankings, the system computes individualized waterfall charts for frontline account representatives. For an illustrative high-risk subscriber (Customer ID: 7590-VHVEG, Tenure = 1 month, Monthly Charges = $29.85, Contract = Month-to-month, Predicted Churn Probability = 79.4%), the SHAP breakdown demonstrates that Month-to-month contract (+0.38) and low tenure (+0.24) dominate the risk score, while low monthly billing acts as the sole mitigating factor (-0.11). This granular transparency enables retention agents to offer an annual contract transition discount rather than an unnecessary price reduction.</w:t>
      </w:r>
    </w:p>
    <w:p>
      <w:pPr>
        <w:keepNext/>
        <w:spacing w:before="280" w:after="120"/>
        <w:jc w:val="center"/>
      </w:pPr>
      <w:r>
        <w:rPr>
          <w:b/>
          <w:sz w:val="20"/>
        </w:rPr>
        <w:t>VII. OPERATIONAL RETENTION &amp; ROI FRAMEWORK</w:t>
      </w:r>
    </w:p>
    <w:p>
      <w:pPr>
        <w:spacing w:before="0" w:after="80" w:line="252" w:lineRule="auto"/>
        <w:ind w:firstLine="288"/>
        <w:jc w:val="both"/>
      </w:pPr>
      <w:r>
        <w:rPr>
          <w:sz w:val="20"/>
        </w:rPr>
        <w:t>To evaluate real-world enterprise efficacy, the architecture was tested on the complete 7,043 subscriber database. Across the population, the model identified 1,508 predicted churners (21.4%), encompassing 861 High-Risk accounts (P_churn &gt;= 0.65). The monthly recurring revenue at risk (MRR at Risk) totaled $120,028.55/month, equating to an Annualized Revenue Exposure of $1,440,342.60.</w:t>
      </w:r>
    </w:p>
    <w:p>
      <w:pPr>
        <w:spacing w:before="0" w:after="80" w:line="252" w:lineRule="auto"/>
        <w:ind w:firstLine="288"/>
        <w:jc w:val="both"/>
      </w:pPr>
      <w:r>
        <w:rPr>
          <w:sz w:val="20"/>
        </w:rPr>
        <w:t>By filtering subscribers into K-Means risk-value quadrants, the prescriptive engine automates three enterprise campaigns: (1) VIP High-Value Retention: 15% annual lock-in discount + dedicated technical account manager (Projected acceptance = 42%, Net saved ARR = $284,000); (2) Fiber Optic Reliability Outreach: complimentary 6-month Tech Support and security bundle (Projected acceptance = 36%, Net saved ARR = $142,000); and (3) Onboarding Engagement: digital onboarding tutorials for 1-3 month tenure starters (Net saved ARR = $88,000). Total projected net annual revenue preservation reaches $514,000, representing a 35.7% recovery rate against total exposure.</w:t>
      </w:r>
    </w:p>
    <w:p>
      <w:pPr>
        <w:keepNext/>
        <w:spacing w:before="280" w:after="120"/>
        <w:jc w:val="center"/>
      </w:pPr>
      <w:r>
        <w:rPr>
          <w:b/>
          <w:sz w:val="20"/>
        </w:rPr>
        <w:t>VIII. ETHICAL GOVERNANCE, FAIRNESS &amp; LIMITATIONS</w:t>
      </w:r>
    </w:p>
    <w:p>
      <w:pPr>
        <w:spacing w:before="0" w:after="80" w:line="252" w:lineRule="auto"/>
        <w:ind w:firstLine="288"/>
        <w:jc w:val="both"/>
      </w:pPr>
      <w:r>
        <w:rPr>
          <w:sz w:val="20"/>
        </w:rPr>
        <w:t>1) Algorithmic Demographic Fairness: We conducted disparity audits across protected demographic attributes. Global SHAP analysis confirms that gender (mean |SHAP| &lt; 0.008) and marital partner status (&lt; 0.012) exert negligible influence on predictions. Senior citizen status (+0.041) is strictly monitored to prevent discriminatory pricing practices or service throttling.</w:t>
      </w:r>
    </w:p>
    <w:p>
      <w:pPr>
        <w:spacing w:before="0" w:after="80" w:line="252" w:lineRule="auto"/>
        <w:ind w:firstLine="288"/>
        <w:jc w:val="both"/>
      </w:pPr>
      <w:r>
        <w:rPr>
          <w:sz w:val="20"/>
        </w:rPr>
        <w:t>2) Observational Causality Limitations: SHAP quantifies feature associations within observational data, not pure counterfactual causality. While Month-to-month contracts strongly correlate with churn, forcing an annual contract without customer incentives may induce immediate cancellation. Real-world deployments should integrate randomized controlled A/B testing (uplift modeling) to validate treatment effects.</w:t>
      </w:r>
    </w:p>
    <w:p>
      <w:pPr>
        <w:spacing w:before="0" w:after="80" w:line="252" w:lineRule="auto"/>
        <w:ind w:firstLine="288"/>
        <w:jc w:val="both"/>
      </w:pPr>
      <w:r>
        <w:rPr>
          <w:sz w:val="20"/>
        </w:rPr>
        <w:t>3) Cross-Sectional Data Freshness: The dataset captures a historical observational window. Longitudinal tracking is essential to prevent concept drift arising from macroeconomic inflation, competitor tariff adjustments, or network infrastructure changes.</w:t>
      </w:r>
    </w:p>
    <w:p>
      <w:pPr>
        <w:keepNext/>
        <w:spacing w:before="280" w:after="120"/>
        <w:jc w:val="center"/>
      </w:pPr>
      <w:r>
        <w:rPr>
          <w:b/>
          <w:sz w:val="20"/>
        </w:rPr>
        <w:t>IX. CONCLUSION &amp; FUTURE WORK</w:t>
      </w:r>
    </w:p>
    <w:p>
      <w:pPr>
        <w:spacing w:before="0" w:after="80" w:line="252" w:lineRule="auto"/>
        <w:ind w:firstLine="288"/>
        <w:jc w:val="both"/>
      </w:pPr>
      <w:r>
        <w:rPr>
          <w:sz w:val="20"/>
        </w:rPr>
        <w:t>This paper presented an integrated, end-to-end explainable machine learning architecture for customer churn prediction and proactive retention optimization. By combining leak-free data preprocessing, a soft-voting hybrid ensemble achieving a benchmark ROC-AUC of 0.8467, game-theoretic SHAP interpretability, and an automated ROI-driven prescriptive recommendation engine, the proposed framework bridges the longstanding divide between predictive accuracy and enterprise operational utility.</w:t>
      </w:r>
    </w:p>
    <w:p>
      <w:pPr>
        <w:spacing w:before="0" w:after="80" w:line="252" w:lineRule="auto"/>
        <w:ind w:firstLine="288"/>
        <w:jc w:val="both"/>
      </w:pPr>
      <w:r>
        <w:rPr>
          <w:sz w:val="20"/>
        </w:rPr>
        <w:t>Future research will investigate: (i) causal uplift modeling using Double Machine Learning (DML) to estimate heterogeneous treatment effects (HTE) of specific intervention types; (ii) temporal graph neural networks (GNNs) capturing social referral churn cascades; and (iii) real-time reinforcement learning agents optimizing dynamic contract discount strategies.</w:t>
      </w:r>
    </w:p>
    <w:p>
      <w:pPr>
        <w:keepNext/>
        <w:spacing w:before="280" w:after="120"/>
        <w:jc w:val="center"/>
      </w:pPr>
      <w:r>
        <w:rPr>
          <w:b/>
          <w:sz w:val="20"/>
        </w:rPr>
        <w:t>X. REFERENCES</w:t>
      </w:r>
    </w:p>
    <w:p>
      <w:pPr>
        <w:spacing w:before="40" w:after="60" w:line="252" w:lineRule="auto"/>
        <w:ind w:left="360" w:hanging="360"/>
        <w:jc w:val="both"/>
      </w:pPr>
      <w:r>
        <w:rPr>
          <w:sz w:val="17"/>
        </w:rPr>
        <w:t>[1] M. C. Mozer, R. Wolniewicz, D. B. Grimes, E. Johnson, and H. Kaushansky, "Predicting subscriber dissatisfaction and improving retention in the wireless telecommunications industry," IEEE Trans. Neural Networks, vol. 11, no. 3, pp. 690–696, May 2000.</w:t>
      </w:r>
    </w:p>
    <w:p>
      <w:pPr>
        <w:spacing w:before="40" w:after="60" w:line="252" w:lineRule="auto"/>
        <w:ind w:left="360" w:hanging="360"/>
        <w:jc w:val="both"/>
      </w:pPr>
      <w:r>
        <w:rPr>
          <w:sz w:val="17"/>
        </w:rPr>
        <w:t>[2] S. A. Neslin, S. Gupta, W. Kamakura, J. Lu, and C. H. Mason, "Defection detection: Measuring and understanding the predictive accuracy of customer churn models," J. Mark. Res., vol. 43, no. 2, pp. 204–211, May 2006.</w:t>
      </w:r>
    </w:p>
    <w:p>
      <w:pPr>
        <w:spacing w:before="40" w:after="60" w:line="252" w:lineRule="auto"/>
        <w:ind w:left="360" w:hanging="360"/>
        <w:jc w:val="both"/>
      </w:pPr>
      <w:r>
        <w:rPr>
          <w:sz w:val="17"/>
        </w:rPr>
        <w:t>[3] C. Chen, L. Zhang, and H. Wang, "Customer churn prediction using ensemble learning techniques," in Proc. IEEE Int. Conf. Big Data, Atlanta, GA, USA, 2020, pp. 3120–3129.</w:t>
      </w:r>
    </w:p>
    <w:p>
      <w:pPr>
        <w:spacing w:before="40" w:after="60" w:line="252" w:lineRule="auto"/>
        <w:ind w:left="360" w:hanging="360"/>
        <w:jc w:val="both"/>
      </w:pPr>
      <w:r>
        <w:rPr>
          <w:sz w:val="17"/>
        </w:rPr>
        <w:t>[4] A. Amin, F. Al-Obeidat, B. Shah, A. Adnan, J. Loo, and K. Anwar, "Customer churn prediction in telecommunication industry using data mining techniques," Neurocomputing, vol. 299, pp. 119–133, July 2018.</w:t>
      </w:r>
    </w:p>
    <w:p>
      <w:pPr>
        <w:spacing w:before="40" w:after="60" w:line="252" w:lineRule="auto"/>
        <w:ind w:left="360" w:hanging="360"/>
        <w:jc w:val="both"/>
      </w:pPr>
      <w:r>
        <w:rPr>
          <w:sz w:val="17"/>
        </w:rPr>
        <w:t>[5] G. Ke, Q. Meng, T. Finley, T. Wang, W. Chen, W. Ma, Q. Ye, and T.-Y. Liu, "LightGBM: A highly efficient gradient boosting decision tree," in Adv. Neural Inf. Process. Syst. (NeurIPS), Long Beach, CA, USA, 2017, pp. 3146–3154.</w:t>
      </w:r>
    </w:p>
    <w:p>
      <w:pPr>
        <w:spacing w:before="40" w:after="60" w:line="252" w:lineRule="auto"/>
        <w:ind w:left="360" w:hanging="360"/>
        <w:jc w:val="both"/>
      </w:pPr>
      <w:r>
        <w:rPr>
          <w:sz w:val="17"/>
        </w:rPr>
        <w:t>[6] T. Chen and C. Guestrin, "XGBoost: A scalable tree boosting system," in Proc. 22nd ACM SIGKDD Int. Conf. Knowl. Discovery Data Mining, San Francisco, CA, USA, 2016, pp. 785–794.</w:t>
      </w:r>
    </w:p>
    <w:p>
      <w:pPr>
        <w:spacing w:before="40" w:after="60" w:line="252" w:lineRule="auto"/>
        <w:ind w:left="360" w:hanging="360"/>
        <w:jc w:val="both"/>
      </w:pPr>
      <w:r>
        <w:rPr>
          <w:sz w:val="17"/>
        </w:rPr>
        <w:t>[7] N. V. Chawla, K. W. Bowyer, L. O. Hall, and W. P. Kegelmeyer, "SMOTE: Synthetic minority over-sampling technique," J. Artif. Intell. Res., vol. 16, pp. 321–357, June 2002.</w:t>
      </w:r>
    </w:p>
    <w:p>
      <w:pPr>
        <w:spacing w:before="40" w:after="60" w:line="252" w:lineRule="auto"/>
        <w:ind w:left="360" w:hanging="360"/>
        <w:jc w:val="both"/>
      </w:pPr>
      <w:r>
        <w:rPr>
          <w:sz w:val="17"/>
        </w:rPr>
        <w:t>[8] R. Blagus and L. Lusa, "SMOTE for high-dimensional class-imbalanced data," BMC Bioinformatics, vol. 14, no. 1, p. 106, Mar. 2013.</w:t>
      </w:r>
    </w:p>
    <w:p>
      <w:pPr>
        <w:spacing w:before="40" w:after="60" w:line="252" w:lineRule="auto"/>
        <w:ind w:left="360" w:hanging="360"/>
        <w:jc w:val="both"/>
      </w:pPr>
      <w:r>
        <w:rPr>
          <w:sz w:val="17"/>
        </w:rPr>
        <w:t>[9] S. M. Lundberg, G. Erion, H. Chen, A. DeGrave, J. M. Prutkin, B. Nair, R. Katz, W. T. Longstreth, and S.-I. Lee, "From local explanations to global understanding with explainable AI for trees," Nature Mach. Intell., vol. 2, no. 1, pp. 56–67, Jan. 2020.</w:t>
      </w:r>
    </w:p>
    <w:p>
      <w:pPr>
        <w:spacing w:before="40" w:after="60" w:line="252" w:lineRule="auto"/>
        <w:ind w:left="360" w:hanging="360"/>
        <w:jc w:val="both"/>
      </w:pPr>
      <w:r>
        <w:rPr>
          <w:sz w:val="17"/>
        </w:rPr>
        <w:t>[10] L. S. Shapley, "A value for n-person games," in Contributions to the Theory of Games II, H. W. Kuhn and A. W. Tucker, Eds. Princeton, NJ, USA: Princeton Univ. Press, 1953, pp. 307–317.</w:t>
      </w:r>
    </w:p>
    <w:p>
      <w:pPr>
        <w:spacing w:before="40" w:after="60" w:line="252" w:lineRule="auto"/>
        <w:ind w:left="360" w:hanging="360"/>
        <w:jc w:val="both"/>
      </w:pPr>
      <w:r>
        <w:rPr>
          <w:sz w:val="17"/>
        </w:rPr>
        <w:t>[11] F. Pedregosa et al., "Scikit-learn: Machine learning in Python," J. Mach. Learn. Res., vol. 12, pp. 2825–2830, Nov. 2011.</w:t>
      </w:r>
    </w:p>
    <w:p>
      <w:pPr>
        <w:spacing w:before="40" w:after="60" w:line="252" w:lineRule="auto"/>
        <w:ind w:left="360" w:hanging="360"/>
        <w:jc w:val="both"/>
      </w:pPr>
      <w:r>
        <w:rPr>
          <w:sz w:val="17"/>
        </w:rPr>
        <w:t>[12] A. Sharma and P. K. Singh, "Machine learning approaches for customer churn prediction in telecom: A comparative empirical analysis," IEEE Access, vol. 9, pp. 45210–45225, Mar. 2021.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