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SKUBA gesture detection — Phase 4: classifier comparison</w:t>
      </w:r>
    </w:p>
    <w:p>
      <w:r>
        <w:rPr>
          <w:i/>
        </w:rPr>
        <w:t>Generated 2026-09-01</w:t>
      </w:r>
    </w:p>
    <w:p>
      <w:r>
        <w:rPr>
          <w:b/>
          <w:color w:val="1A7F37"/>
          <w:sz w:val="24"/>
        </w:rPr>
        <w:t>3 candidate classifiers trained on the same 12-class pipeline (train 52,738 / val 2,357 / test 1,254), scored by classifier/evaluate.py. Leading model on the real-generalisation metric: LGBM.</w:t>
      </w:r>
    </w:p>
    <w:p>
      <w:pPr>
        <w:pStyle w:val="Heading1"/>
      </w:pPr>
      <w:r>
        <w:t>1. Headline metrics — every candidate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metric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LGBM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RF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LOGREG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macro-F1 (12)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0.888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0.823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0.667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macro-F1 (real-eval)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0.866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0.788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0.610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accuracy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0.923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0.868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0.785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balanced acc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0.878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0.815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0.677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ECE (lower better)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0.036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0.146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0.083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conf | correct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0.952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0.769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0.884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conf | wrong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0.796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0.437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0.520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size (MB)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31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389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&lt;1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fit (s)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104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43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31</w:t>
            </w:r>
          </w:p>
        </w:tc>
      </w:tr>
    </w:tbl>
    <w:p>
      <w:r>
        <w:t>'real-eval' = macro-F1 over the classes with a genuine cross-domain / cross-subject test (excludes the aug-only-leak classes squat, glico_pose). 'conf | correct' vs 'conf | wrong' is the mean max-probability when the prediction is right vs wrong — the gap is what the Phase 5 idle/unknown threshold needs; a model that is accurate but piles all its confidence at ~1.0 needs post-hoc calibration first.</w:t>
      </w:r>
    </w:p>
    <w:p>
      <w:r>
        <w:drawing>
          <wp:inline xmlns:a="http://schemas.openxmlformats.org/drawingml/2006/main" xmlns:pic="http://schemas.openxmlformats.org/drawingml/2006/picture">
            <wp:extent cx="5852160" cy="27797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e_overal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779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2. Per-class F1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class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LGBM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RF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LOGREG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color w:val="886600"/>
                <w:sz w:val="18"/>
              </w:rPr>
              <w:t>idle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886600"/>
                <w:sz w:val="18"/>
              </w:rPr>
              <w:t>0.66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886600"/>
                <w:sz w:val="18"/>
              </w:rPr>
              <w:t>0.62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886600"/>
                <w:sz w:val="18"/>
              </w:rPr>
              <w:t>0.00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raise_right_hand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0.81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0.79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0.74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raise_left_hand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0.83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0.79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0.72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sit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0.96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0.89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0.80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squat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0.92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laying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0.94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0.41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0.33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ok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0.78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0.78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0.78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two_finger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0.98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0.96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0.97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thumb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0.98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0.98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0.89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mini_heart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0.89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0.83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0.00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t_pose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0.82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0.82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0.87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glico_pose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0.99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852160" cy="21188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e_f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118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3. Cross-person (sit — the only multi-subject class)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model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sit @ s01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sit @ s02 (never trained)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LGBM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0.971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1.0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RF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0.94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0.9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LOGREG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0.946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0.633</w:t>
            </w:r>
          </w:p>
        </w:tc>
      </w:tr>
    </w:tbl>
    <w:p>
      <w:r>
        <w:t>s02 recall is the single most trustworthy number — a person who never appears in training.</w:t>
      </w:r>
    </w:p>
    <w:p>
      <w:pPr>
        <w:pStyle w:val="Heading1"/>
      </w:pPr>
      <w:r>
        <w:t>4. The leading model in detail — LGBM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8"/>
              </w:rPr>
              <w:t>class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eval type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prec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rec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F1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conf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color w:val="886600"/>
                <w:sz w:val="18"/>
              </w:rPr>
              <w:t>idle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88660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886600"/>
                <w:sz w:val="18"/>
              </w:rPr>
              <w:t>60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886600"/>
                <w:sz w:val="18"/>
              </w:rPr>
              <w:t>0.492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886600"/>
                <w:sz w:val="18"/>
              </w:rPr>
              <w:t>0.983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886600"/>
                <w:sz w:val="18"/>
              </w:rPr>
              <w:t>0.656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886600"/>
                <w:sz w:val="18"/>
              </w:rPr>
              <w:t>0.976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raise_right_hand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96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0.971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0.698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0.812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0.956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raise_left_hand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45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0.784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0.889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0.833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0.977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sit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375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0.951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0.976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0.963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0.896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squat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aug_only_leak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108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laying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77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0.883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0.938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0.874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ok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45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0.644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0.784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0.969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two_finger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87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0.967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0.983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thumb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held_out_external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214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0.967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0.983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0.981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mini_heart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45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0.889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0.743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t_pose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0.694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0.82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0.922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glico_pose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aug_only_leak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66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852160" cy="520132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gbm_confus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2013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852160" cy="234086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gbm_calibr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340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5. Verdict + what's next</w:t>
      </w:r>
    </w:p>
    <w:p>
      <w:r>
        <w:t>LGBM is the working pick. Remaining Phase 4 work: (a) if LGBM's confidence is piled at ~1.0, apply Platt / isotonic / temperature calibration and re-score; (b) shrink any tree model that is the pick and over-sized; (c) Track D — tune AugParams strength against the val split; (d) Track E — per-class confidence thresholds on the val split for the idle/unknown fallback. Then lock and write docs/phase4_baseline.md.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