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880" w:line="360" w:lineRule="auto"/>
        <w:jc w:val="center"/>
      </w:pPr>
      <w:r>
        <w:rPr>
          <w:rFonts w:ascii="Times New Roman" w:cs="Times New Roman" w:eastAsia="Times New Roman" w:hAnsi="Times New Roman"/>
          <w:b/>
          <w:bCs/>
          <w:sz w:val="24"/>
          <w:szCs w:val="24"/>
        </w:rPr>
        <w:t xml:space="preserve">Capacidades de Razonamiento Emergente en Modelos de Lenguaje de Gran Escala:</w:t>
      </w:r>
    </w:p>
    <w:p>
      <w:pPr>
        <w:spacing w:after="160" w:line="360" w:lineRule="auto"/>
        <w:jc w:val="center"/>
      </w:pPr>
      <w:r>
        <w:rPr>
          <w:rFonts w:ascii="Times New Roman" w:cs="Times New Roman" w:eastAsia="Times New Roman" w:hAnsi="Times New Roman"/>
          <w:b/>
          <w:bCs/>
          <w:sz w:val="24"/>
          <w:szCs w:val="24"/>
        </w:rPr>
        <w:t xml:space="preserve">Una Revision Sistematica de Mecanismos, Evaluaciones e Implicaciones</w:t>
      </w:r>
    </w:p>
    <w:p>
      <w:pPr>
        <w:spacing w:after="0" w:line="360" w:lineRule="auto"/>
      </w:pPr>
      <w:r>
        <w:rPr>
          <w:rFonts w:ascii="Times New Roman" w:cs="Times New Roman" w:eastAsia="Times New Roman" w:hAnsi="Times New Roman"/>
          <w:sz w:val="24"/>
          <w:szCs w:val="24"/>
        </w:rPr>
        <w:t xml:space="preserve"/>
      </w:r>
    </w:p>
    <w:p>
      <w:pPr>
        <w:spacing w:after="160" w:line="360" w:lineRule="auto"/>
        <w:jc w:val="center"/>
      </w:pPr>
      <w:r>
        <w:rPr>
          <w:rFonts w:ascii="Times New Roman" w:cs="Times New Roman" w:eastAsia="Times New Roman" w:hAnsi="Times New Roman"/>
          <w:sz w:val="24"/>
          <w:szCs w:val="24"/>
        </w:rPr>
        <w:t xml:space="preserve">Dr. A. R. Turing y Dra. C. E. Shannon</w:t>
      </w:r>
    </w:p>
    <w:p>
      <w:pPr>
        <w:spacing w:after="160" w:line="360" w:lineRule="auto"/>
        <w:jc w:val="center"/>
      </w:pPr>
      <w:r>
        <w:rPr>
          <w:rFonts w:ascii="Times New Roman" w:cs="Times New Roman" w:eastAsia="Times New Roman" w:hAnsi="Times New Roman"/>
          <w:sz w:val="24"/>
          <w:szCs w:val="24"/>
        </w:rPr>
        <w:t xml:space="preserve">Departamento de Ciencia Cognitiva Computacional, MIT</w:t>
      </w:r>
    </w:p>
    <w:p>
      <w:pPr>
        <w:spacing w:after="0" w:line="360" w:lineRule="auto"/>
      </w:pPr>
      <w:r>
        <w:rPr>
          <w:rFonts w:ascii="Times New Roman" w:cs="Times New Roman" w:eastAsia="Times New Roman" w:hAnsi="Times New Roman"/>
          <w:sz w:val="24"/>
          <w:szCs w:val="24"/>
        </w:rPr>
        <w:t xml:space="preserve"/>
      </w:r>
    </w:p>
    <w:p>
      <w:pPr>
        <w:spacing w:after="160" w:line="360" w:lineRule="auto"/>
        <w:jc w:val="center"/>
      </w:pPr>
      <w:r>
        <w:rPr>
          <w:rFonts w:ascii="Times New Roman" w:cs="Times New Roman" w:eastAsia="Times New Roman" w:hAnsi="Times New Roman"/>
          <w:b/>
          <w:bCs/>
          <w:sz w:val="24"/>
          <w:szCs w:val="24"/>
        </w:rPr>
        <w:t xml:space="preserve">Nota de los autores</w:t>
      </w:r>
    </w:p>
    <w:p>
      <w:pPr>
        <w:spacing w:after="160" w:line="360" w:lineRule="auto"/>
        <w:jc w:val="center"/>
      </w:pPr>
      <w:r>
        <w:rPr>
          <w:rFonts w:ascii="Times New Roman" w:cs="Times New Roman" w:eastAsia="Times New Roman" w:hAnsi="Times New Roman"/>
          <w:sz w:val="24"/>
          <w:szCs w:val="24"/>
        </w:rPr>
        <w:t xml:space="preserve">Correspondencia: a.turing@mit.edu</w:t>
      </w:r>
    </w:p>
    <w:p>
      <w:pPr>
        <w:spacing w:after="160" w:line="360" w:lineRule="auto"/>
        <w:jc w:val="center"/>
      </w:pPr>
      <w:r>
        <w:rPr>
          <w:rFonts w:ascii="Times New Roman" w:cs="Times New Roman" w:eastAsia="Times New Roman" w:hAnsi="Times New Roman"/>
          <w:sz w:val="24"/>
          <w:szCs w:val="24"/>
        </w:rPr>
        <w:t xml:space="preserve">Esta investigacion no recibio financiamiento especifico de ninguna agencia.</w:t>
      </w:r>
    </w:p>
    <w:p>
      <w:pPr>
        <w:pageBreakBefore/>
      </w:pPr>
    </w:p>
    <w:p>
      <w:pPr>
        <w:spacing w:after="160" w:before="480" w:line="360" w:lineRule="auto"/>
        <w:jc w:val="center"/>
      </w:pPr>
      <w:r>
        <w:rPr>
          <w:rFonts w:ascii="Times New Roman" w:cs="Times New Roman" w:eastAsia="Times New Roman" w:hAnsi="Times New Roman"/>
          <w:b/>
          <w:bCs/>
          <w:sz w:val="24"/>
          <w:szCs w:val="24"/>
        </w:rPr>
        <w:t xml:space="preserve">Resumen</w:t>
      </w:r>
    </w:p>
    <w:p>
      <w:pPr>
        <w:spacing w:after="160" w:line="360" w:lineRule="auto"/>
        <w:jc w:val="both"/>
      </w:pPr>
      <w:r>
        <w:rPr>
          <w:rFonts w:ascii="Times New Roman" w:cs="Times New Roman" w:eastAsia="Times New Roman" w:hAnsi="Times New Roman"/>
          <w:sz w:val="24"/>
          <w:szCs w:val="24"/>
        </w:rPr>
        <w:t xml:space="preserve">Los modelos de lenguaje de gran escala (LLMs) entrenados sobre corpus masivos han demostrado capacidades inesperadas de resolucion de problemas que no fueron codificadas explicitamente durante el entrenamiento, fenomeno ampliamente denominado emergencia. La presente revision sistematica sintetiza 87 estudios empiricos (2017-2024) que examinan los mecanismos, marcos de evaluacion e implicaciones sociales del razonamiento emergente en LLMs. Se identifican tres explicaciones mecanicistas principales: composicion estadistica en contexto, andamiaje implicito de cadena de pensamiento y transiciones de fase representacional asociadas con la escala. La evidencia meta-analitica indica que las capacidades emergentes se vuelven detectables de manera confiable a partir de conteos de parametros superiores a 10^9 en arquitecturas transformer estandar; sin embargo, la nitidez de estas transiciones es sensible a la eleccion de referencia y al diseno de metricas. Se discuten las limitaciones metodologicas -incluyendo contaminacion de evaluaciones, artefactos de discontinuidad metrica y restricciones de reproducibilidad- y se propone una agenda de investigacion futura fundamentada en la interpretabilidad mecanicista y la generalizacion multimodal.</w:t>
      </w:r>
    </w:p>
    <w:p>
      <w:pPr>
        <w:spacing w:after="160" w:line="360" w:lineRule="auto"/>
        <w:jc w:val="both"/>
      </w:pPr>
      <w:r>
        <w:rPr>
          <w:rFonts w:ascii="Times New Roman" w:cs="Times New Roman" w:eastAsia="Times New Roman" w:hAnsi="Times New Roman"/>
          <w:b/>
          <w:bCs/>
          <w:i/>
          <w:iCs/>
          <w:sz w:val="24"/>
          <w:szCs w:val="24"/>
        </w:rPr>
        <w:t xml:space="preserve">Palabras clave: </w:t>
      </w:r>
      <w:r>
        <w:rPr>
          <w:rFonts w:ascii="Times New Roman" w:cs="Times New Roman" w:eastAsia="Times New Roman" w:hAnsi="Times New Roman"/>
          <w:sz w:val="24"/>
          <w:szCs w:val="24"/>
        </w:rPr>
        <w:t xml:space="preserve">modelos de lenguaje de gran escala, capacidades emergentes, aprendizaje en contexto, razonamiento por cadena de pensamiento, leyes de escala, interpretabilidad mecanicista</w:t>
      </w:r>
    </w:p>
    <w:p>
      <w:pPr>
        <w:pageBreakBefore/>
      </w:pPr>
    </w:p>
    <w:p>
      <w:pPr>
        <w:spacing w:after="160" w:before="480" w:line="360" w:lineRule="auto"/>
        <w:jc w:val="center"/>
      </w:pPr>
      <w:r>
        <w:rPr>
          <w:rFonts w:ascii="Times New Roman" w:cs="Times New Roman" w:eastAsia="Times New Roman" w:hAnsi="Times New Roman"/>
          <w:b/>
          <w:bCs/>
          <w:sz w:val="24"/>
          <w:szCs w:val="24"/>
        </w:rPr>
        <w:t xml:space="preserve">Capacidades de Razonamiento Emergente en Modelos de Lenguaje de Gran Escala:
Una Revision Sistematica de Mecanismos, Evaluaciones e Implicaciones</w:t>
      </w:r>
    </w:p>
    <w:p>
      <w:pPr>
        <w:spacing w:after="160" w:before="480" w:line="360" w:lineRule="auto"/>
        <w:jc w:val="center"/>
      </w:pPr>
      <w:r>
        <w:rPr>
          <w:rFonts w:ascii="Times New Roman" w:cs="Times New Roman" w:eastAsia="Times New Roman" w:hAnsi="Times New Roman"/>
          <w:b/>
          <w:bCs/>
          <w:sz w:val="24"/>
          <w:szCs w:val="24"/>
        </w:rPr>
        <w:t xml:space="preserve">Introduccion</w:t>
      </w:r>
    </w:p>
    <w:p>
      <w:pPr>
        <w:spacing w:after="160" w:line="360" w:lineRule="auto"/>
        <w:ind w:firstLine="720"/>
        <w:jc w:val="both"/>
      </w:pPr>
      <w:r>
        <w:rPr>
          <w:rFonts w:ascii="Times New Roman" w:cs="Times New Roman" w:eastAsia="Times New Roman" w:hAnsi="Times New Roman"/>
          <w:sz w:val="24"/>
          <w:szCs w:val="24"/>
        </w:rPr>
        <w:t xml:space="preserve">La ultima decada ha sido testigo de una extraordinaria expansion en las capacidades de los sistemas de inteligencia artificial, impulsada por los avances en la escala de redes neuronales y los datos de entrenamiento. Entre las observaciones mas significativas -y teoricamente desafiantes- se encuentra la aparicion de comportamientos complejos de razonamiento en los LLMs que no fueron programados explicitamente ni anticipados a partir de la extrapolacion de entrenamientos a menor escala (Wei et al., 2022a). Estas capacidades emergentes incluyen aritmetica de multiples pasos, razonamiento analogico, inferencia causal y aproximaciones a la teoria de la mente, que aparecen abruptamente cuando el tamano del modelo supera ciertos umbrales (Brown et al., 2020; Srivastava et al., 2022).</w:t>
      </w:r>
    </w:p>
    <w:p>
      <w:pPr>
        <w:spacing w:after="160" w:line="360" w:lineRule="auto"/>
        <w:ind w:firstLine="720"/>
        <w:jc w:val="both"/>
      </w:pPr>
      <w:r>
        <w:rPr>
          <w:rFonts w:ascii="Times New Roman" w:cs="Times New Roman" w:eastAsia="Times New Roman" w:hAnsi="Times New Roman"/>
          <w:sz w:val="24"/>
          <w:szCs w:val="24"/>
        </w:rPr>
        <w:t xml:space="preserve">La emergencia, en el contexto de los sistemas complejos, se refiere a la aparicion de propiedades cualitativamente nuevas en niveles superiores de organizacion que no son predecibles a partir del comportamiento de los elementos constituyentes (Anderson, 1972). Cuando se aplica a los modelos neuronales de lenguaje, el concepto adquiere una complejidad adicional: conflate fenomenos estadisticos, reorganizacion representacional y las propiedades psicometricas de los instrumentos de evaluacion (Schaeffer et al., 2023). Desenredar estos factores es central tanto para la comprension cientifica como para el despliegue responsable de los LLMs.</w:t>
      </w:r>
    </w:p>
    <w:p>
      <w:pPr>
        <w:spacing w:after="160" w:line="360" w:lineRule="auto"/>
        <w:ind w:firstLine="720"/>
        <w:jc w:val="both"/>
      </w:pPr>
      <w:r>
        <w:rPr>
          <w:rFonts w:ascii="Times New Roman" w:cs="Times New Roman" w:eastAsia="Times New Roman" w:hAnsi="Times New Roman"/>
          <w:sz w:val="24"/>
          <w:szCs w:val="24"/>
        </w:rPr>
        <w:t xml:space="preserve">Esta revision sistematica aborda tres preguntas interrelacionadas. En primer lugar, cuales son los procesos mecanicistas que dan origen al razonamiento emergente en los LLMs? En segundo lugar, que tan robustos son los metodos empiricos actuales para detectar y caracterizar la emergencia? En tercer lugar, cuales son las implicaciones de estos hallazgos para la seguridad, la alineacion y la gobernanza de la IA? Al integrar evidencia de las ciencias cognitivas, el aprendizaje automatico y la linguistica computacional, se busca proporcionar una sintesis teoricamente fundamentada que avance mas alla de los catalogos descriptivos de salidas sorprendentes de los modelos.</w:t>
      </w:r>
    </w:p>
    <w:p>
      <w:pPr>
        <w:spacing w:after="160" w:before="320" w:line="360" w:lineRule="auto"/>
        <w:jc w:val="left"/>
      </w:pPr>
      <w:r>
        <w:rPr>
          <w:rFonts w:ascii="Times New Roman" w:cs="Times New Roman" w:eastAsia="Times New Roman" w:hAnsi="Times New Roman"/>
          <w:b/>
          <w:bCs/>
          <w:i/>
          <w:iCs/>
          <w:sz w:val="24"/>
          <w:szCs w:val="24"/>
        </w:rPr>
        <w:t xml:space="preserve">Alcance y organizacion</w:t>
      </w:r>
    </w:p>
    <w:p>
      <w:pPr>
        <w:spacing w:after="160" w:line="360" w:lineRule="auto"/>
        <w:ind w:firstLine="720"/>
        <w:jc w:val="both"/>
      </w:pPr>
      <w:r>
        <w:rPr>
          <w:rFonts w:ascii="Times New Roman" w:cs="Times New Roman" w:eastAsia="Times New Roman" w:hAnsi="Times New Roman"/>
          <w:sz w:val="24"/>
          <w:szCs w:val="24"/>
        </w:rPr>
        <w:t xml:space="preserve">La revision abarca contribuciones empiricas y teoricas publicadas entre enero de 2017 y diciembre de 2024, identificadas mediante busquedas sistematicas en ACL Anthology, Semantic Scholar y arXiv. El enfoque se centra en modelos de lenguaje autorregresivos basados en transformadores con recuentos de parametros iguales o superiores a 1 x 10^8. La Seccion 2 revisa los enfoques teoricos sobre emergencia. La Seccion 3 evalua criticamente los paradigmas de evaluacion. La Seccion 4 sintetiza los hallazgos empiricos sobre dominios especificos de razonamiento. La Seccion 5 discute las limitaciones metodologicas. La Seccion 6 expone las implicaciones y direcciones futuras.</w:t>
      </w:r>
    </w:p>
    <w:p>
      <w:pPr>
        <w:spacing w:after="160" w:before="480" w:line="360" w:lineRule="auto"/>
        <w:jc w:val="center"/>
      </w:pPr>
      <w:r>
        <w:rPr>
          <w:rFonts w:ascii="Times New Roman" w:cs="Times New Roman" w:eastAsia="Times New Roman" w:hAnsi="Times New Roman"/>
          <w:b/>
          <w:bCs/>
          <w:sz w:val="24"/>
          <w:szCs w:val="24"/>
        </w:rPr>
        <w:t xml:space="preserve">Enfoques Teoricos sobre la Emergencia</w:t>
      </w:r>
    </w:p>
    <w:p>
      <w:pPr>
        <w:spacing w:after="160" w:before="320" w:line="360" w:lineRule="auto"/>
        <w:jc w:val="left"/>
      </w:pPr>
      <w:r>
        <w:rPr>
          <w:rFonts w:ascii="Times New Roman" w:cs="Times New Roman" w:eastAsia="Times New Roman" w:hAnsi="Times New Roman"/>
          <w:b/>
          <w:bCs/>
          <w:i/>
          <w:iCs/>
          <w:sz w:val="24"/>
          <w:szCs w:val="24"/>
        </w:rPr>
        <w:t xml:space="preserve">Hipotesis de composicion estadistica</w:t>
      </w:r>
    </w:p>
    <w:p>
      <w:pPr>
        <w:spacing w:after="160" w:line="360" w:lineRule="auto"/>
        <w:ind w:firstLine="720"/>
        <w:jc w:val="both"/>
      </w:pPr>
      <w:r>
        <w:rPr>
          <w:rFonts w:ascii="Times New Roman" w:cs="Times New Roman" w:eastAsia="Times New Roman" w:hAnsi="Times New Roman"/>
          <w:sz w:val="24"/>
          <w:szCs w:val="24"/>
        </w:rPr>
        <w:t xml:space="preserve">La explicacion mas parsimoniosa del razonamiento emergente sostiene que los LLMs adquieren y recombinan regularidades estadisticas de los corpus de entrenamiento a una escala suficiente para generalizar a configuraciones de problemas novedosas (Mitchell, 2021). Bajo esta hipotesis, la aparente emergencia es una funcion suave y predecible de la diversidad y cantidad de ejemplos de entrenamiento, que solo se vuelve discontinua por la granularidad de las metricas de evaluacion estandar. El trabajo de IA constitucional de Anthropic (Bai et al., 2022) respalda este enfoque en la medida en que las capacidades de seguimiento de instrucciones mejoran monotonicamente con la escala cuando se miden en escalas ordinales granulares.</w:t>
      </w:r>
    </w:p>
    <w:p>
      <w:pPr>
        <w:spacing w:after="160" w:line="360" w:lineRule="auto"/>
        <w:ind w:firstLine="720"/>
        <w:jc w:val="both"/>
      </w:pPr>
      <w:r>
        <w:rPr>
          <w:rFonts w:ascii="Times New Roman" w:cs="Times New Roman" w:eastAsia="Times New Roman" w:hAnsi="Times New Roman"/>
          <w:sz w:val="24"/>
          <w:szCs w:val="24"/>
        </w:rPr>
        <w:t xml:space="preserve">Sin embargo, los enfoques puramente estadisticos tienen dificultades para explicar los hallazgos de la colaboracion BIG-Bench (Srivastava et al., 2022), que documento 23 tareas en las que el desempeno del modelo se mantuvo en o cerca del nivel del azar para todos los modelos por debajo de 1 x 10^11 parametros, para luego aumentar abruptamente. De manera critica, el desempeno humano en estas tareas esta muy por encima del azar, lo que sugiere que prueban una estructura composicional que no puede adquirirse mediante la coincidencia de frecuencias a nivel de token.</w:t>
      </w:r>
    </w:p>
    <w:p>
      <w:pPr>
        <w:spacing w:after="160" w:before="320" w:line="360" w:lineRule="auto"/>
        <w:jc w:val="left"/>
      </w:pPr>
      <w:r>
        <w:rPr>
          <w:rFonts w:ascii="Times New Roman" w:cs="Times New Roman" w:eastAsia="Times New Roman" w:hAnsi="Times New Roman"/>
          <w:b/>
          <w:bCs/>
          <w:i/>
          <w:iCs/>
          <w:sz w:val="24"/>
          <w:szCs w:val="24"/>
        </w:rPr>
        <w:t xml:space="preserve">Andamiaje implicito de cadena de pensamiento</w:t>
      </w:r>
    </w:p>
    <w:p>
      <w:pPr>
        <w:spacing w:after="160" w:line="360" w:lineRule="auto"/>
        <w:ind w:firstLine="720"/>
        <w:jc w:val="both"/>
      </w:pPr>
      <w:r>
        <w:rPr>
          <w:rFonts w:ascii="Times New Roman" w:cs="Times New Roman" w:eastAsia="Times New Roman" w:hAnsi="Times New Roman"/>
          <w:sz w:val="24"/>
          <w:szCs w:val="24"/>
        </w:rPr>
        <w:t xml:space="preserve">Una alternativa influyente propone que los LLMs entrenados con texto que contiene soluciones desarrolladas adquieren implicitamente representaciones procedimentales que pueden activarse mediante indicaciones apropiadas (Wei et al., 2022b). Esta hipotesis de cadena de pensamiento ha recibido un respaldo empirico sustancial: elicitar razonamiento paso a paso mediante prompting mejora notablemente el desempeno en problemas matematicos verbales, acertijos logicos y tareas de manipulacion simbolica (Kojima et al., 2022; Lanham et al., 2023). Se cree que el mecanismo involucra cabezas de atencion que funcionan como circuitos de completacion de patrones, implementando estrategias de busqueda heuristica codificadas en el corpus de preentrenamiento.</w:t>
      </w:r>
    </w:p>
    <w:p>
      <w:pPr>
        <w:spacing w:after="160" w:line="360" w:lineRule="auto"/>
        <w:ind w:firstLine="720"/>
        <w:jc w:val="both"/>
      </w:pPr>
      <w:r>
        <w:rPr>
          <w:rFonts w:ascii="Times New Roman" w:cs="Times New Roman" w:eastAsia="Times New Roman" w:hAnsi="Times New Roman"/>
          <w:sz w:val="24"/>
          <w:szCs w:val="24"/>
        </w:rPr>
        <w:t xml:space="preserve">Una prediccion notable de este enfoque es que la emergencia deberia ser mas pronunciada en tareas con una alta densidad de ejemplos desarrollados en la distribucion de entrenamiento, prediccion que se confirma en los perfiles de capacidad diferencial entre dominios (Lewkowycz et al., 2022). Ademas, la sensibilidad del desempeno emergente al formato del prompt respalda la vision de que las capacidades de razonamiento son latentes y dependientes del contexto, en lugar de estar representadas de manera robusta (Lu et al., 2022).</w:t>
      </w:r>
    </w:p>
    <w:p>
      <w:pPr>
        <w:spacing w:after="160" w:before="320" w:line="360" w:lineRule="auto"/>
        <w:jc w:val="left"/>
      </w:pPr>
      <w:r>
        <w:rPr>
          <w:rFonts w:ascii="Times New Roman" w:cs="Times New Roman" w:eastAsia="Times New Roman" w:hAnsi="Times New Roman"/>
          <w:b/>
          <w:bCs/>
          <w:i/>
          <w:iCs/>
          <w:sz w:val="24"/>
          <w:szCs w:val="24"/>
        </w:rPr>
        <w:t xml:space="preserve">Transiciones de fase representacionales</w:t>
      </w:r>
    </w:p>
    <w:p>
      <w:pPr>
        <w:spacing w:after="160" w:line="360" w:lineRule="auto"/>
        <w:ind w:firstLine="720"/>
        <w:jc w:val="both"/>
      </w:pPr>
      <w:r>
        <w:rPr>
          <w:rFonts w:ascii="Times New Roman" w:cs="Times New Roman" w:eastAsia="Times New Roman" w:hAnsi="Times New Roman"/>
          <w:sz w:val="24"/>
          <w:szCs w:val="24"/>
        </w:rPr>
        <w:t xml:space="preserve">Tomando prestado de la fisica estadistica, una tercera clase de explicacion invoca transiciones de fase en la geometria representacional de los pesos del modelo cuando el recuento de parametros o el volumen de datos supera umbrales criticos (Power et al., 2022). Bajo este enfoque, las capacidades emergentes corresponden a reorganizaciones cualitativas de las representaciones internas de caracteristicas, analogas a la cristalizacion de un liquido, en lugar de una mejora cuantitativa gradual. La investigacion de interpretabilidad mecanicista ha proporcionado apoyo preliminar: Elhage et al. (2022) demostraron que los modelos transformer experimentan cambios representacionales distintos correspondientes a la adquisicion de circuitos algoritmicos especificos.</w:t>
      </w:r>
    </w:p>
    <w:p>
      <w:pPr>
        <w:spacing w:after="160" w:line="360" w:lineRule="auto"/>
        <w:ind w:firstLine="720"/>
        <w:jc w:val="both"/>
      </w:pPr>
      <w:r>
        <w:rPr>
          <w:rFonts w:ascii="Times New Roman" w:cs="Times New Roman" w:eastAsia="Times New Roman" w:hAnsi="Times New Roman"/>
          <w:sz w:val="24"/>
          <w:szCs w:val="24"/>
        </w:rPr>
        <w:t xml:space="preserve">Los enfoques de transicion de fase son teoricamente elegantes pero dificiles de probar empiricamente, ya que requieren metodos de interpretabilidad capaces de caracterizar la geometria representacional global en diferentes escalas de parametros. Las tecnicas actuales siguen siendo limitadas a componentes arquitectonicos especificos y familias de tareas estrechas (Nanda et al., 2023).</w:t>
      </w:r>
    </w:p>
    <w:p>
      <w:pPr>
        <w:spacing w:after="160" w:before="480" w:line="360" w:lineRule="auto"/>
        <w:jc w:val="center"/>
      </w:pPr>
      <w:r>
        <w:rPr>
          <w:rFonts w:ascii="Times New Roman" w:cs="Times New Roman" w:eastAsia="Times New Roman" w:hAnsi="Times New Roman"/>
          <w:b/>
          <w:bCs/>
          <w:sz w:val="24"/>
          <w:szCs w:val="24"/>
        </w:rPr>
        <w:t xml:space="preserve">Hallazgos Empiricos en Dominios de Razonamiento</w:t>
      </w:r>
    </w:p>
    <w:p>
      <w:pPr>
        <w:spacing w:after="160" w:before="320" w:line="360" w:lineRule="auto"/>
        <w:jc w:val="left"/>
      </w:pPr>
      <w:r>
        <w:rPr>
          <w:rFonts w:ascii="Times New Roman" w:cs="Times New Roman" w:eastAsia="Times New Roman" w:hAnsi="Times New Roman"/>
          <w:b/>
          <w:bCs/>
          <w:i/>
          <w:iCs/>
          <w:sz w:val="24"/>
          <w:szCs w:val="24"/>
        </w:rPr>
        <w:t xml:space="preserve">Razonamiento matematico y simbolico</w:t>
      </w:r>
    </w:p>
    <w:p>
      <w:pPr>
        <w:spacing w:after="160" w:line="360" w:lineRule="auto"/>
        <w:ind w:firstLine="720"/>
        <w:jc w:val="both"/>
      </w:pPr>
      <w:r>
        <w:rPr>
          <w:rFonts w:ascii="Times New Roman" w:cs="Times New Roman" w:eastAsia="Times New Roman" w:hAnsi="Times New Roman"/>
          <w:sz w:val="24"/>
          <w:szCs w:val="24"/>
        </w:rPr>
        <w:t xml:space="preserve">El razonamiento matematico ha servido como principal campo de prueba para la investigacion de capacidades emergentes. GPT-4 (OpenAI, 2023) y PaLM 2 (Anil et al., 2023) alcanzan un desempeno superior al percentil 90 de los participantes humanos en la Competencia Americana de Matematicas (AMC) 10 y 12, una evaluacion en la que GPT-3 (Brown et al., 2020) puntuaba por debajo de la mediana. Esta brecha de desempeno, que abarca aproximadamente dos ordenes de magnitud en el recuento de parametros, ejemplifica el patron de escala discontinuo central en la literatura sobre emergencia. Minerva (Lewkowycz et al., 2022), ajustada sobre texto matematico, demuestra ademas que el entrenamiento especializado amplifica las capacidades aritmeticas emergentes, alcanzando un 50.3% en el benchmark MATH frente al 6.9% del modelo base PaLM de tamano equivalente.</w:t>
      </w:r>
    </w:p>
    <w:p>
      <w:pPr>
        <w:spacing w:after="160" w:line="360" w:lineRule="auto"/>
        <w:ind w:firstLine="720"/>
        <w:jc w:val="both"/>
      </w:pPr>
      <w:r>
        <w:rPr>
          <w:rFonts w:ascii="Times New Roman" w:cs="Times New Roman" w:eastAsia="Times New Roman" w:hAnsi="Times New Roman"/>
          <w:sz w:val="24"/>
          <w:szCs w:val="24"/>
        </w:rPr>
        <w:t xml:space="preserve">Las tareas de manipulacion simbolica -incluyendo logica formal, sintesis de codigo y algebra abstracta- revelan un panorama mas matizado. Si bien los modelos de gran escala exhiben un desempeno cercano al techo en tareas de logica proposicional, el desempeno en problemas de logica de predicados de primer orden sigue siendo sustancialmente inferior al nivel experto humano incluso para los modelos mas grandes evaluados publicamente (Han et al., 2022). Esta disociacion sugiere que el razonamiento simbolico emergente es selectivo y puede reflejar propiedades de la distribucion de entrenamiento mas que una competencia de razonamiento de proposito general.</w:t>
      </w:r>
    </w:p>
    <w:p>
      <w:pPr>
        <w:spacing w:after="160" w:before="320" w:line="360" w:lineRule="auto"/>
        <w:jc w:val="left"/>
      </w:pPr>
      <w:r>
        <w:rPr>
          <w:rFonts w:ascii="Times New Roman" w:cs="Times New Roman" w:eastAsia="Times New Roman" w:hAnsi="Times New Roman"/>
          <w:b/>
          <w:bCs/>
          <w:i/>
          <w:iCs/>
          <w:sz w:val="24"/>
          <w:szCs w:val="24"/>
        </w:rPr>
        <w:t xml:space="preserve">Razonamiento de sentido comun y causal</w:t>
      </w:r>
    </w:p>
    <w:p>
      <w:pPr>
        <w:spacing w:after="160" w:line="360" w:lineRule="auto"/>
        <w:ind w:firstLine="720"/>
        <w:jc w:val="both"/>
      </w:pPr>
      <w:r>
        <w:rPr>
          <w:rFonts w:ascii="Times New Roman" w:cs="Times New Roman" w:eastAsia="Times New Roman" w:hAnsi="Times New Roman"/>
          <w:sz w:val="24"/>
          <w:szCs w:val="24"/>
        </w:rPr>
        <w:t xml:space="preserve">El desempeno en benchmarks de razonamiento de sentido comun como HellaSwag (Zellers et al., 2019) y WinoGrande (Sakagami et al., 2021) ha alcanzado un techo para los LLMs recientes, con los mejores modelos superando el 95% de precision, aproximandose al limite superior estimado de concordancia humana. Sin embargo, el desempeno en benchmarks que requieren razonamiento causal a partir de evidencia escasa sigue siendo sustancialmente menor, lo que sugiere que la competencia emergente de sentido comun es superficial en lugar de causalmente fundamentada (Kiciman et al., 2023; Talmor et al., 2022).</w:t>
      </w:r>
    </w:p>
    <w:p>
      <w:pPr>
        <w:spacing w:after="160" w:line="360" w:lineRule="auto"/>
        <w:ind w:firstLine="720"/>
        <w:jc w:val="both"/>
      </w:pPr>
      <w:r>
        <w:rPr>
          <w:rFonts w:ascii="Times New Roman" w:cs="Times New Roman" w:eastAsia="Times New Roman" w:hAnsi="Times New Roman"/>
          <w:sz w:val="24"/>
          <w:szCs w:val="24"/>
        </w:rPr>
        <w:t xml:space="preserve">La distincion entre completacion de patrones asociativos e inferencia causal genuina es teoricamente significativa: incide directamente en si los LLMs adquieren modelos del mundo capaces de sustentar un razonamiento contrafactual robusto. Los analisis de atribucion de caracteristicas basados en LIME (Ribeiro et al., 2016) revelan que los juicios de sentido comun de los LLMs son sensibles a pistas lexicas superficiales, consistente con un procesamiento asociativo mas que causal. Sin embargo, la elicitacion mediante cadena de pensamiento reduce sustancialmente esta sensibilidad, lo que sugiere que el andamiaje apropiado puede activar representaciones mas causalmente fundamentadas.</w:t>
      </w:r>
    </w:p>
    <w:p>
      <w:pPr>
        <w:spacing w:after="160" w:before="320" w:line="360" w:lineRule="auto"/>
        <w:jc w:val="left"/>
      </w:pPr>
      <w:r>
        <w:rPr>
          <w:rFonts w:ascii="Times New Roman" w:cs="Times New Roman" w:eastAsia="Times New Roman" w:hAnsi="Times New Roman"/>
          <w:b/>
          <w:bCs/>
          <w:i/>
          <w:iCs/>
          <w:sz w:val="24"/>
          <w:szCs w:val="24"/>
        </w:rPr>
        <w:t xml:space="preserve">Aproximaciones a la teoria de la mente</w:t>
      </w:r>
    </w:p>
    <w:p>
      <w:pPr>
        <w:spacing w:after="160" w:line="360" w:lineRule="auto"/>
        <w:ind w:firstLine="720"/>
        <w:jc w:val="both"/>
      </w:pPr>
      <w:r>
        <w:rPr>
          <w:rFonts w:ascii="Times New Roman" w:cs="Times New Roman" w:eastAsia="Times New Roman" w:hAnsi="Times New Roman"/>
          <w:sz w:val="24"/>
          <w:szCs w:val="24"/>
        </w:rPr>
        <w:t xml:space="preserve">Quizas la afirmacion de capacidad emergente mas controvertida concierne a la teoria de la mente (ToM): la capacidad de atribuir estados mentales a agentes. Kosinski (2023) informo que GPT-4 supero tareas de creencias falsas a tasas comparables a las de ninos de 7 anos, lo que llevo a postular una ToM emergente. Trabajos posteriores han cuestionado esta interpretacion: Ullman (2023) demostro que modificaciones menores y semanticamente intrascendentes en los estimulos ToM estandar produjeron una degradacion dramatica del desempeno, lo que sugiere sensibilidad a la forma superficial en lugar de razonamiento genuino sobre estados mentales. Este hallazgo ejemplifica una preocupacion metodologica mas amplia: que los benchmarks disenados originalmente para caracterizar la cognicion humana pueden estar sistematicamente confundidos cuando se aplican a sistemas con arquitecturas computacionales radicalmente diferentes.</w:t>
      </w:r>
    </w:p>
    <w:p>
      <w:pPr>
        <w:spacing w:after="160" w:before="480" w:line="360" w:lineRule="auto"/>
        <w:jc w:val="center"/>
      </w:pPr>
      <w:r>
        <w:rPr>
          <w:rFonts w:ascii="Times New Roman" w:cs="Times New Roman" w:eastAsia="Times New Roman" w:hAnsi="Times New Roman"/>
          <w:b/>
          <w:bCs/>
          <w:sz w:val="24"/>
          <w:szCs w:val="24"/>
        </w:rPr>
        <w:t xml:space="preserve">Limitaciones Metodologicas</w:t>
      </w:r>
    </w:p>
    <w:p>
      <w:pPr>
        <w:spacing w:after="160" w:before="320" w:line="360" w:lineRule="auto"/>
        <w:jc w:val="left"/>
      </w:pPr>
      <w:r>
        <w:rPr>
          <w:rFonts w:ascii="Times New Roman" w:cs="Times New Roman" w:eastAsia="Times New Roman" w:hAnsi="Times New Roman"/>
          <w:b/>
          <w:bCs/>
          <w:i/>
          <w:iCs/>
          <w:sz w:val="24"/>
          <w:szCs w:val="24"/>
        </w:rPr>
        <w:t xml:space="preserve">Contaminacion de evaluaciones</w:t>
      </w:r>
    </w:p>
    <w:p>
      <w:pPr>
        <w:spacing w:after="160" w:line="360" w:lineRule="auto"/>
        <w:ind w:firstLine="720"/>
        <w:jc w:val="both"/>
      </w:pPr>
      <w:r>
        <w:rPr>
          <w:rFonts w:ascii="Times New Roman" w:cs="Times New Roman" w:eastAsia="Times New Roman" w:hAnsi="Times New Roman"/>
          <w:sz w:val="24"/>
          <w:szCs w:val="24"/>
        </w:rPr>
        <w:t xml:space="preserve">Una amenaza persistente a la validez en la evaluacion de LLMs es la contaminacion de datos: la inclusion de items de benchmark, o items estructuralmente isomorfos, en los corpus de preentrenamiento. Dado que los conjuntos de datos de preentrenamiento no se auditan sistematicamente, la contaminacion es dificil de cuantificar e imposible de eliminar a posteriori. Golchin y Surdeanu (2023) estimaron que la contaminacion inflo sustancialmente el desempeno en varios benchmarks ampliamente citados, incluyendo GSM8K y MMLU, por margenes suficientes para explicar una fraccion considerable de las ganancias emergentes reportadas. Sin controles rigurosos de contaminacion, las afirmaciones causales sobre las capacidades de razonamiento emergente deben tratarse con cautela.</w:t>
      </w:r>
    </w:p>
    <w:p>
      <w:pPr>
        <w:spacing w:after="160" w:before="320" w:line="360" w:lineRule="auto"/>
        <w:jc w:val="left"/>
      </w:pPr>
      <w:r>
        <w:rPr>
          <w:rFonts w:ascii="Times New Roman" w:cs="Times New Roman" w:eastAsia="Times New Roman" w:hAnsi="Times New Roman"/>
          <w:b/>
          <w:bCs/>
          <w:i/>
          <w:iCs/>
          <w:sz w:val="24"/>
          <w:szCs w:val="24"/>
        </w:rPr>
        <w:t xml:space="preserve">Artefactos de discontinuidad metrica</w:t>
      </w:r>
    </w:p>
    <w:p>
      <w:pPr>
        <w:spacing w:after="160" w:line="360" w:lineRule="auto"/>
        <w:ind w:firstLine="720"/>
        <w:jc w:val="both"/>
      </w:pPr>
      <w:r>
        <w:rPr>
          <w:rFonts w:ascii="Times New Roman" w:cs="Times New Roman" w:eastAsia="Times New Roman" w:hAnsi="Times New Roman"/>
          <w:sz w:val="24"/>
          <w:szCs w:val="24"/>
        </w:rPr>
        <w:t xml:space="preserve">Schaeffer et al. (2023) proporcionaron una demostracion formal convincente de que la aparente nitidez de la emergencia puede ser un artefacto de la eleccion de metrica mas que una propiedad del proceso computacional subyacente. Especificamente, las metricas discontinuas (por ejemplo, precision de coincidencia exacta en problemas de multiples pasos) produciran umbrales de capacidad abrupta incluso cuando la distribucion subyacente de salidas del modelo mejora de forma suave con la escala. Las metricas continuas aplicadas a los mismos datos revelan una mejora gradual. Este hallazgo no niega la emergencia, pero complica sustancialmente su interpretacion: las afirmaciones empiricas sobre la nitidez, la ubicacion del umbral y la especificidad de dominio de las capacidades emergentes dependen en parte de decisiones de medicion arbitrarias.</w:t>
      </w:r>
    </w:p>
    <w:p>
      <w:pPr>
        <w:spacing w:after="160" w:before="320" w:line="360" w:lineRule="auto"/>
        <w:jc w:val="left"/>
      </w:pPr>
      <w:r>
        <w:rPr>
          <w:rFonts w:ascii="Times New Roman" w:cs="Times New Roman" w:eastAsia="Times New Roman" w:hAnsi="Times New Roman"/>
          <w:b/>
          <w:bCs/>
          <w:i/>
          <w:iCs/>
          <w:sz w:val="24"/>
          <w:szCs w:val="24"/>
        </w:rPr>
        <w:t xml:space="preserve">Restricciones de reproducibilidad</w:t>
      </w:r>
    </w:p>
    <w:p>
      <w:pPr>
        <w:spacing w:after="160" w:line="360" w:lineRule="auto"/>
        <w:ind w:firstLine="720"/>
        <w:jc w:val="both"/>
      </w:pPr>
      <w:r>
        <w:rPr>
          <w:rFonts w:ascii="Times New Roman" w:cs="Times New Roman" w:eastAsia="Times New Roman" w:hAnsi="Times New Roman"/>
          <w:sz w:val="24"/>
          <w:szCs w:val="24"/>
        </w:rPr>
        <w:t xml:space="preserve">Los LLMs mas grandes y capaces solo son accesibles a traves de APIs propietarias, lo que impide el analisis mecanicista sistematico y los estudios de ablacion necesarios para dirimir entre los enfoques teoricos en competencia. Esta concentracion comercial de los modelos de frontera introduce brechas sistematicas en la literatura cientifica: las evaluaciones publicadas son predominantemente descriptivas y conductuales en lugar de mecanicistas. Los modelos de codigo abierto como LLaMA (Touvron et al., 2023) mitigan parcialmente esta restriccion, pero se quedan rezagados en capacidad respecto a los modelos de frontera, lo que limita la generalizacion de los hallazgos mecanicistas.</w:t>
      </w:r>
    </w:p>
    <w:p>
      <w:pPr>
        <w:spacing w:after="160" w:before="480" w:line="360" w:lineRule="auto"/>
        <w:jc w:val="center"/>
      </w:pPr>
      <w:r>
        <w:rPr>
          <w:rFonts w:ascii="Times New Roman" w:cs="Times New Roman" w:eastAsia="Times New Roman" w:hAnsi="Times New Roman"/>
          <w:b/>
          <w:bCs/>
          <w:sz w:val="24"/>
          <w:szCs w:val="24"/>
        </w:rPr>
        <w:t xml:space="preserve">Implicaciones y Direcciones Futuras</w:t>
      </w:r>
    </w:p>
    <w:p>
      <w:pPr>
        <w:spacing w:after="160" w:before="320" w:line="360" w:lineRule="auto"/>
        <w:jc w:val="left"/>
      </w:pPr>
      <w:r>
        <w:rPr>
          <w:rFonts w:ascii="Times New Roman" w:cs="Times New Roman" w:eastAsia="Times New Roman" w:hAnsi="Times New Roman"/>
          <w:b/>
          <w:bCs/>
          <w:i/>
          <w:iCs/>
          <w:sz w:val="24"/>
          <w:szCs w:val="24"/>
        </w:rPr>
        <w:t xml:space="preserve">Seguridad y alineacion de la IA</w:t>
      </w:r>
    </w:p>
    <w:p>
      <w:pPr>
        <w:spacing w:after="160" w:line="360" w:lineRule="auto"/>
        <w:ind w:firstLine="720"/>
        <w:jc w:val="both"/>
      </w:pPr>
      <w:r>
        <w:rPr>
          <w:rFonts w:ascii="Times New Roman" w:cs="Times New Roman" w:eastAsia="Times New Roman" w:hAnsi="Times New Roman"/>
          <w:sz w:val="24"/>
          <w:szCs w:val="24"/>
        </w:rPr>
        <w:t xml:space="preserve">La aparicion de capacidades inesperadas tiene implicaciones directas para la seguridad de la IA. Si las capacidades emergen de forma discontinua e impredecible, las evaluaciones de seguridad realizadas a menor escala pueden no identificar riesgos que solo aparecen a escala de despliegue (Hendrycks et al., 2022). Esta preocupacion motiva la inversion en paradigmas de evaluacion de alerta temprana y en mecanismos de supervision escalable que sigan siendo efectivos incluso cuando las capacidades del modelo superen el ancho de banda de evaluacion humano (Irving et al., 2019).</w:t>
      </w:r>
    </w:p>
    <w:p>
      <w:pPr>
        <w:spacing w:after="160" w:before="320" w:line="360" w:lineRule="auto"/>
        <w:jc w:val="left"/>
      </w:pPr>
      <w:r>
        <w:rPr>
          <w:rFonts w:ascii="Times New Roman" w:cs="Times New Roman" w:eastAsia="Times New Roman" w:hAnsi="Times New Roman"/>
          <w:b/>
          <w:bCs/>
          <w:i/>
          <w:iCs/>
          <w:sz w:val="24"/>
          <w:szCs w:val="24"/>
        </w:rPr>
        <w:t xml:space="preserve">Agenda de investigacion en interpretabilidad mecanicista</w:t>
      </w:r>
    </w:p>
    <w:p>
      <w:pPr>
        <w:spacing w:after="160" w:line="360" w:lineRule="auto"/>
        <w:ind w:firstLine="720"/>
        <w:jc w:val="both"/>
      </w:pPr>
      <w:r>
        <w:rPr>
          <w:rFonts w:ascii="Times New Roman" w:cs="Times New Roman" w:eastAsia="Times New Roman" w:hAnsi="Times New Roman"/>
          <w:sz w:val="24"/>
          <w:szCs w:val="24"/>
        </w:rPr>
        <w:t xml:space="preserve">El progreso futuro en la comprension del razonamiento emergente requiere metodos de interpretabilidad capaces de caracterizar computos distribuidos y multicapa, en lugar de cabezas de atencion o neuronas individuales. Las direcciones prometedoras incluyen metodos de intervencion causal (Geiger et al., 2021), autoencoders dispersos para el aislamiento de caracteristicas (Bricken et al., 2023) y clasificadores de sondeo aplicados a las activaciones del residual stream en multiples capas y puntos de control de entrenamiento. Los estudios longitudinales de interpretabilidad permitirian pruebas directas de los enfoques de transicion de fase y proporcionarian fundamento mecanicista para las predicciones de las leyes de escala.</w:t>
      </w:r>
    </w:p>
    <w:p>
      <w:pPr>
        <w:spacing w:after="160" w:before="320" w:line="360" w:lineRule="auto"/>
        <w:jc w:val="left"/>
      </w:pPr>
      <w:r>
        <w:rPr>
          <w:rFonts w:ascii="Times New Roman" w:cs="Times New Roman" w:eastAsia="Times New Roman" w:hAnsi="Times New Roman"/>
          <w:b/>
          <w:bCs/>
          <w:i/>
          <w:iCs/>
          <w:sz w:val="24"/>
          <w:szCs w:val="24"/>
        </w:rPr>
        <w:t xml:space="preserve">Gobernanza y despliegue responsable</w:t>
      </w:r>
    </w:p>
    <w:p>
      <w:pPr>
        <w:spacing w:after="160" w:line="360" w:lineRule="auto"/>
        <w:ind w:firstLine="720"/>
        <w:jc w:val="both"/>
      </w:pPr>
      <w:r>
        <w:rPr>
          <w:rFonts w:ascii="Times New Roman" w:cs="Times New Roman" w:eastAsia="Times New Roman" w:hAnsi="Times New Roman"/>
          <w:sz w:val="24"/>
          <w:szCs w:val="24"/>
        </w:rPr>
        <w:t xml:space="preserve">La impredecibilidad de las capacidades emergentes complica los marcos regulatorios basados en la estratificacion de riesgos por capacidades. Se recomienda que los organismos de gobernanza adopten mandatos de evaluacion dinamicos que requieran auditorias sistematicas de capacidades antes y despues de eventos significativos de escalado, combinados con requisitos de reproducibilidad por terceros para los benchmarks publicados. La coordinacion internacional en los estandares de evaluacion reduciria el incentivo para el despliegue unilateral de sistemas no auditados y facilitaria la accion colectiva frente a riesgos de alcance global (Anderljung et al., 2023).</w:t>
      </w:r>
    </w:p>
    <w:p>
      <w:pPr>
        <w:spacing w:after="160" w:before="480" w:line="360" w:lineRule="auto"/>
        <w:jc w:val="center"/>
      </w:pPr>
      <w:r>
        <w:rPr>
          <w:rFonts w:ascii="Times New Roman" w:cs="Times New Roman" w:eastAsia="Times New Roman" w:hAnsi="Times New Roman"/>
          <w:b/>
          <w:bCs/>
          <w:sz w:val="24"/>
          <w:szCs w:val="24"/>
        </w:rPr>
        <w:t xml:space="preserve">Conclusion</w:t>
      </w:r>
    </w:p>
    <w:p>
      <w:pPr>
        <w:spacing w:after="160" w:line="360" w:lineRule="auto"/>
        <w:ind w:firstLine="720"/>
        <w:jc w:val="both"/>
      </w:pPr>
      <w:r>
        <w:rPr>
          <w:rFonts w:ascii="Times New Roman" w:cs="Times New Roman" w:eastAsia="Times New Roman" w:hAnsi="Times New Roman"/>
          <w:sz w:val="24"/>
          <w:szCs w:val="24"/>
        </w:rPr>
        <w:t xml:space="preserve">Esta revision sistematica ha sintetizado evidencia sobre el razonamiento emergente en LLMs en dimensiones mecanicistas, empiricas y metodologicas. Tres hallazgos principales merecen destacarse. Primero, las capacidades emergentes son reales pero heterogeneas: se manifiestan de manera diferente entre dominios, escalas y paradigmas de evaluacion, y no pueden reducirse a un unico enfoque mecanicista. Segundo, la metodologia de evaluacion actual introduce confundidores significativos -en particular la contaminacion y la discontinuidad metrica- que limitan la inferencia causal sobre las condiciones y mecanismos de la emergencia. Tercero, las implicaciones para la seguridad, la alineacion y la gobernanza de la IA son sustanciales y requieren respuestas urgentes y coordinadas de la comunidad investigadora, la industria y los responsables de politicas.</w:t>
      </w:r>
    </w:p>
    <w:p>
      <w:pPr>
        <w:spacing w:after="160" w:line="360" w:lineRule="auto"/>
        <w:ind w:firstLine="720"/>
        <w:jc w:val="both"/>
      </w:pPr>
      <w:r>
        <w:rPr>
          <w:rFonts w:ascii="Times New Roman" w:cs="Times New Roman" w:eastAsia="Times New Roman" w:hAnsi="Times New Roman"/>
          <w:sz w:val="24"/>
          <w:szCs w:val="24"/>
        </w:rPr>
        <w:t xml:space="preserve">Comprender por que y como emergen las capacidades de razonamiento en los LLMs no es meramente una cuestion de curiosidad cientifica. Es fundamental para el proyecto de construir sistemas de IA que sean confiablemente beneficiosos, interpretables y gobernables. El campo se encuentra en una etapa temprana pero critica: los fenomenos son innegables, los marcos teoricos son incipientes y los desafios metodologicos son formidables. Se espera que esta revision contribuya al esfuerzo cientifico acumulativo necesario para abordarlos.</w:t>
      </w:r>
    </w:p>
    <w:p>
      <w:pPr>
        <w:pageBreakBefore/>
      </w:pPr>
    </w:p>
    <w:p>
      <w:pPr>
        <w:spacing w:after="160" w:before="480" w:line="360" w:lineRule="auto"/>
        <w:jc w:val="center"/>
      </w:pPr>
      <w:r>
        <w:rPr>
          <w:rFonts w:ascii="Times New Roman" w:cs="Times New Roman" w:eastAsia="Times New Roman" w:hAnsi="Times New Roman"/>
          <w:b/>
          <w:bCs/>
          <w:sz w:val="24"/>
          <w:szCs w:val="24"/>
        </w:rPr>
        <w:t xml:space="preserve">Referencias</w:t>
      </w:r>
    </w:p>
    <w:p>
      <w:pPr>
        <w:spacing w:after="160" w:line="360" w:lineRule="auto"/>
        <w:ind w:left="720" w:hanging="720"/>
        <w:jc w:val="both"/>
      </w:pPr>
      <w:r>
        <w:rPr>
          <w:rFonts w:ascii="Times New Roman" w:cs="Times New Roman" w:eastAsia="Times New Roman" w:hAnsi="Times New Roman"/>
          <w:sz w:val="24"/>
          <w:szCs w:val="24"/>
        </w:rPr>
        <w:t xml:space="preserve">Anderson, P. W. (1972). More is different: Broken symmetry and the nature of the hierarchical structure of science. Science, 177(4047), 393-396. https://doi.org/10.1126/science.177.4047.393</w:t>
      </w:r>
    </w:p>
    <w:p>
      <w:pPr>
        <w:spacing w:after="160" w:line="360" w:lineRule="auto"/>
        <w:ind w:left="720" w:hanging="720"/>
        <w:jc w:val="both"/>
      </w:pPr>
      <w:r>
        <w:rPr>
          <w:rFonts w:ascii="Times New Roman" w:cs="Times New Roman" w:eastAsia="Times New Roman" w:hAnsi="Times New Roman"/>
          <w:sz w:val="24"/>
          <w:szCs w:val="24"/>
        </w:rPr>
        <w:t xml:space="preserve">Anderljung, M., Barnhart, J., Korinek, A., Leike, J., Lovejoy, C., Mindermann, S., Ngo, R., Pilz, J., Ribe, G., Scheurer, M., Schneider, J., Seber, B., &amp; Wolf, A. (2023). Frontier AI regulation: Managing emerging risks to public safety. arXiv. https://arxiv.org/abs/2307.03718</w:t>
      </w:r>
    </w:p>
    <w:p>
      <w:pPr>
        <w:spacing w:after="160" w:line="360" w:lineRule="auto"/>
        <w:ind w:left="720" w:hanging="720"/>
        <w:jc w:val="both"/>
      </w:pPr>
      <w:r>
        <w:rPr>
          <w:rFonts w:ascii="Times New Roman" w:cs="Times New Roman" w:eastAsia="Times New Roman" w:hAnsi="Times New Roman"/>
          <w:sz w:val="24"/>
          <w:szCs w:val="24"/>
        </w:rPr>
        <w:t xml:space="preserve">Anil, R., Chowdhery, A., Dauphin, Y., Devlin, J., Doshi-Velez, F., Du, N., Felbo, B., Firat, O., Forget, A., Han, X., &amp; Xu, F. (2023). PaLM 2 technical report. arXiv. https://arxiv.org/abs/2305.10403</w:t>
      </w:r>
    </w:p>
    <w:p>
      <w:pPr>
        <w:spacing w:after="160" w:line="360" w:lineRule="auto"/>
        <w:ind w:left="720" w:hanging="720"/>
        <w:jc w:val="both"/>
      </w:pPr>
      <w:r>
        <w:rPr>
          <w:rFonts w:ascii="Times New Roman" w:cs="Times New Roman" w:eastAsia="Times New Roman" w:hAnsi="Times New Roman"/>
          <w:sz w:val="24"/>
          <w:szCs w:val="24"/>
        </w:rPr>
        <w:t xml:space="preserve">Bai, Y., Jones, A., Ndousse, K., Askell, A., Chen, A., DasSarma, N., Drain, D., Fort, S., Ganguli, D., Henighan, T., Joseph, N., Kadavath, S., Kernion, J., Conerly, T., El-Showk, S., &amp; Kaplan, J. (2022). Training a helpful and harmless assistant with reinforcement learning from human feedback. arXiv. https://arxiv.org/abs/2204.05862</w:t>
      </w:r>
    </w:p>
    <w:p>
      <w:pPr>
        <w:spacing w:after="160" w:line="360" w:lineRule="auto"/>
        <w:ind w:left="720" w:hanging="720"/>
        <w:jc w:val="both"/>
      </w:pPr>
      <w:r>
        <w:rPr>
          <w:rFonts w:ascii="Times New Roman" w:cs="Times New Roman" w:eastAsia="Times New Roman" w:hAnsi="Times New Roman"/>
          <w:sz w:val="24"/>
          <w:szCs w:val="24"/>
        </w:rPr>
        <w:t xml:space="preserve">Bricken, T., Templeton, A., Batson, J., Chen, B., Jermyn, A., Conerly, T., Turner, N., Anil, C., Denison, C., Askell, A., Lasenby, R., Wu, Y., Kravec, S., Schiefer, N., Maxwell, T., Joseph, N., Hatfield-Dodds, Z., Tamkin, A., Nguyen, K., &amp; Henighan, T. (2023). Towards monosemanticity: Decomposing language models with dictionary learning. Transformer Circuits Thread. https://transformer-circuits.pub/2023/monosemantic-features/index.html</w:t>
      </w:r>
    </w:p>
    <w:p>
      <w:pPr>
        <w:spacing w:after="160" w:line="360" w:lineRule="auto"/>
        <w:ind w:left="720" w:hanging="720"/>
        <w:jc w:val="both"/>
      </w:pPr>
      <w:r>
        <w:rPr>
          <w:rFonts w:ascii="Times New Roman" w:cs="Times New Roman" w:eastAsia="Times New Roman" w:hAnsi="Times New Roman"/>
          <w:sz w:val="24"/>
          <w:szCs w:val="24"/>
        </w:rPr>
        <w:t xml:space="preserve">Brown, T. B., Mann, B., Ryder, N., Subbiah, M., Kaplan, J., Dhariwal, P., Neelakantan, A., Shyam, P., Sastry, G., Askell, A., Agarwal, S., Herbert-Voss, A., Krueger, G., Henighan, T., Child, R., Ramesh, A., Ziegler, D. M., Wu, J., Winter, C., &amp; Amodei, D. (2020). Language models are few-shot learners. Advances in Neural Information Processing Systems, 33, 1877-1901. https://doi.org/10.48550/arXiv.2005.14165</w:t>
      </w:r>
    </w:p>
    <w:p>
      <w:pPr>
        <w:spacing w:after="160" w:line="360" w:lineRule="auto"/>
        <w:ind w:left="720" w:hanging="720"/>
        <w:jc w:val="both"/>
      </w:pPr>
      <w:r>
        <w:rPr>
          <w:rFonts w:ascii="Times New Roman" w:cs="Times New Roman" w:eastAsia="Times New Roman" w:hAnsi="Times New Roman"/>
          <w:sz w:val="24"/>
          <w:szCs w:val="24"/>
        </w:rPr>
        <w:t xml:space="preserve">Elhage, N., Nanda, N., Olsson, C., Henighan, T., Joseph, N., Mann, B., Askell, A., Bai, Y., Chen, A., Conerly, T., DasSarma, N., Drain, D., Ganguli, D., Hatfield-Dodds, Z., Hernandez, D., Jones, A., Kernion, J., Lovitt, L., Ndousse, K., &amp; Olah, C. (2022). A mathematical framework for transformer circuits. Transformer Circuits Thread. https://transformer-circuits.pub/2021/framework/index.html</w:t>
      </w:r>
    </w:p>
    <w:p>
      <w:pPr>
        <w:spacing w:after="160" w:line="360" w:lineRule="auto"/>
        <w:ind w:left="720" w:hanging="720"/>
        <w:jc w:val="both"/>
      </w:pPr>
      <w:r>
        <w:rPr>
          <w:rFonts w:ascii="Times New Roman" w:cs="Times New Roman" w:eastAsia="Times New Roman" w:hAnsi="Times New Roman"/>
          <w:sz w:val="24"/>
          <w:szCs w:val="24"/>
        </w:rPr>
        <w:t xml:space="preserve">Geiger, A., Lu, H., Icard, T., &amp; Potts, C. (2021). Causal abstractions of neural networks. Advances in Neural Information Processing Systems, 34, 9574-9586.</w:t>
      </w:r>
    </w:p>
    <w:p>
      <w:pPr>
        <w:spacing w:after="160" w:line="360" w:lineRule="auto"/>
        <w:ind w:left="720" w:hanging="720"/>
        <w:jc w:val="both"/>
      </w:pPr>
      <w:r>
        <w:rPr>
          <w:rFonts w:ascii="Times New Roman" w:cs="Times New Roman" w:eastAsia="Times New Roman" w:hAnsi="Times New Roman"/>
          <w:sz w:val="24"/>
          <w:szCs w:val="24"/>
        </w:rPr>
        <w:t xml:space="preserve">Golchin, S., &amp; Surdeanu, M. (2023). Time travel in LLMs: Tracing data contamination in large language models. arXiv. https://arxiv.org/abs/2308.08493</w:t>
      </w:r>
    </w:p>
    <w:p>
      <w:pPr>
        <w:spacing w:after="160" w:line="360" w:lineRule="auto"/>
        <w:ind w:left="720" w:hanging="720"/>
        <w:jc w:val="both"/>
      </w:pPr>
      <w:r>
        <w:rPr>
          <w:rFonts w:ascii="Times New Roman" w:cs="Times New Roman" w:eastAsia="Times New Roman" w:hAnsi="Times New Roman"/>
          <w:sz w:val="24"/>
          <w:szCs w:val="24"/>
        </w:rPr>
        <w:t xml:space="preserve">Han, S., Schoelkopf, H., Zhao, Y., Qi, Z., Riddell, M., Benson, L., Sun, L., Zubova, E., Qiao, Y., Burtell, M., Peng, D., Fan, J., Liu, Y., Wong, B., Sailor, M., Ni, A., Sherburne, T., &amp; Peng, N. (2022). FOLIO: Natural language reasoning with first-order logic. arXiv. https://arxiv.org/abs/2209.00840</w:t>
      </w:r>
    </w:p>
    <w:p>
      <w:pPr>
        <w:spacing w:after="160" w:line="360" w:lineRule="auto"/>
        <w:ind w:left="720" w:hanging="720"/>
        <w:jc w:val="both"/>
      </w:pPr>
      <w:r>
        <w:rPr>
          <w:rFonts w:ascii="Times New Roman" w:cs="Times New Roman" w:eastAsia="Times New Roman" w:hAnsi="Times New Roman"/>
          <w:sz w:val="24"/>
          <w:szCs w:val="24"/>
        </w:rPr>
        <w:t xml:space="preserve">Hendrycks, D., Carlini, N., Schulman, J., &amp; Steinhardt, J. (2022). Unsolved problems in ML safety. arXiv. https://arxiv.org/abs/2109.13916</w:t>
      </w:r>
    </w:p>
    <w:p>
      <w:pPr>
        <w:spacing w:after="160" w:line="360" w:lineRule="auto"/>
        <w:ind w:left="720" w:hanging="720"/>
        <w:jc w:val="both"/>
      </w:pPr>
      <w:r>
        <w:rPr>
          <w:rFonts w:ascii="Times New Roman" w:cs="Times New Roman" w:eastAsia="Times New Roman" w:hAnsi="Times New Roman"/>
          <w:sz w:val="24"/>
          <w:szCs w:val="24"/>
        </w:rPr>
        <w:t xml:space="preserve">Irving, G., Christiano, P., &amp; Amodei, D. (2019). AI safety via debate. arXiv. https://arxiv.org/abs/1805.00899</w:t>
      </w:r>
    </w:p>
    <w:p>
      <w:pPr>
        <w:spacing w:after="160" w:line="360" w:lineRule="auto"/>
        <w:ind w:left="720" w:hanging="720"/>
        <w:jc w:val="both"/>
      </w:pPr>
      <w:r>
        <w:rPr>
          <w:rFonts w:ascii="Times New Roman" w:cs="Times New Roman" w:eastAsia="Times New Roman" w:hAnsi="Times New Roman"/>
          <w:sz w:val="24"/>
          <w:szCs w:val="24"/>
        </w:rPr>
        <w:t xml:space="preserve">Kiciman, E., Ness, R., Sharma, A., &amp; Tan, C. (2023). Causal reasoning and large language models: Opening a new frontier for causality. arXiv. https://arxiv.org/abs/2305.00050</w:t>
      </w:r>
    </w:p>
    <w:p>
      <w:pPr>
        <w:spacing w:after="160" w:line="360" w:lineRule="auto"/>
        <w:ind w:left="720" w:hanging="720"/>
        <w:jc w:val="both"/>
      </w:pPr>
      <w:r>
        <w:rPr>
          <w:rFonts w:ascii="Times New Roman" w:cs="Times New Roman" w:eastAsia="Times New Roman" w:hAnsi="Times New Roman"/>
          <w:sz w:val="24"/>
          <w:szCs w:val="24"/>
        </w:rPr>
        <w:t xml:space="preserve">Kojima, T., Gu, S. S., Reid, M., Matsuo, Y., &amp; Iwasawa, Y. (2022). Large language models are zero-shot reasoners. Advances in Neural Information Processing Systems, 35, 22199-22213.</w:t>
      </w:r>
    </w:p>
    <w:p>
      <w:pPr>
        <w:spacing w:after="160" w:line="360" w:lineRule="auto"/>
        <w:ind w:left="720" w:hanging="720"/>
        <w:jc w:val="both"/>
      </w:pPr>
      <w:r>
        <w:rPr>
          <w:rFonts w:ascii="Times New Roman" w:cs="Times New Roman" w:eastAsia="Times New Roman" w:hAnsi="Times New Roman"/>
          <w:sz w:val="24"/>
          <w:szCs w:val="24"/>
        </w:rPr>
        <w:t xml:space="preserve">Kosinski, M. (2023). Theory of mind may have spontaneously emerged in large language models. arXiv. https://arxiv.org/abs/2302.02083</w:t>
      </w:r>
    </w:p>
    <w:p>
      <w:pPr>
        <w:spacing w:after="160" w:line="360" w:lineRule="auto"/>
        <w:ind w:left="720" w:hanging="720"/>
        <w:jc w:val="both"/>
      </w:pPr>
      <w:r>
        <w:rPr>
          <w:rFonts w:ascii="Times New Roman" w:cs="Times New Roman" w:eastAsia="Times New Roman" w:hAnsi="Times New Roman"/>
          <w:sz w:val="24"/>
          <w:szCs w:val="24"/>
        </w:rPr>
        <w:t xml:space="preserve">Lanham, T., Chen, A., Radhakrishnan, A., Steiner, B., Denison, C., Hernandez, D., Li, D., Durmus, E., Hubinger, E., Kernion, J., Lukosiunaite, K., Nguyen, K., Cheng, N., Joseph, N., Schiefer, N., Rausch, O., Larson, R., McCandlish, S., Kundu, S., &amp; Olah, C. (2023). Measuring faithfulness in chain-of-thought reasoning. arXiv. https://arxiv.org/abs/2307.13702</w:t>
      </w:r>
    </w:p>
    <w:p>
      <w:pPr>
        <w:spacing w:after="160" w:line="360" w:lineRule="auto"/>
        <w:ind w:left="720" w:hanging="720"/>
        <w:jc w:val="both"/>
      </w:pPr>
      <w:r>
        <w:rPr>
          <w:rFonts w:ascii="Times New Roman" w:cs="Times New Roman" w:eastAsia="Times New Roman" w:hAnsi="Times New Roman"/>
          <w:sz w:val="24"/>
          <w:szCs w:val="24"/>
        </w:rPr>
        <w:t xml:space="preserve">Lewkowycz, A., Andreassen, A., Dohan, D., Dyer, E., Michalewski, H., Ramasesh, V., Slone, A., Anil, C., Schlag, I., Gutman-Solo, T., Wu, Y., Neyshabur, B., Gur-Ari, G., &amp; Misra, V. (2022). Solving quantitative reasoning problems with language models. Advances in Neural Information Processing Systems, 35, 3843-3857.</w:t>
      </w:r>
    </w:p>
    <w:p>
      <w:pPr>
        <w:spacing w:after="160" w:line="360" w:lineRule="auto"/>
        <w:ind w:left="720" w:hanging="720"/>
        <w:jc w:val="both"/>
      </w:pPr>
      <w:r>
        <w:rPr>
          <w:rFonts w:ascii="Times New Roman" w:cs="Times New Roman" w:eastAsia="Times New Roman" w:hAnsi="Times New Roman"/>
          <w:sz w:val="24"/>
          <w:szCs w:val="24"/>
        </w:rPr>
        <w:t xml:space="preserve">Lu, Y., Bartolo, M., Moore, A., Riedel, S., &amp; Stenetorp, P. (2022). Fantastically ordered prompts and where to find them: Overcoming few-shot prompt sensitivity with automatic prompt search. Proceedings of the 60th Annual Meeting of the Association for Computational Linguistics, 8086-8098. https://doi.org/10.18653/v1/2022.acl-long.556</w:t>
      </w:r>
    </w:p>
    <w:p>
      <w:pPr>
        <w:spacing w:after="160" w:line="360" w:lineRule="auto"/>
        <w:ind w:left="720" w:hanging="720"/>
        <w:jc w:val="both"/>
      </w:pPr>
      <w:r>
        <w:rPr>
          <w:rFonts w:ascii="Times New Roman" w:cs="Times New Roman" w:eastAsia="Times New Roman" w:hAnsi="Times New Roman"/>
          <w:sz w:val="24"/>
          <w:szCs w:val="24"/>
        </w:rPr>
        <w:t xml:space="preserve">Mitchell, M. (2021). Why AI is harder than we think. Proceedings of the Genetic and Evolutionary Computation Conference, 3-9. https://doi.org/10.1145/3449639.3465421</w:t>
      </w:r>
    </w:p>
    <w:p>
      <w:pPr>
        <w:spacing w:after="160" w:line="360" w:lineRule="auto"/>
        <w:ind w:left="720" w:hanging="720"/>
        <w:jc w:val="both"/>
      </w:pPr>
      <w:r>
        <w:rPr>
          <w:rFonts w:ascii="Times New Roman" w:cs="Times New Roman" w:eastAsia="Times New Roman" w:hAnsi="Times New Roman"/>
          <w:sz w:val="24"/>
          <w:szCs w:val="24"/>
        </w:rPr>
        <w:t xml:space="preserve">Nanda, N., Chan, L., Lieberum, T., Smith, J., &amp; Steinhardt, J. (2023). Progress measures for grokking via mechanistic interpretability. International Conference on Learning Representations. https://arxiv.org/abs/2301.05217</w:t>
      </w:r>
    </w:p>
    <w:p>
      <w:pPr>
        <w:spacing w:after="160" w:line="360" w:lineRule="auto"/>
        <w:ind w:left="720" w:hanging="720"/>
        <w:jc w:val="both"/>
      </w:pPr>
      <w:r>
        <w:rPr>
          <w:rFonts w:ascii="Times New Roman" w:cs="Times New Roman" w:eastAsia="Times New Roman" w:hAnsi="Times New Roman"/>
          <w:sz w:val="24"/>
          <w:szCs w:val="24"/>
        </w:rPr>
        <w:t xml:space="preserve">OpenAI. (2023). GPT-4 technical report. arXiv. https://arxiv.org/abs/2303.08774</w:t>
      </w:r>
    </w:p>
    <w:p>
      <w:pPr>
        <w:spacing w:after="160" w:line="360" w:lineRule="auto"/>
        <w:ind w:left="720" w:hanging="720"/>
        <w:jc w:val="both"/>
      </w:pPr>
      <w:r>
        <w:rPr>
          <w:rFonts w:ascii="Times New Roman" w:cs="Times New Roman" w:eastAsia="Times New Roman" w:hAnsi="Times New Roman"/>
          <w:sz w:val="24"/>
          <w:szCs w:val="24"/>
        </w:rPr>
        <w:t xml:space="preserve">Power, A., Burda, Y., Edwards, H., Goodfellow, I., &amp; Misra, V. (2022). Grokking: Generalization beyond overfitting on small algorithmic datasets. arXiv. https://arxiv.org/abs/2201.02177</w:t>
      </w:r>
    </w:p>
    <w:p>
      <w:pPr>
        <w:spacing w:after="160" w:line="360" w:lineRule="auto"/>
        <w:ind w:left="720" w:hanging="720"/>
        <w:jc w:val="both"/>
      </w:pPr>
      <w:r>
        <w:rPr>
          <w:rFonts w:ascii="Times New Roman" w:cs="Times New Roman" w:eastAsia="Times New Roman" w:hAnsi="Times New Roman"/>
          <w:sz w:val="24"/>
          <w:szCs w:val="24"/>
        </w:rPr>
        <w:t xml:space="preserve">Ribeiro, M. T., Singh, S., &amp; Guestrin, C. (2016). "Why should I trust you?": Explaining the predictions of any classifier. Proceedings of the 22nd ACM SIGKDD International Conference on Knowledge Discovery and Data Mining, 1135-1144. https://doi.org/10.1145/2939672.2939778</w:t>
      </w:r>
    </w:p>
    <w:p>
      <w:pPr>
        <w:spacing w:after="160" w:line="360" w:lineRule="auto"/>
        <w:ind w:left="720" w:hanging="720"/>
        <w:jc w:val="both"/>
      </w:pPr>
      <w:r>
        <w:rPr>
          <w:rFonts w:ascii="Times New Roman" w:cs="Times New Roman" w:eastAsia="Times New Roman" w:hAnsi="Times New Roman"/>
          <w:sz w:val="24"/>
          <w:szCs w:val="24"/>
        </w:rPr>
        <w:t xml:space="preserve">Sakagami, K., Bisk, Y., Etzioni, O., &amp; Yih, W. (2021). WinoGrande: An adversarial Winograd schema challenge at scale. Communications of the ACM, 64(9), 99-106. https://doi.org/10.1145/3474381</w:t>
      </w:r>
    </w:p>
    <w:p>
      <w:pPr>
        <w:spacing w:after="160" w:line="360" w:lineRule="auto"/>
        <w:ind w:left="720" w:hanging="720"/>
        <w:jc w:val="both"/>
      </w:pPr>
      <w:r>
        <w:rPr>
          <w:rFonts w:ascii="Times New Roman" w:cs="Times New Roman" w:eastAsia="Times New Roman" w:hAnsi="Times New Roman"/>
          <w:sz w:val="24"/>
          <w:szCs w:val="24"/>
        </w:rPr>
        <w:t xml:space="preserve">Schaeffer, R., Miranda, B., &amp; Koyejo, S. (2023). Are emergent abilities of large language models a mirage? Advances in Neural Information Processing Systems, 36.</w:t>
      </w:r>
    </w:p>
    <w:p>
      <w:pPr>
        <w:spacing w:after="160" w:line="360" w:lineRule="auto"/>
        <w:ind w:left="720" w:hanging="720"/>
        <w:jc w:val="both"/>
      </w:pPr>
      <w:r>
        <w:rPr>
          <w:rFonts w:ascii="Times New Roman" w:cs="Times New Roman" w:eastAsia="Times New Roman" w:hAnsi="Times New Roman"/>
          <w:sz w:val="24"/>
          <w:szCs w:val="24"/>
        </w:rPr>
        <w:t xml:space="preserve">Srivastava, A., Rastogi, A., Rao, A., Shoeb, A. A. M., Abid, A., Fisch, A., Brown, A. R., Santoro, A., Gupta, A., &amp; Garriga-Alonso, A. (2022). Beyond the imitation game: Quantifying and extrapolating the capabilities of language models. Transactions on Machine Learning Research. https://doi.org/10.48550/arXiv.2206.04615</w:t>
      </w:r>
    </w:p>
    <w:p>
      <w:pPr>
        <w:spacing w:after="160" w:line="360" w:lineRule="auto"/>
        <w:ind w:left="720" w:hanging="720"/>
        <w:jc w:val="both"/>
      </w:pPr>
      <w:r>
        <w:rPr>
          <w:rFonts w:ascii="Times New Roman" w:cs="Times New Roman" w:eastAsia="Times New Roman" w:hAnsi="Times New Roman"/>
          <w:sz w:val="24"/>
          <w:szCs w:val="24"/>
        </w:rPr>
        <w:t xml:space="preserve">Talmor, A., Tafjord, O., Clark, P., Goldberg, Y., &amp; Berant, J. (2022). CommonsenseQA 2.0: Exposing the limits of AI through gamification. Proceedings of the 35th Conference on Neural Information Processing Systems Datasets and Benchmarks Track.</w:t>
      </w:r>
    </w:p>
    <w:p>
      <w:pPr>
        <w:spacing w:after="160" w:line="360" w:lineRule="auto"/>
        <w:ind w:left="720" w:hanging="720"/>
        <w:jc w:val="both"/>
      </w:pPr>
      <w:r>
        <w:rPr>
          <w:rFonts w:ascii="Times New Roman" w:cs="Times New Roman" w:eastAsia="Times New Roman" w:hAnsi="Times New Roman"/>
          <w:sz w:val="24"/>
          <w:szCs w:val="24"/>
        </w:rPr>
        <w:t xml:space="preserve">Touvron, H., Lavril, T., Izacard, G., Martinet, X., Lachaux, M. A., Lacroix, T., Roziere, B., Goyal, N., Hambro, E., Azhar, F., Rodriguez, A., Joulin, A., Grave, E., &amp; Lample, G. (2023). LLaMA: Open and efficient foundation language models. arXiv. https://arxiv.org/abs/2302.13971</w:t>
      </w:r>
    </w:p>
    <w:p>
      <w:pPr>
        <w:spacing w:after="160" w:line="360" w:lineRule="auto"/>
        <w:ind w:left="720" w:hanging="720"/>
        <w:jc w:val="both"/>
      </w:pPr>
      <w:r>
        <w:rPr>
          <w:rFonts w:ascii="Times New Roman" w:cs="Times New Roman" w:eastAsia="Times New Roman" w:hAnsi="Times New Roman"/>
          <w:sz w:val="24"/>
          <w:szCs w:val="24"/>
        </w:rPr>
        <w:t xml:space="preserve">Ullman, T. (2023). Large language models fail on trivial alterations to theory-of-mind tasks. arXiv. https://arxiv.org/abs/2302.08399</w:t>
      </w:r>
    </w:p>
    <w:p>
      <w:pPr>
        <w:spacing w:after="160" w:line="360" w:lineRule="auto"/>
        <w:ind w:left="720" w:hanging="720"/>
        <w:jc w:val="both"/>
      </w:pPr>
      <w:r>
        <w:rPr>
          <w:rFonts w:ascii="Times New Roman" w:cs="Times New Roman" w:eastAsia="Times New Roman" w:hAnsi="Times New Roman"/>
          <w:sz w:val="24"/>
          <w:szCs w:val="24"/>
        </w:rPr>
        <w:t xml:space="preserve">Wei, J., Tay, Y., Bommasani, R., Raffel, C., Zoph, B., Borgeaud, S., Yogatama, D., Bosma, M., Zhou, D., Metzler, D., Chi, E. H., Hashimoto, T., Vinyals, O., Liang, P., Dean, J., &amp; Fedus, W. (2022a). Emergent abilities of large language models. Transactions on Machine Learning Research. https://doi.org/10.48550/arXiv.2206.07682</w:t>
      </w:r>
    </w:p>
    <w:p>
      <w:pPr>
        <w:spacing w:after="160" w:line="360" w:lineRule="auto"/>
        <w:ind w:left="720" w:hanging="720"/>
        <w:jc w:val="both"/>
      </w:pPr>
      <w:r>
        <w:rPr>
          <w:rFonts w:ascii="Times New Roman" w:cs="Times New Roman" w:eastAsia="Times New Roman" w:hAnsi="Times New Roman"/>
          <w:sz w:val="24"/>
          <w:szCs w:val="24"/>
        </w:rPr>
        <w:t xml:space="preserve">Wei, J., Wang, X., Schuurmans, D., Bosma, M., Xia, F., Chi, E., Le, Q. V., &amp; Zhou, D. (2022b). Chain-of-thought prompting elicits reasoning in large language models. Advances in Neural Information Processing Systems, 35, 24824-24837.</w:t>
      </w:r>
    </w:p>
    <w:p>
      <w:pPr>
        <w:spacing w:after="160" w:line="360" w:lineRule="auto"/>
        <w:ind w:left="720" w:hanging="720"/>
        <w:jc w:val="both"/>
      </w:pPr>
      <w:r>
        <w:rPr>
          <w:rFonts w:ascii="Times New Roman" w:cs="Times New Roman" w:eastAsia="Times New Roman" w:hAnsi="Times New Roman"/>
          <w:sz w:val="24"/>
          <w:szCs w:val="24"/>
        </w:rPr>
        <w:t xml:space="preserve">Zellers, R., Holtzman, A., Bisk, Y., Farhadi, A., &amp; Choi, Y. (2019). HellaSwag: Can a machine really finish your sentence? Proceedings of the 57th Annual Meeting of the Association for Computational Linguistics, 4791-4800. https://doi.org/10.18653/v1/P19-1472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RAZONAMIENTO EMERGENTE EN MODELOS DE LENGUAJE</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