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80" w:before="80"/>
        <w:jc w:val="center"/>
      </w:pPr>
      <w:r>
        <w:rPr>
          <w:rFonts w:ascii="Times New Roman" w:cs="Times New Roman" w:eastAsia="Times New Roman" w:hAnsi="Times New Roman"/>
          <w:b/>
          <w:bCs/>
          <w:sz w:val="24"/>
          <w:szCs w:val="24"/>
        </w:rPr>
        <w:t xml:space="preserve">Inteligencia Artificial en Sistemas de Salud Pública:</w:t>
      </w:r>
    </w:p>
    <w:p>
      <w:pPr>
        <w:spacing w:after="80" w:before="80"/>
        <w:jc w:val="center"/>
      </w:pPr>
      <w:r>
        <w:rPr>
          <w:rFonts w:ascii="Times New Roman" w:cs="Times New Roman" w:eastAsia="Times New Roman" w:hAnsi="Times New Roman"/>
          <w:b/>
          <w:bCs/>
          <w:sz w:val="24"/>
          <w:szCs w:val="24"/>
        </w:rPr>
        <w:t xml:space="preserve">Lecciones de Sri Lanka, Ruanda y Estonia para Países en Desarrollo</w:t>
      </w:r>
    </w:p>
    <w:p>
      <w:r>
        <w:t xml:space="preserve"/>
      </w:r>
    </w:p>
    <w:p>
      <w:pPr>
        <w:spacing w:after="80" w:before="80"/>
        <w:jc w:val="center"/>
      </w:pPr>
      <w:r>
        <w:rPr>
          <w:rFonts w:ascii="Times New Roman" w:cs="Times New Roman" w:eastAsia="Times New Roman" w:hAnsi="Times New Roman"/>
          <w:sz w:val="24"/>
          <w:szCs w:val="24"/>
        </w:rPr>
        <w:t xml:space="preserve">Dra. Priya M. Chandrasekaran y Dr. Jean-Baptiste Uwimana</w:t>
      </w:r>
    </w:p>
    <w:p>
      <w:pPr>
        <w:spacing w:after="80" w:before="80"/>
        <w:jc w:val="center"/>
      </w:pPr>
      <w:r>
        <w:rPr>
          <w:rFonts w:ascii="Times New Roman" w:cs="Times New Roman" w:eastAsia="Times New Roman" w:hAnsi="Times New Roman"/>
          <w:sz w:val="24"/>
          <w:szCs w:val="24"/>
        </w:rPr>
        <w:t xml:space="preserve">Instituto de Políticas Públicas y Tecnología, Universidad de Ginebra</w:t>
      </w:r>
    </w:p>
    <w:p>
      <w:r>
        <w:t xml:space="preserve"/>
      </w:r>
    </w:p>
    <w:p>
      <w:pPr>
        <w:spacing w:after="60" w:before="60"/>
        <w:jc w:val="left"/>
      </w:pPr>
      <w:r>
        <w:rPr>
          <w:rFonts w:ascii="Times New Roman" w:cs="Times New Roman" w:eastAsia="Times New Roman" w:hAnsi="Times New Roman"/>
          <w:b/>
          <w:bCs/>
          <w:sz w:val="24"/>
          <w:szCs w:val="24"/>
        </w:rPr>
        <w:t xml:space="preserve">Nota de los autores</w:t>
      </w:r>
    </w:p>
    <w:p>
      <w:pPr>
        <w:spacing w:after="160" w:before="0" w:line="276" w:lineRule="auto"/>
        <w:jc w:val="both"/>
      </w:pPr>
      <w:r>
        <w:rPr>
          <w:rFonts w:ascii="Times New Roman" w:cs="Times New Roman" w:eastAsia="Times New Roman" w:hAnsi="Times New Roman"/>
          <w:sz w:val="24"/>
          <w:szCs w:val="24"/>
        </w:rPr>
        <w:t xml:space="preserve">Correspondencia: p.chandrasekaran@unigeneve.ch</w:t>
      </w:r>
    </w:p>
    <w:p>
      <w:pPr>
        <w:spacing w:after="160" w:before="0" w:line="276" w:lineRule="auto"/>
        <w:jc w:val="both"/>
      </w:pPr>
      <w:r>
        <w:rPr>
          <w:rFonts w:ascii="Times New Roman" w:cs="Times New Roman" w:eastAsia="Times New Roman" w:hAnsi="Times New Roman"/>
          <w:sz w:val="24"/>
          <w:szCs w:val="24"/>
        </w:rPr>
        <w:t xml:space="preserve">Este trabajo no recibió financiamiento de ninguna agencia.</w:t>
      </w:r>
    </w:p>
    <w:p>
      <w:r>
        <w:t xml:space="preserve"/>
      </w:r>
    </w:p>
    <w:p>
      <w:pPr>
        <w:spacing w:after="120" w:before="320" w:line="276" w:lineRule="auto"/>
        <w:jc w:val="center"/>
      </w:pPr>
      <w:r>
        <w:rPr>
          <w:rFonts w:ascii="Times New Roman" w:cs="Times New Roman" w:eastAsia="Times New Roman" w:hAnsi="Times New Roman"/>
          <w:b/>
          <w:bCs/>
          <w:sz w:val="24"/>
          <w:szCs w:val="24"/>
        </w:rPr>
        <w:t xml:space="preserve">Resumen</w:t>
      </w:r>
    </w:p>
    <w:p>
      <w:pPr>
        <w:spacing w:after="240" w:before="0" w:line="276" w:lineRule="auto"/>
        <w:jc w:val="both"/>
      </w:pPr>
      <w:r>
        <w:rPr>
          <w:rFonts w:ascii="Times New Roman" w:cs="Times New Roman" w:eastAsia="Times New Roman" w:hAnsi="Times New Roman"/>
          <w:sz w:val="24"/>
          <w:szCs w:val="24"/>
        </w:rPr>
        <w:t xml:space="preserve">La incorporación de la inteligencia artificial (IA) en los sistemas de salud pública constituye una de las transformaciones tecnológicas más relevantes de la última década en el campo de la administración sanitaria. El presente artículo examina las experiencias de Sri Lanka, Ruanda y Estonia en la adopción de IA para la gestión de epidemias, el diagnóstico temprano y la asignación de recursos hospitalarios. A partir del examen de fuentes documentales abiertas, informes de organismos internacionales y publicaciones especializadas, este trabajo busca contribuir a la comprensión de los factores que determinan el éxito o el fracaso de estas iniciativas en contextos de recursos limitados. Los hallazgos indican que la disponibilidad de infraestructura digital previa, la capacitación del personal de salud y el respaldo regulatorio son condiciones necesarias —aunque no suficientes— para una incorporación efectiva de IA en sistemas sanitarios públicos. Se concluye que las experiencias de los tres países examinados ofrecen un conjunto de lecciones transferibles para otros países en desarrollo que aspiren a modernizar sus sistemas de salud mediante el uso de estas tecnologías.</w:t>
      </w:r>
    </w:p>
    <w:p>
      <w:r>
        <w:t xml:space="preserve"/>
      </w:r>
    </w:p>
    <w:p>
      <w:pPr>
        <w:spacing w:after="160" w:before="0" w:line="276" w:lineRule="auto"/>
        <w:jc w:val="both"/>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inteligencia artificial, salud pública, países en desarrollo, transformación digital, gobernanza sanitaria</w:t>
      </w:r>
    </w:p>
    <w:p>
      <w:r>
        <w:t xml:space="preserve"/>
      </w:r>
    </w:p>
    <w:p>
      <w:r>
        <w:t xml:space="preserve"/>
      </w:r>
    </w:p>
    <w:p>
      <w:pPr>
        <w:spacing w:after="80" w:before="80"/>
        <w:jc w:val="center"/>
      </w:pPr>
      <w:r>
        <w:rPr>
          <w:rFonts w:ascii="Times New Roman" w:cs="Times New Roman" w:eastAsia="Times New Roman" w:hAnsi="Times New Roman"/>
          <w:b/>
          <w:bCs/>
          <w:sz w:val="24"/>
          <w:szCs w:val="24"/>
        </w:rPr>
        <w:t xml:space="preserve">Inteligencia Artificial en Sistemas de Salud Pública:</w:t>
      </w:r>
    </w:p>
    <w:p>
      <w:pPr>
        <w:spacing w:after="80" w:before="80"/>
        <w:jc w:val="center"/>
      </w:pPr>
      <w:r>
        <w:rPr>
          <w:rFonts w:ascii="Times New Roman" w:cs="Times New Roman" w:eastAsia="Times New Roman" w:hAnsi="Times New Roman"/>
          <w:b/>
          <w:bCs/>
          <w:sz w:val="24"/>
          <w:szCs w:val="24"/>
        </w:rPr>
        <w:t xml:space="preserve">Lecciones de Sri Lanka, Ruanda y Estonia para Países en Desarrollo</w:t>
      </w:r>
    </w:p>
    <w:p>
      <w:r>
        <w:t xml:space="preserve"/>
      </w:r>
    </w:p>
    <w:p>
      <w:pPr>
        <w:spacing w:after="120" w:before="320" w:line="276" w:lineRule="auto"/>
        <w:jc w:val="left"/>
      </w:pPr>
      <w:r>
        <w:rPr>
          <w:rFonts w:ascii="Times New Roman" w:cs="Times New Roman" w:eastAsia="Times New Roman" w:hAnsi="Times New Roman"/>
          <w:b/>
          <w:bCs/>
          <w:sz w:val="28"/>
          <w:szCs w:val="28"/>
        </w:rPr>
        <w:t xml:space="preserve">Introducción</w:t>
      </w:r>
    </w:p>
    <w:p>
      <w:pPr>
        <w:spacing w:after="240" w:before="0" w:line="276" w:lineRule="auto"/>
        <w:jc w:val="both"/>
      </w:pPr>
      <w:r>
        <w:rPr>
          <w:rFonts w:ascii="Times New Roman" w:cs="Times New Roman" w:eastAsia="Times New Roman" w:hAnsi="Times New Roman"/>
          <w:sz w:val="24"/>
          <w:szCs w:val="24"/>
        </w:rPr>
        <w:t xml:space="preserve">La irrupción de la inteligencia artificial en la gestión de los sistemas de salud ha generado expectativas considerables tanto entre los responsables de políticas públicas como entre los profesionales de la medicina y la salud colectiva. En países de ingresos altos, los sistemas de IA se están desplegando para apoyar el diagnóstico médico, optimizar la distribución de medicamentos y anticipar brotes epidémicos con semanas de anticipación (Topol, 2019; Obermeyer y Emanuel, 2016). La pregunta que este artículo busca responder es si estas experiencias son transferibles a países con sistemas sanitarios menos desarrollados y con presupuestos públicos más acotados.</w:t>
      </w:r>
    </w:p>
    <w:p>
      <w:pPr>
        <w:spacing w:after="240" w:before="0" w:line="276" w:lineRule="auto"/>
        <w:jc w:val="both"/>
      </w:pPr>
      <w:r>
        <w:rPr>
          <w:rFonts w:ascii="Times New Roman" w:cs="Times New Roman" w:eastAsia="Times New Roman" w:hAnsi="Times New Roman"/>
          <w:sz w:val="24"/>
          <w:szCs w:val="24"/>
        </w:rPr>
        <w:t xml:space="preserve">El presente artículo se organiza de la siguiente manera. La primera sección presenta las tres experiencias nacionales seleccionadas: Sri Lanka en el ámbito de la gestión epidémica, Ruanda en el apoyo al diagnóstico en zonas rurales, y Estonia en la digitalización integral del sistema sanitario. La segunda sección contrasta estas experiencias e identifica los factores comunes de éxito. La tercera sección analiza los límites de la transferibilidad de estas lecciones. Por último, se presentan las conclusiones y algunas consideraciones de política pública para países que inicien este camino.</w:t>
      </w:r>
    </w:p>
    <w:p>
      <w:pPr>
        <w:spacing w:after="240" w:before="0" w:line="276" w:lineRule="auto"/>
        <w:jc w:val="both"/>
      </w:pPr>
      <w:r>
        <w:rPr>
          <w:rFonts w:ascii="Times New Roman" w:cs="Times New Roman" w:eastAsia="Times New Roman" w:hAnsi="Times New Roman"/>
          <w:sz w:val="24"/>
          <w:szCs w:val="24"/>
        </w:rPr>
        <w:t xml:space="preserve">Es importante señalar de antemano que este artículo no pretende resolver los debates técnicos sobre qué sistemas de IA son superiores en contextos sanitarios. Su propósito es más modesto: ofrecer al lector interesado un panorama ordenado de experiencias reales que permita informar decisiones de política con mayor solidez.</w:t>
      </w:r>
    </w:p>
    <w:p>
      <w:pPr>
        <w:spacing w:after="120" w:before="320" w:line="276" w:lineRule="auto"/>
        <w:jc w:val="left"/>
      </w:pPr>
      <w:r>
        <w:rPr>
          <w:rFonts w:ascii="Times New Roman" w:cs="Times New Roman" w:eastAsia="Times New Roman" w:hAnsi="Times New Roman"/>
          <w:b/>
          <w:bCs/>
          <w:sz w:val="28"/>
          <w:szCs w:val="28"/>
        </w:rPr>
        <w:t xml:space="preserve">Tres Experiencias Nacionales en Perspectiva</w:t>
      </w:r>
    </w:p>
    <w:p>
      <w:pPr>
        <w:spacing w:after="120" w:before="320" w:line="276" w:lineRule="auto"/>
        <w:jc w:val="left"/>
      </w:pPr>
      <w:r>
        <w:rPr>
          <w:rFonts w:ascii="Times New Roman" w:cs="Times New Roman" w:eastAsia="Times New Roman" w:hAnsi="Times New Roman"/>
          <w:b/>
          <w:bCs/>
          <w:i/>
          <w:iCs/>
          <w:sz w:val="24"/>
          <w:szCs w:val="24"/>
        </w:rPr>
        <w:t xml:space="preserve">Sri Lanka: IA para la gestión de brotes epidémicos</w:t>
      </w:r>
    </w:p>
    <w:p>
      <w:pPr>
        <w:spacing w:after="240" w:before="0" w:line="276" w:lineRule="auto"/>
        <w:jc w:val="both"/>
      </w:pPr>
      <w:r>
        <w:rPr>
          <w:rFonts w:ascii="Times New Roman" w:cs="Times New Roman" w:eastAsia="Times New Roman" w:hAnsi="Times New Roman"/>
          <w:sz w:val="24"/>
          <w:szCs w:val="24"/>
        </w:rPr>
        <w:t xml:space="preserve">Sri Lanka ha atravesado en los últimos quince años una serie de brotes epidémicos que pusieron a prueba la capacidad de respuesta de su sistema sanitario público. La experiencia más documentada es la del brote de dengue de 2017, que afectó a más de 180.000 personas y saturó los servicios de urgencias de los principales hospitales del país (Tissera et al., 2016). A partir de esa crisis, el Ministerio de Salud de Sri Lanka comenzó a explorar el uso de herramientas de IA para la predicción temprana de brotes, integrando datos meteorológicos, de saneamiento y de consultas médicas previas.</w:t>
      </w:r>
    </w:p>
    <w:p>
      <w:pPr>
        <w:spacing w:after="240" w:before="0" w:line="276" w:lineRule="auto"/>
        <w:jc w:val="both"/>
      </w:pPr>
      <w:r>
        <w:rPr>
          <w:rFonts w:ascii="Times New Roman" w:cs="Times New Roman" w:eastAsia="Times New Roman" w:hAnsi="Times New Roman"/>
          <w:sz w:val="24"/>
          <w:szCs w:val="24"/>
        </w:rPr>
        <w:t xml:space="preserve">Los resultados de esta iniciativa han sido modestos pero promisorios. Los sistemas implementados lograron anticipar zonas de alta incidencia con una anticipación de dos a tres semanas, lo que permitió focalizar las campañas de fumigación y de sensibilización comunitaria de manera más eficiente. El factor clave del relativo éxito de la experiencia esrilanquesa fue, según los propios responsables del programa, la existencia previa de un registro epidemiológico digitalizado que alimentó el sistema con datos de calidad suficiente (Wijeratne et al., 2018).</w:t>
      </w:r>
    </w:p>
    <w:p>
      <w:pPr>
        <w:spacing w:after="120" w:before="320" w:line="276" w:lineRule="auto"/>
        <w:jc w:val="left"/>
      </w:pPr>
      <w:r>
        <w:rPr>
          <w:rFonts w:ascii="Times New Roman" w:cs="Times New Roman" w:eastAsia="Times New Roman" w:hAnsi="Times New Roman"/>
          <w:b/>
          <w:bCs/>
          <w:i/>
          <w:iCs/>
          <w:sz w:val="24"/>
          <w:szCs w:val="24"/>
        </w:rPr>
        <w:t xml:space="preserve">Ruanda: diagnóstico asistido por IA en zonas rurales</w:t>
      </w:r>
    </w:p>
    <w:p>
      <w:pPr>
        <w:spacing w:after="240" w:before="0" w:line="276" w:lineRule="auto"/>
        <w:jc w:val="both"/>
      </w:pPr>
      <w:r>
        <w:rPr>
          <w:rFonts w:ascii="Times New Roman" w:cs="Times New Roman" w:eastAsia="Times New Roman" w:hAnsi="Times New Roman"/>
          <w:sz w:val="24"/>
          <w:szCs w:val="24"/>
        </w:rPr>
        <w:t xml:space="preserve">Ruanda ofrece quizás el caso más citado de adopción de IA en salud en un contexto de bajos ingresos. El programa de diagnóstico asistido por imágenes para la detección de tuberculosis y neumonía pediátrica, implementado a partir de 2018 en colaboración con organizaciones internacionales de salud, permitió extender capacidades diagnósticas a centros de salud rurales que carecen de radiólogos residentes (Mutabazi et al., 2020). El sistema proporciona una segunda opinión automatizada a los trabajadores de salud de primera línea, que toman la decisión clínica final.</w:t>
      </w:r>
    </w:p>
    <w:p>
      <w:pPr>
        <w:spacing w:after="240" w:before="0" w:line="276" w:lineRule="auto"/>
        <w:jc w:val="both"/>
      </w:pPr>
      <w:r>
        <w:rPr>
          <w:rFonts w:ascii="Times New Roman" w:cs="Times New Roman" w:eastAsia="Times New Roman" w:hAnsi="Times New Roman"/>
          <w:sz w:val="24"/>
          <w:szCs w:val="24"/>
        </w:rPr>
        <w:t xml:space="preserve">La experiencia ruandesa es instructiva por varias razones. En primer lugar, demuestra que la IA puede funcionar como multiplicador de capacidades en contextos de escasez de personal especializado, sin pretender reemplazar el juicio clínico. En segundo lugar, el programa ruandés fue diseñado desde el inicio con una lógica de integración con el personal existente, lo que redujo significativamente las resistencias internas. En tercer lugar, el éxito del programa dependió de una inversión previa en conectividad digital que muchos otros países en desarrollo aún no han realizado.</w:t>
      </w:r>
    </w:p>
    <w:p>
      <w:pPr>
        <w:spacing w:after="120" w:before="320" w:line="276" w:lineRule="auto"/>
        <w:jc w:val="left"/>
      </w:pPr>
      <w:r>
        <w:rPr>
          <w:rFonts w:ascii="Times New Roman" w:cs="Times New Roman" w:eastAsia="Times New Roman" w:hAnsi="Times New Roman"/>
          <w:b/>
          <w:bCs/>
          <w:i/>
          <w:iCs/>
          <w:sz w:val="24"/>
          <w:szCs w:val="24"/>
        </w:rPr>
        <w:t xml:space="preserve">Estonia: digitalización integral como condición previa</w:t>
      </w:r>
    </w:p>
    <w:p>
      <w:pPr>
        <w:spacing w:after="240" w:before="0" w:line="276" w:lineRule="auto"/>
        <w:jc w:val="both"/>
      </w:pPr>
      <w:r>
        <w:rPr>
          <w:rFonts w:ascii="Times New Roman" w:cs="Times New Roman" w:eastAsia="Times New Roman" w:hAnsi="Times New Roman"/>
          <w:sz w:val="24"/>
          <w:szCs w:val="24"/>
        </w:rPr>
        <w:t xml:space="preserve">Estonia representa el caso más avanzado de los tres, aunque también el menos directamente transferible. El sistema de salud estonio opera desde hace más de una década sobre una plataforma digital integrada que incluye la historia clínica electrónica universal, la receta electrónica y el intercambio de datos entre instituciones sanitarias públicas y privadas (Kalvet, 2012). Esta infraestructura digital preexistente es lo que ha hecho posible el despliegue de aplicaciones de IA de manera relativamente rápida y con menores fricciones.</w:t>
      </w:r>
    </w:p>
    <w:p>
      <w:pPr>
        <w:spacing w:after="240" w:before="0" w:line="276" w:lineRule="auto"/>
        <w:jc w:val="both"/>
      </w:pPr>
      <w:r>
        <w:rPr>
          <w:rFonts w:ascii="Times New Roman" w:cs="Times New Roman" w:eastAsia="Times New Roman" w:hAnsi="Times New Roman"/>
          <w:sz w:val="24"/>
          <w:szCs w:val="24"/>
        </w:rPr>
        <w:t xml:space="preserve">La lección estonia para otros países es incómoda pero necesaria: la IA en salud no puede construirse sobre sistemas de información fragmentados o en papel. Sin un sustrato digital robusto, la incorporación de herramientas de inteligencia artificial produce resultados decepcionantes independientemente de la calidad de los algoritmos empleados. Estonia tardó más de una década en construir ese sustrato, con inversión sostenida y voluntad política de largo plazo.</w:t>
      </w:r>
    </w:p>
    <w:p>
      <w:pPr>
        <w:spacing w:after="120" w:before="320" w:line="276" w:lineRule="auto"/>
        <w:jc w:val="left"/>
      </w:pPr>
      <w:r>
        <w:rPr>
          <w:rFonts w:ascii="Times New Roman" w:cs="Times New Roman" w:eastAsia="Times New Roman" w:hAnsi="Times New Roman"/>
          <w:b/>
          <w:bCs/>
          <w:sz w:val="28"/>
          <w:szCs w:val="28"/>
        </w:rPr>
        <w:t xml:space="preserve">Factores Comunes y Límites de la Transferibilidad</w:t>
      </w:r>
    </w:p>
    <w:p>
      <w:pPr>
        <w:spacing w:after="240" w:before="0" w:line="276" w:lineRule="auto"/>
        <w:jc w:val="both"/>
      </w:pPr>
      <w:r>
        <w:rPr>
          <w:rFonts w:ascii="Times New Roman" w:cs="Times New Roman" w:eastAsia="Times New Roman" w:hAnsi="Times New Roman"/>
          <w:sz w:val="24"/>
          <w:szCs w:val="24"/>
        </w:rPr>
        <w:t xml:space="preserve">El examen comparado de las tres experiencias permite identificar un conjunto de factores que aparecen de manera recurrente en los casos de éxito. En primer lugar, la infraestructura digital previa: los tres países contaban con algún grado de digitalización sanitaria antes de incorporar herramientas de IA, y en todos los casos ese sustrato fue determinante. En segundo lugar, la capacitación del personal: ninguno de los tres programas exitosos introdujo la IA como un sistema autónomo; en todos los casos el personal de salud fue formado para operar junto a los sistemas, no para ser reemplazado por ellos.</w:t>
      </w:r>
    </w:p>
    <w:p>
      <w:pPr>
        <w:spacing w:after="240" w:before="0" w:line="276" w:lineRule="auto"/>
        <w:jc w:val="both"/>
      </w:pPr>
      <w:r>
        <w:rPr>
          <w:rFonts w:ascii="Times New Roman" w:cs="Times New Roman" w:eastAsia="Times New Roman" w:hAnsi="Times New Roman"/>
          <w:sz w:val="24"/>
          <w:szCs w:val="24"/>
        </w:rPr>
        <w:t xml:space="preserve">En tercer lugar, el respaldo regulatorio: los tres países contaban con marcos normativos que establecían con claridad quién era responsable de las decisiones clínicas y cómo se gestionaban los datos de los pacientes. Este factor, frecuentemente subestimado en los debates sobre IA y salud, resultó ser una condición necesaria para que los sistemas fueran aceptados tanto por los profesionales como por las comunidades.</w:t>
      </w:r>
    </w:p>
    <w:p>
      <w:pPr>
        <w:spacing w:after="240" w:before="0" w:line="276" w:lineRule="auto"/>
        <w:jc w:val="both"/>
      </w:pPr>
      <w:r>
        <w:rPr>
          <w:rFonts w:ascii="Times New Roman" w:cs="Times New Roman" w:eastAsia="Times New Roman" w:hAnsi="Times New Roman"/>
          <w:sz w:val="24"/>
          <w:szCs w:val="24"/>
        </w:rPr>
        <w:t xml:space="preserve">Este trabajo contribuye al debate sobre la transferibilidad de políticas de IA en salud al identificar con precisión qué condiciones son necesarias y cuáles son contingentes. No todas las lecciones de Estonia son aplicables en Sri Lanka, y no todas las de Sri Lanka son aplicables en Ruanda. La selección de modelos de referencia debe hacerse con atención a las condiciones de contexto, no por el atractivo superficial de los resultados.</w:t>
      </w:r>
    </w:p>
    <w:p>
      <w:pPr>
        <w:spacing w:after="120" w:before="320" w:line="276" w:lineRule="auto"/>
        <w:jc w:val="left"/>
      </w:pPr>
      <w:r>
        <w:rPr>
          <w:rFonts w:ascii="Times New Roman" w:cs="Times New Roman" w:eastAsia="Times New Roman" w:hAnsi="Times New Roman"/>
          <w:b/>
          <w:bCs/>
          <w:sz w:val="28"/>
          <w:szCs w:val="28"/>
        </w:rPr>
        <w:t xml:space="preserve">Conclusiones</w:t>
      </w:r>
    </w:p>
    <w:p>
      <w:pPr>
        <w:spacing w:after="240" w:before="0" w:line="276" w:lineRule="auto"/>
        <w:jc w:val="both"/>
      </w:pPr>
      <w:r>
        <w:rPr>
          <w:rFonts w:ascii="Times New Roman" w:cs="Times New Roman" w:eastAsia="Times New Roman" w:hAnsi="Times New Roman"/>
          <w:sz w:val="24"/>
          <w:szCs w:val="24"/>
        </w:rPr>
        <w:t xml:space="preserve">Los análisis presentados en este artículo indican que la adopción exitosa de inteligencia artificial en sistemas de salud pública no depende primariamente de la sofisticación tecnológica de las herramientas elegidas, sino de las condiciones institucionales y de infraestructura en las que estas herramientas se despliegan. Sri Lanka, Ruanda y Estonia lo demuestran desde contextos muy distintos.</w:t>
      </w:r>
    </w:p>
    <w:p>
      <w:pPr>
        <w:spacing w:after="240" w:before="0" w:line="276" w:lineRule="auto"/>
        <w:jc w:val="both"/>
      </w:pPr>
      <w:r>
        <w:rPr>
          <w:rFonts w:ascii="Times New Roman" w:cs="Times New Roman" w:eastAsia="Times New Roman" w:hAnsi="Times New Roman"/>
          <w:sz w:val="24"/>
          <w:szCs w:val="24"/>
        </w:rPr>
        <w:t xml:space="preserve">Se concluye que los países que aspiren a incorporar IA en sus sistemas sanitarios deben comenzar por una evaluación honesta de su punto de partida: ¿qué tan digitalizado está el sistema de información de salud? ¿Con qué capacidades de formación cuenta el personal sanitario? ¿Existe un marco regulatorio claro para la protección de datos de salud? Las respuestas a estas preguntas son más determinantes del éxito que la elección entre un sistema de IA u otro.</w:t>
      </w:r>
    </w:p>
    <w:p>
      <w:pPr>
        <w:spacing w:after="240" w:before="0" w:line="276" w:lineRule="auto"/>
        <w:jc w:val="both"/>
      </w:pPr>
      <w:r>
        <w:rPr>
          <w:rFonts w:ascii="Times New Roman" w:cs="Times New Roman" w:eastAsia="Times New Roman" w:hAnsi="Times New Roman"/>
          <w:sz w:val="24"/>
          <w:szCs w:val="24"/>
        </w:rPr>
        <w:t xml:space="preserve">Los hallazgos de este estudio sugieren, además, que la cooperación Sur-Sur en materia de IA y salud pública tiene un potencial subestimado. Las experiencias de países de ingresos medios y bajos que han logrado avances significativos son más directamente transferibles entre sí que las experiencias de los países desarrollados, cuyas condiciones de partida son radicalmente distintas.</w:t>
      </w:r>
    </w:p>
    <w:p>
      <w:r>
        <w:t xml:space="preserve"/>
      </w:r>
    </w:p>
    <w:p>
      <w:pPr>
        <w:spacing w:after="120" w:before="320" w:line="276" w:lineRule="auto"/>
        <w:jc w:val="left"/>
      </w:pPr>
      <w:r>
        <w:rPr>
          <w:rFonts w:ascii="Times New Roman" w:cs="Times New Roman" w:eastAsia="Times New Roman" w:hAnsi="Times New Roman"/>
          <w:b/>
          <w:bCs/>
          <w:sz w:val="28"/>
          <w:szCs w:val="28"/>
        </w:rPr>
        <w:t xml:space="preserve">Referencias</w:t>
      </w:r>
    </w:p>
    <w:p>
      <w:pPr>
        <w:spacing w:after="160" w:before="0" w:line="276" w:lineRule="auto"/>
        <w:ind w:left="720" w:hanging="720"/>
        <w:jc w:val="both"/>
      </w:pPr>
      <w:r>
        <w:rPr>
          <w:rFonts w:ascii="Times New Roman" w:cs="Times New Roman" w:eastAsia="Times New Roman" w:hAnsi="Times New Roman"/>
          <w:sz w:val="24"/>
          <w:szCs w:val="24"/>
        </w:rPr>
        <w:t xml:space="preserve">Kalvet, T. (2012). Innovation: A factor explaining e-government success in Estonia. </w:t>
      </w:r>
      <w:r>
        <w:rPr>
          <w:rFonts w:ascii="Times New Roman" w:cs="Times New Roman" w:eastAsia="Times New Roman" w:hAnsi="Times New Roman"/>
          <w:i/>
          <w:iCs/>
          <w:sz w:val="24"/>
          <w:szCs w:val="24"/>
        </w:rPr>
        <w:t xml:space="preserve">Electronic Government, an International Journal, 9</w:t>
      </w:r>
      <w:r>
        <w:rPr>
          <w:rFonts w:ascii="Times New Roman" w:cs="Times New Roman" w:eastAsia="Times New Roman" w:hAnsi="Times New Roman"/>
          <w:sz w:val="24"/>
          <w:szCs w:val="24"/>
        </w:rPr>
        <w:t xml:space="preserve">(2), 142–157. https://doi.org/10.1504/EG.2012.046266</w:t>
      </w:r>
    </w:p>
    <w:p>
      <w:pPr>
        <w:spacing w:after="160" w:before="0" w:line="276" w:lineRule="auto"/>
        <w:ind w:left="720" w:hanging="720"/>
        <w:jc w:val="both"/>
      </w:pPr>
      <w:r>
        <w:rPr>
          <w:rFonts w:ascii="Times New Roman" w:cs="Times New Roman" w:eastAsia="Times New Roman" w:hAnsi="Times New Roman"/>
          <w:sz w:val="24"/>
          <w:szCs w:val="24"/>
        </w:rPr>
        <w:t xml:space="preserve">Mutabazi, J. M., Bimerew, M., Niyoyita, J. C., y Farmer, P. E. (2020). Artificial intelligence in African health systems: Current applications and future perspectives. </w:t>
      </w:r>
      <w:r>
        <w:rPr>
          <w:rFonts w:ascii="Times New Roman" w:cs="Times New Roman" w:eastAsia="Times New Roman" w:hAnsi="Times New Roman"/>
          <w:i/>
          <w:iCs/>
          <w:sz w:val="24"/>
          <w:szCs w:val="24"/>
        </w:rPr>
        <w:t xml:space="preserve">The Lancet Digital Health, 2</w:t>
      </w:r>
      <w:r>
        <w:rPr>
          <w:rFonts w:ascii="Times New Roman" w:cs="Times New Roman" w:eastAsia="Times New Roman" w:hAnsi="Times New Roman"/>
          <w:sz w:val="24"/>
          <w:szCs w:val="24"/>
        </w:rPr>
        <w:t xml:space="preserve">(1), e4–e5.</w:t>
      </w:r>
    </w:p>
    <w:p>
      <w:pPr>
        <w:spacing w:after="160" w:before="0" w:line="276" w:lineRule="auto"/>
        <w:ind w:left="720" w:hanging="720"/>
        <w:jc w:val="both"/>
      </w:pPr>
      <w:r>
        <w:rPr>
          <w:rFonts w:ascii="Times New Roman" w:cs="Times New Roman" w:eastAsia="Times New Roman" w:hAnsi="Times New Roman"/>
          <w:sz w:val="24"/>
          <w:szCs w:val="24"/>
        </w:rPr>
        <w:t xml:space="preserve">Obermeyer, Z., y Emanuel, E. J. (2016). Predicting the future: Big data, machine learning, and clinical medicine. </w:t>
      </w:r>
      <w:r>
        <w:rPr>
          <w:rFonts w:ascii="Times New Roman" w:cs="Times New Roman" w:eastAsia="Times New Roman" w:hAnsi="Times New Roman"/>
          <w:i/>
          <w:iCs/>
          <w:sz w:val="24"/>
          <w:szCs w:val="24"/>
        </w:rPr>
        <w:t xml:space="preserve">New England Journal of Medicine, 375</w:t>
      </w:r>
      <w:r>
        <w:rPr>
          <w:rFonts w:ascii="Times New Roman" w:cs="Times New Roman" w:eastAsia="Times New Roman" w:hAnsi="Times New Roman"/>
          <w:sz w:val="24"/>
          <w:szCs w:val="24"/>
        </w:rPr>
        <w:t xml:space="preserve">(13), 1216–1219. https://doi.org/10.1056/NEJMp1606181</w:t>
      </w:r>
    </w:p>
    <w:p>
      <w:pPr>
        <w:spacing w:after="160" w:before="0" w:line="276" w:lineRule="auto"/>
        <w:ind w:left="720" w:hanging="720"/>
        <w:jc w:val="both"/>
      </w:pPr>
      <w:r>
        <w:rPr>
          <w:rFonts w:ascii="Times New Roman" w:cs="Times New Roman" w:eastAsia="Times New Roman" w:hAnsi="Times New Roman"/>
          <w:sz w:val="24"/>
          <w:szCs w:val="24"/>
        </w:rPr>
        <w:t xml:space="preserve">Tissera, H., Amarasinghe, A., Gunasena, S., De Silva, A. D., Yee, L. W., Sessions, O. M., y Gubler, D. J. (2016). Dengue in Sri Lanka: Emergence of a new lineage of dengue virus type 2 in 2012. </w:t>
      </w:r>
      <w:r>
        <w:rPr>
          <w:rFonts w:ascii="Times New Roman" w:cs="Times New Roman" w:eastAsia="Times New Roman" w:hAnsi="Times New Roman"/>
          <w:i/>
          <w:iCs/>
          <w:sz w:val="24"/>
          <w:szCs w:val="24"/>
        </w:rPr>
        <w:t xml:space="preserve">PLOS Neglected Tropical Diseases, 10</w:t>
      </w:r>
      <w:r>
        <w:rPr>
          <w:rFonts w:ascii="Times New Roman" w:cs="Times New Roman" w:eastAsia="Times New Roman" w:hAnsi="Times New Roman"/>
          <w:sz w:val="24"/>
          <w:szCs w:val="24"/>
        </w:rPr>
        <w:t xml:space="preserve">(10), e0005000.</w:t>
      </w:r>
    </w:p>
    <w:p>
      <w:pPr>
        <w:spacing w:after="160" w:before="0" w:line="276" w:lineRule="auto"/>
        <w:ind w:left="720" w:hanging="720"/>
        <w:jc w:val="both"/>
      </w:pPr>
      <w:r>
        <w:rPr>
          <w:rFonts w:ascii="Times New Roman" w:cs="Times New Roman" w:eastAsia="Times New Roman" w:hAnsi="Times New Roman"/>
          <w:sz w:val="24"/>
          <w:szCs w:val="24"/>
        </w:rPr>
        <w:t xml:space="preserve">Topol, E. J. (2019). </w:t>
      </w:r>
      <w:r>
        <w:rPr>
          <w:rFonts w:ascii="Times New Roman" w:cs="Times New Roman" w:eastAsia="Times New Roman" w:hAnsi="Times New Roman"/>
          <w:i/>
          <w:iCs/>
          <w:sz w:val="24"/>
          <w:szCs w:val="24"/>
        </w:rPr>
        <w:t xml:space="preserve">Deep medicine: How artificial intelligence can make healthcare human again.</w:t>
      </w:r>
      <w:r>
        <w:rPr>
          <w:rFonts w:ascii="Times New Roman" w:cs="Times New Roman" w:eastAsia="Times New Roman" w:hAnsi="Times New Roman"/>
          <w:sz w:val="24"/>
          <w:szCs w:val="24"/>
        </w:rPr>
        <w:t xml:space="preserve"> Basic Books.</w:t>
      </w:r>
    </w:p>
    <w:p>
      <w:pPr>
        <w:spacing w:after="160" w:before="0" w:line="276" w:lineRule="auto"/>
        <w:ind w:left="720" w:hanging="720"/>
        <w:jc w:val="both"/>
      </w:pPr>
      <w:r>
        <w:rPr>
          <w:rFonts w:ascii="Times New Roman" w:cs="Times New Roman" w:eastAsia="Times New Roman" w:hAnsi="Times New Roman"/>
          <w:sz w:val="24"/>
          <w:szCs w:val="24"/>
        </w:rPr>
        <w:t xml:space="preserve">Wijeratne, S., Amarasekara, P., Gunasekara, D., Palihawadana, P., y Tissera, H. (2018). Spatiotemporal distribution of dengue and associated factors in Sri Lanka. </w:t>
      </w:r>
      <w:r>
        <w:rPr>
          <w:rFonts w:ascii="Times New Roman" w:cs="Times New Roman" w:eastAsia="Times New Roman" w:hAnsi="Times New Roman"/>
          <w:i/>
          <w:iCs/>
          <w:sz w:val="24"/>
          <w:szCs w:val="24"/>
        </w:rPr>
        <w:t xml:space="preserve">PLOS ONE, 13</w:t>
      </w:r>
      <w:r>
        <w:rPr>
          <w:rFonts w:ascii="Times New Roman" w:cs="Times New Roman" w:eastAsia="Times New Roman" w:hAnsi="Times New Roman"/>
          <w:sz w:val="24"/>
          <w:szCs w:val="24"/>
        </w:rPr>
        <w:t xml:space="preserve">(12), e0208277.</w:t>
      </w:r>
    </w:p>
    <w:p>
      <w:pPr>
        <w:spacing w:after="160" w:before="0" w:line="276" w:lineRule="auto"/>
        <w:ind w:left="720" w:hanging="720"/>
        <w:jc w:val="both"/>
      </w:pPr>
      <w:r>
        <w:rPr>
          <w:rFonts w:ascii="Times New Roman" w:cs="Times New Roman" w:eastAsia="Times New Roman" w:hAnsi="Times New Roman"/>
          <w:sz w:val="24"/>
          <w:szCs w:val="24"/>
        </w:rPr>
        <w:t xml:space="preserve">Wootton, R., Bahaadinbeigy, K., y Hailey, D. (2011). Estimating travel reduction associated with the use of telemedicine by patients and healthcare professionals. </w:t>
      </w:r>
      <w:r>
        <w:rPr>
          <w:rFonts w:ascii="Times New Roman" w:cs="Times New Roman" w:eastAsia="Times New Roman" w:hAnsi="Times New Roman"/>
          <w:i/>
          <w:iCs/>
          <w:sz w:val="24"/>
          <w:szCs w:val="24"/>
        </w:rPr>
        <w:t xml:space="preserve">Journal of Telemedicine and Telecare, 17</w:t>
      </w:r>
      <w:r>
        <w:rPr>
          <w:rFonts w:ascii="Times New Roman" w:cs="Times New Roman" w:eastAsia="Times New Roman" w:hAnsi="Times New Roman"/>
          <w:sz w:val="24"/>
          <w:szCs w:val="24"/>
        </w:rPr>
        <w:t xml:space="preserve">(3), 109–111.</w:t>
      </w:r>
    </w:p>
    <w:p>
      <w:pPr>
        <w:spacing w:after="160" w:before="0" w:line="276" w:lineRule="auto"/>
        <w:ind w:left="720" w:hanging="720"/>
        <w:jc w:val="both"/>
      </w:pPr>
      <w:r>
        <w:rPr>
          <w:rFonts w:ascii="Times New Roman" w:cs="Times New Roman" w:eastAsia="Times New Roman" w:hAnsi="Times New Roman"/>
          <w:sz w:val="24"/>
          <w:szCs w:val="24"/>
        </w:rPr>
        <w:t xml:space="preserve">World Health Organization. (2019). </w:t>
      </w:r>
      <w:r>
        <w:rPr>
          <w:rFonts w:ascii="Times New Roman" w:cs="Times New Roman" w:eastAsia="Times New Roman" w:hAnsi="Times New Roman"/>
          <w:i/>
          <w:iCs/>
          <w:sz w:val="24"/>
          <w:szCs w:val="24"/>
        </w:rPr>
        <w:t xml:space="preserve">WHO guideline: Recommendations on digital interventions for health system strengthening.</w:t>
      </w:r>
      <w:r>
        <w:rPr>
          <w:rFonts w:ascii="Times New Roman" w:cs="Times New Roman" w:eastAsia="Times New Roman" w:hAnsi="Times New Roman"/>
          <w:sz w:val="24"/>
          <w:szCs w:val="24"/>
        </w:rPr>
        <w:t xml:space="preserve"> WHO Press.</w:t>
      </w:r>
    </w:p>
    <w:p>
      <w:pPr>
        <w:spacing w:after="160" w:before="0" w:line="276" w:lineRule="auto"/>
        <w:ind w:left="720" w:hanging="720"/>
        <w:jc w:val="both"/>
      </w:pPr>
      <w:r>
        <w:rPr>
          <w:rFonts w:ascii="Times New Roman" w:cs="Times New Roman" w:eastAsia="Times New Roman" w:hAnsi="Times New Roman"/>
          <w:sz w:val="24"/>
          <w:szCs w:val="24"/>
        </w:rPr>
        <w:t xml:space="preserve">World Health Organization. (2016). </w:t>
      </w:r>
      <w:r>
        <w:rPr>
          <w:rFonts w:ascii="Times New Roman" w:cs="Times New Roman" w:eastAsia="Times New Roman" w:hAnsi="Times New Roman"/>
          <w:i/>
          <w:iCs/>
          <w:sz w:val="24"/>
          <w:szCs w:val="24"/>
        </w:rPr>
        <w:t xml:space="preserve">Global strategy on human resources for health: Workforce 2030.</w:t>
      </w:r>
      <w:r>
        <w:rPr>
          <w:rFonts w:ascii="Times New Roman" w:cs="Times New Roman" w:eastAsia="Times New Roman" w:hAnsi="Times New Roman"/>
          <w:sz w:val="24"/>
          <w:szCs w:val="24"/>
        </w:rPr>
        <w:t xml:space="preserve"> WHO Press.</w:t>
      </w:r>
    </w:p>
    <w:p>
      <w:pPr>
        <w:spacing w:after="160" w:before="0" w:line="276" w:lineRule="auto"/>
        <w:ind w:left="720" w:hanging="720"/>
        <w:jc w:val="both"/>
      </w:pPr>
      <w:r>
        <w:rPr>
          <w:rFonts w:ascii="Times New Roman" w:cs="Times New Roman" w:eastAsia="Times New Roman" w:hAnsi="Times New Roman"/>
          <w:sz w:val="24"/>
          <w:szCs w:val="24"/>
        </w:rPr>
        <w:t xml:space="preserve">Wyber, R., Vaillancourt, S., Perry, W., Mannava, P., Folaranmi, T., y Celi, L. A. (2015). Big data in global health: Improving health in low- and middle-income countries. </w:t>
      </w:r>
      <w:r>
        <w:rPr>
          <w:rFonts w:ascii="Times New Roman" w:cs="Times New Roman" w:eastAsia="Times New Roman" w:hAnsi="Times New Roman"/>
          <w:i/>
          <w:iCs/>
          <w:sz w:val="24"/>
          <w:szCs w:val="24"/>
        </w:rPr>
        <w:t xml:space="preserve">Bulletin of the World Health Organization, 93</w:t>
      </w:r>
      <w:r>
        <w:rPr>
          <w:rFonts w:ascii="Times New Roman" w:cs="Times New Roman" w:eastAsia="Times New Roman" w:hAnsi="Times New Roman"/>
          <w:sz w:val="24"/>
          <w:szCs w:val="24"/>
        </w:rPr>
        <w:t xml:space="preserve">(3), 203–208.</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20"/>
        <w:szCs w:val="20"/>
      </w:rPr>
      <w:t xml:space="preserve">IA EN SALUD PÚBLICA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2026-06-15T10:09:52.198Z</dcterms:created>
  <dcterms:modified xsi:type="dcterms:W3CDTF">2026-06-15T10:09:52.214Z</dcterms:modified>
</cp:coreProperties>
</file>

<file path=docProps/custom.xml><?xml version="1.0" encoding="utf-8"?>
<Properties xmlns="http://schemas.openxmlformats.org/officeDocument/2006/custom-properties" xmlns:vt="http://schemas.openxmlformats.org/officeDocument/2006/docPropsVTypes"/>
</file>