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5F"/>
          <w:sz w:val="44"/>
          <w:szCs w:val="44"/>
        </w:rPr>
        <w:t xml:space="preserve">Explainable Fraud Intelligence Platform</w:t>
      </w:r>
    </w:p>
    <w:p>
      <w:pPr>
        <w:spacing w:after="60"/>
      </w:pPr>
      <w:r>
        <w:rPr>
          <w:color w:val="2E7D6B"/>
          <w:sz w:val="28"/>
          <w:szCs w:val="28"/>
        </w:rPr>
        <w:t xml:space="preserve">Project Review Document</w:t>
      </w:r>
    </w:p>
    <w:p>
      <w:pPr>
        <w:spacing w:after="60"/>
      </w:pPr>
      <w:r>
        <w:rPr>
          <w:i/>
          <w:iCs/>
          <w:color w:val="555555"/>
          <w:sz w:val="20"/>
          <w:szCs w:val="20"/>
        </w:rPr>
        <w:t xml:space="preserve">Behavioral Fraud DNA · LSTM Risk Prediction · DNN Real-Time Detection · SHAP Explainability</w:t>
      </w:r>
    </w:p>
    <w:p>
      <w:pPr>
        <w:spacing w:after="60"/>
      </w:pPr>
      <w:r>
        <w:rPr>
          <w:color w:val="555555"/>
          <w:sz w:val="20"/>
          <w:szCs w:val="20"/>
        </w:rPr>
        <w:t xml:space="preserve">Repository: github.com/gunagireesh/fraud-intelligence-platform</w:t>
      </w:r>
    </w:p>
    <w:p>
      <w:pPr>
        <w:pBdr>
          <w:bottom w:val="single" w:color="1F4E5F" w:sz="6" w:space="8"/>
        </w:pBdr>
        <w:spacing w:after="320"/>
      </w:pPr>
      <w:r>
        <w:rPr>
          <w:color w:val="555555"/>
          <w:sz w:val="20"/>
          <w:szCs w:val="20"/>
        </w:rPr>
        <w:t xml:space="preserve">Date: 16 July 2026</w:t>
      </w:r>
    </w:p>
    <w:p>
      <w:pPr>
        <w:spacing w:after="240"/>
        <w:jc w:val="both"/>
      </w:pPr>
      <w:r>
        <w:rPr>
          <w:b/>
          <w:bCs/>
        </w:rPr>
        <w:t xml:space="preserve">Status update (September 2026): </w:t>
      </w:r>
      <w:r>
        <w:t xml:space="preserve">A later leakage-safe, time-based evaluation (docs/EVALUATION.md in the repository) supersedes the model claims and metrics in this review. On the current synthetic dataset, the LSTM risk score does not act as an early warning: it flags 0 of 16 first-fraud transactions in the test period and rises only after a fraud episode has started. The DNN performs the same with or without it. Statements below that describe the LSTM as a leading indicator record the original research hypothesis, not a measured result. The corrected DNN results (precision, recall and PR-AUC all 1.000) are matched by a simple amount/hour rule, because the synthetic data makes fraud easy to separate.</w:t>
      </w:r>
    </w:p>
    <w:p>
      <w:pPr>
        <w:pStyle w:val="Heading1"/>
        <w:spacing w:after="160" w:before="360"/>
      </w:pPr>
      <w:r>
        <w:t xml:space="preserve">1. Problem Statement</w:t>
      </w:r>
    </w:p>
    <w:p>
      <w:pPr>
        <w:pStyle w:val="Heading2"/>
        <w:spacing w:after="120" w:before="240"/>
      </w:pPr>
      <w:r>
        <w:t xml:space="preserve">1.1 Background</w:t>
      </w:r>
    </w:p>
    <w:p>
      <w:pPr>
        <w:spacing w:after="160"/>
        <w:jc w:val="both"/>
      </w:pPr>
      <w:r>
        <w:t xml:space="preserve">Digital banking transaction volumes have grown to a scale where manual review of every transaction is impossible, and fraud patterns evolve continuously as fraudsters adapt to whatever detection method is currently deployed. Financial institutions have historically relied on rule-based systems — fixed thresholds such as “flag any transaction above ₹50,000” or “flag any transaction from a foreign country” — to catch suspicious activity. These rules are fast and explainable, but they are also static, generic, and easy for a fraudster to learn and route around.</w:t>
      </w:r>
    </w:p>
    <w:p>
      <w:pPr>
        <w:spacing w:after="160"/>
        <w:jc w:val="both"/>
      </w:pPr>
      <w:r>
        <w:t xml:space="preserve">Modern machine learning approaches (deep neural networks, gradient boosting, autoencoders) improve raw detection accuracy considerably, but introduce a new problem in their place: they are black boxes. A model that outputs “fraud probability = 0.87” gives a fraud analyst a number, not a reason. In a regulated banking environment, that is not good enough — an analyst who blocks a customer’s card or freezes a transaction needs to be able to justify that decision to the customer, to internal compliance, and potentially to a regulator.</w:t>
      </w:r>
    </w:p>
    <w:p>
      <w:pPr>
        <w:pStyle w:val="Heading2"/>
        <w:spacing w:after="120" w:before="240"/>
      </w:pPr>
      <w:r>
        <w:t xml:space="preserve">1.2 The Three Gaps This Project Addresses</w:t>
      </w:r>
    </w:p>
    <w:p>
      <w:pPr>
        <w:pStyle w:val="ListParagraph"/>
        <w:numPr>
          <w:ilvl w:val="0"/>
          <w:numId w:val="2"/>
        </w:numPr>
        <w:spacing w:after="80"/>
      </w:pPr>
      <w:r>
        <w:t xml:space="preserve">Lack of personalization. Most fraud systems apply the same global rules or the same trained model output to every customer, without building an individual behavioral baseline. What counts as “unusual” is inherently different for a customer who travels frequently versus one who has never left their home city — a generic threshold cannot capture this.</w:t>
      </w:r>
    </w:p>
    <w:p>
      <w:pPr>
        <w:pStyle w:val="ListParagraph"/>
        <w:numPr>
          <w:ilvl w:val="0"/>
          <w:numId w:val="2"/>
        </w:numPr>
        <w:spacing w:after="80"/>
      </w:pPr>
      <w:r>
        <w:t xml:space="preserve">Lack of temporal / trajectory awareness. Most systems classify each transaction in isolation, at the moment it happens. They do not look at how a customer’s behavior has been drifting over their recent transaction history, and so they cannot flag a risk that is building up before the actual fraudulent transaction lands — they can only react after the fact.</w:t>
      </w:r>
    </w:p>
    <w:p>
      <w:pPr>
        <w:pStyle w:val="ListParagraph"/>
        <w:numPr>
          <w:ilvl w:val="0"/>
          <w:numId w:val="2"/>
        </w:numPr>
        <w:spacing w:after="80"/>
      </w:pPr>
      <w:r>
        <w:t xml:space="preserve">Lack of explainability. Deep learning fraud classifiers rarely expose why a specific transaction was flagged, which undermines analyst trust, slows down manual review, and creates regulatory and customer-trust risk when an automated decision cannot be explained in human terms.</w:t>
      </w:r>
    </w:p>
    <w:p>
      <w:pPr>
        <w:pStyle w:val="Heading2"/>
        <w:spacing w:after="120" w:before="240"/>
      </w:pPr>
      <w:r>
        <w:t xml:space="preserve">1.3 Formal Problem Statement</w:t>
      </w:r>
    </w:p>
    <w:p>
      <w:pPr>
        <w:spacing w:after="160"/>
        <w:jc w:val="both"/>
      </w:pPr>
      <w:r>
        <w:rPr>
          <w:b/>
          <w:bCs/>
        </w:rPr>
        <w:t xml:space="preserve">Problem: </w:t>
      </w:r>
      <w:r>
        <w:t xml:space="preserve">Design and build a fraud intelligence system that (a) constructs a per-customer behavioral profile — a “Behavioral Fraud DNA” — from each customer’s own transaction history, (b) scores a customer’s historical fraud risk from their prior transactions, with the aim of flagging risk before an anomalous transaction occurs, (c) classifies individual incoming transactions for fraud in real time, and (d) explains every decision it makes in human-interpretable terms, so that a banking fraud analyst can trust, verify, and act on the system’s output rather than treating it as an opaque black box.</w:t>
      </w:r>
    </w:p>
    <w:p>
      <w:pPr>
        <w:spacing w:after="160"/>
        <w:jc w:val="both"/>
      </w:pPr>
      <w:r>
        <w:t xml:space="preserve">Because real, labeled banking transaction data with device / login / location history is not publicly available (financial institutions do not release it, for obvious privacy and competitive reasons), this project constructs and uses a synthetic dataset in which each fraud episode is a burst of anomalous transactions (a milder ramp-up week, also labeled as fraud, followed by a high-severity week) — a standard, accepted practice in fraud-detection research, following precedent set by datasets such as PaySim.</w:t>
      </w:r>
    </w:p>
    <w:p>
      <w:pPr>
        <w:pStyle w:val="Heading2"/>
        <w:spacing w:after="120" w:before="240"/>
      </w:pPr>
      <w:r>
        <w:t xml:space="preserve">1.4 Objectives</w:t>
      </w:r>
    </w:p>
    <w:p>
      <w:pPr>
        <w:pStyle w:val="ListParagraph"/>
        <w:numPr>
          <w:ilvl w:val="0"/>
          <w:numId w:val="3"/>
        </w:numPr>
        <w:spacing w:after="80"/>
      </w:pPr>
      <w:r>
        <w:t xml:space="preserve">Engineer a “Behavioral Fraud DNA” feature set per customer, computed strictly from prior history with no lookahead / no data leakage.</w:t>
      </w:r>
    </w:p>
    <w:p>
      <w:pPr>
        <w:pStyle w:val="ListParagraph"/>
        <w:numPr>
          <w:ilvl w:val="0"/>
          <w:numId w:val="3"/>
        </w:numPr>
        <w:spacing w:after="80"/>
      </w:pPr>
      <w:r>
        <w:t xml:space="preserve">Train a sequence model (LSTM) that scores a customer’s historical fraud risk from their recent transaction history, intended as a leading indicator before the risky transaction itself. (Research hypothesis; not supported on the current data. See the status update above.)</w:t>
      </w:r>
    </w:p>
    <w:p>
      <w:pPr>
        <w:pStyle w:val="ListParagraph"/>
        <w:numPr>
          <w:ilvl w:val="0"/>
          <w:numId w:val="3"/>
        </w:numPr>
        <w:spacing w:after="80"/>
      </w:pPr>
      <w:r>
        <w:t xml:space="preserve">Train a point-in-time classifier (DNN) that scores each incoming transaction for fraud in real time, using both its own features and the trajectory risk score.</w:t>
      </w:r>
    </w:p>
    <w:p>
      <w:pPr>
        <w:pStyle w:val="ListParagraph"/>
        <w:numPr>
          <w:ilvl w:val="0"/>
          <w:numId w:val="3"/>
        </w:numPr>
        <w:spacing w:after="80"/>
      </w:pPr>
      <w:r>
        <w:t xml:space="preserve">Integrate SHAP (SHapley Additive exPlanations) to translate every model decision into ranked, human-readable reasons (e.g. “New Device,” “Foreign Location”).</w:t>
      </w:r>
    </w:p>
    <w:p>
      <w:pPr>
        <w:pStyle w:val="ListParagraph"/>
        <w:numPr>
          <w:ilvl w:val="0"/>
          <w:numId w:val="3"/>
        </w:numPr>
        <w:spacing w:after="80"/>
      </w:pPr>
      <w:r>
        <w:t xml:space="preserve">Compute a Behavioral Similarity Score that quantifies how far a transaction deviates from a customer’s own historical norm.</w:t>
      </w:r>
    </w:p>
    <w:p>
      <w:pPr>
        <w:pStyle w:val="ListParagraph"/>
        <w:numPr>
          <w:ilvl w:val="0"/>
          <w:numId w:val="3"/>
        </w:numPr>
        <w:spacing w:after="80"/>
      </w:pPr>
      <w:r>
        <w:t xml:space="preserve">Expose all of the above through a REST API and an interactive analyst-facing dashboard.</w:t>
      </w:r>
    </w:p>
    <w:p>
      <w:pPr>
        <w:pStyle w:val="Heading1"/>
        <w:spacing w:after="160" w:before="360"/>
      </w:pPr>
      <w:r>
        <w:t xml:space="preserve">2. Technology Stack</w:t>
      </w:r>
    </w:p>
    <w:p>
      <w:pPr>
        <w:pStyle w:val="Heading2"/>
        <w:spacing w:after="120" w:before="240"/>
      </w:pPr>
      <w:r>
        <w:t xml:space="preserve">2.1 Backend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5300"/>
      </w:tblGrid>
      <w:tr>
        <w:tc>
          <w:tcPr>
            <w:tcW w:type="dxa" w:w="3200"/>
            <w:shd w:fill="1F4E5F" w:val="clear"/>
            <w:tcMar>
              <w:top w:type="dxa" w:w="100"/>
              <w:left w:type="dxa" w:w="120"/>
              <w:bottom w:type="dxa" w:w="100"/>
              <w:right w:type="dxa" w:w="120"/>
            </w:tcMar>
          </w:tcPr>
          <w:p>
            <w:r>
              <w:rPr>
                <w:b/>
                <w:bCs/>
                <w:color w:val="FFFFFF"/>
              </w:rPr>
              <w:t xml:space="preserve">Component</w:t>
            </w:r>
          </w:p>
        </w:tc>
        <w:tc>
          <w:tcPr>
            <w:tcW w:type="dxa" w:w="3700"/>
            <w:shd w:fill="1F4E5F" w:val="clear"/>
            <w:tcMar>
              <w:top w:type="dxa" w:w="100"/>
              <w:left w:type="dxa" w:w="120"/>
              <w:bottom w:type="dxa" w:w="100"/>
              <w:right w:type="dxa" w:w="120"/>
            </w:tcMar>
          </w:tcPr>
          <w:p>
            <w:r>
              <w:rPr>
                <w:b/>
                <w:bCs/>
                <w:color w:val="FFFFFF"/>
              </w:rPr>
              <w:t xml:space="preserve">Technology</w:t>
            </w:r>
          </w:p>
        </w:tc>
        <w:tc>
          <w:tcPr>
            <w:tcW w:type="dxa" w:w="5300"/>
            <w:shd w:fill="1F4E5F" w:val="clear"/>
            <w:tcMar>
              <w:top w:type="dxa" w:w="100"/>
              <w:left w:type="dxa" w:w="120"/>
              <w:bottom w:type="dxa" w:w="100"/>
              <w:right w:type="dxa" w:w="120"/>
            </w:tcMar>
          </w:tcPr>
          <w:p>
            <w:r>
              <w:rPr>
                <w:b/>
                <w:bCs/>
                <w:color w:val="FFFFFF"/>
              </w:rPr>
              <w:t xml:space="preserve">Purpose</w:t>
            </w:r>
          </w:p>
        </w:tc>
      </w:tr>
      <w:tr>
        <w:tc>
          <w:tcPr>
            <w:tcW w:type="dxa" w:w="3200"/>
            <w:tcMar>
              <w:top w:type="dxa" w:w="100"/>
              <w:left w:type="dxa" w:w="120"/>
              <w:bottom w:type="dxa" w:w="100"/>
              <w:right w:type="dxa" w:w="120"/>
            </w:tcMar>
          </w:tcPr>
          <w:p>
            <w:r>
              <w:rPr>
                <w:b w:val="false"/>
                <w:bCs w:val="false"/>
              </w:rPr>
              <w:t xml:space="preserve">Language / Runtime</w:t>
            </w:r>
          </w:p>
        </w:tc>
        <w:tc>
          <w:tcPr>
            <w:tcW w:type="dxa" w:w="3700"/>
            <w:tcMar>
              <w:top w:type="dxa" w:w="100"/>
              <w:left w:type="dxa" w:w="120"/>
              <w:bottom w:type="dxa" w:w="100"/>
              <w:right w:type="dxa" w:w="120"/>
            </w:tcMar>
          </w:tcPr>
          <w:p>
            <w:r>
              <w:rPr>
                <w:b w:val="false"/>
                <w:bCs w:val="false"/>
              </w:rPr>
              <w:t xml:space="preserve">Python 3.13</w:t>
            </w:r>
          </w:p>
        </w:tc>
        <w:tc>
          <w:tcPr>
            <w:tcW w:type="dxa" w:w="5300"/>
            <w:tcMar>
              <w:top w:type="dxa" w:w="100"/>
              <w:left w:type="dxa" w:w="120"/>
              <w:bottom w:type="dxa" w:w="100"/>
              <w:right w:type="dxa" w:w="120"/>
            </w:tcMar>
          </w:tcPr>
          <w:p>
            <w:r>
              <w:rPr>
                <w:b w:val="false"/>
                <w:bCs w:val="false"/>
              </w:rPr>
              <w:t xml:space="preserve">Core backend language</w:t>
            </w:r>
          </w:p>
        </w:tc>
      </w:tr>
      <w:tr>
        <w:tc>
          <w:tcPr>
            <w:tcW w:type="dxa" w:w="3200"/>
            <w:shd w:fill="EAF1F0" w:val="clear"/>
            <w:tcMar>
              <w:top w:type="dxa" w:w="100"/>
              <w:left w:type="dxa" w:w="120"/>
              <w:bottom w:type="dxa" w:w="100"/>
              <w:right w:type="dxa" w:w="120"/>
            </w:tcMar>
          </w:tcPr>
          <w:p>
            <w:r>
              <w:rPr>
                <w:b w:val="false"/>
                <w:bCs w:val="false"/>
              </w:rPr>
              <w:t xml:space="preserve">API Framework</w:t>
            </w:r>
          </w:p>
        </w:tc>
        <w:tc>
          <w:tcPr>
            <w:tcW w:type="dxa" w:w="3700"/>
            <w:shd w:fill="EAF1F0" w:val="clear"/>
            <w:tcMar>
              <w:top w:type="dxa" w:w="100"/>
              <w:left w:type="dxa" w:w="120"/>
              <w:bottom w:type="dxa" w:w="100"/>
              <w:right w:type="dxa" w:w="120"/>
            </w:tcMar>
          </w:tcPr>
          <w:p>
            <w:r>
              <w:rPr>
                <w:b w:val="false"/>
                <w:bCs w:val="false"/>
              </w:rPr>
              <w:t xml:space="preserve">FastAPI 0.139</w:t>
            </w:r>
          </w:p>
        </w:tc>
        <w:tc>
          <w:tcPr>
            <w:tcW w:type="dxa" w:w="5300"/>
            <w:shd w:fill="EAF1F0" w:val="clear"/>
            <w:tcMar>
              <w:top w:type="dxa" w:w="100"/>
              <w:left w:type="dxa" w:w="120"/>
              <w:bottom w:type="dxa" w:w="100"/>
              <w:right w:type="dxa" w:w="120"/>
            </w:tcMar>
          </w:tcPr>
          <w:p>
            <w:r>
              <w:rPr>
                <w:b w:val="false"/>
                <w:bCs w:val="false"/>
              </w:rPr>
              <w:t xml:space="preserve">REST API — /predict, /predict/batch, /customers, /customer/{id}/history, /fraud-rings, /metrics, /report/pdf, /health</w:t>
            </w:r>
          </w:p>
        </w:tc>
      </w:tr>
      <w:tr>
        <w:tc>
          <w:tcPr>
            <w:tcW w:type="dxa" w:w="3200"/>
            <w:tcMar>
              <w:top w:type="dxa" w:w="100"/>
              <w:left w:type="dxa" w:w="120"/>
              <w:bottom w:type="dxa" w:w="100"/>
              <w:right w:type="dxa" w:w="120"/>
            </w:tcMar>
          </w:tcPr>
          <w:p>
            <w:r>
              <w:rPr>
                <w:b w:val="false"/>
                <w:bCs w:val="false"/>
              </w:rPr>
              <w:t xml:space="preserve">ASGI Server</w:t>
            </w:r>
          </w:p>
        </w:tc>
        <w:tc>
          <w:tcPr>
            <w:tcW w:type="dxa" w:w="3700"/>
            <w:tcMar>
              <w:top w:type="dxa" w:w="100"/>
              <w:left w:type="dxa" w:w="120"/>
              <w:bottom w:type="dxa" w:w="100"/>
              <w:right w:type="dxa" w:w="120"/>
            </w:tcMar>
          </w:tcPr>
          <w:p>
            <w:r>
              <w:rPr>
                <w:b w:val="false"/>
                <w:bCs w:val="false"/>
              </w:rPr>
              <w:t xml:space="preserve">Uvicorn 0.34</w:t>
            </w:r>
          </w:p>
        </w:tc>
        <w:tc>
          <w:tcPr>
            <w:tcW w:type="dxa" w:w="5300"/>
            <w:tcMar>
              <w:top w:type="dxa" w:w="100"/>
              <w:left w:type="dxa" w:w="120"/>
              <w:bottom w:type="dxa" w:w="100"/>
              <w:right w:type="dxa" w:w="120"/>
            </w:tcMar>
          </w:tcPr>
          <w:p>
            <w:r>
              <w:rPr>
                <w:b w:val="false"/>
                <w:bCs w:val="false"/>
              </w:rPr>
              <w:t xml:space="preserve">Serves the FastAPI app</w:t>
            </w:r>
          </w:p>
        </w:tc>
      </w:tr>
      <w:tr>
        <w:tc>
          <w:tcPr>
            <w:tcW w:type="dxa" w:w="3200"/>
            <w:shd w:fill="EAF1F0" w:val="clear"/>
            <w:tcMar>
              <w:top w:type="dxa" w:w="100"/>
              <w:left w:type="dxa" w:w="120"/>
              <w:bottom w:type="dxa" w:w="100"/>
              <w:right w:type="dxa" w:w="120"/>
            </w:tcMar>
          </w:tcPr>
          <w:p>
            <w:r>
              <w:rPr>
                <w:b w:val="false"/>
                <w:bCs w:val="false"/>
              </w:rPr>
              <w:t xml:space="preserve">ORM / Database</w:t>
            </w:r>
          </w:p>
        </w:tc>
        <w:tc>
          <w:tcPr>
            <w:tcW w:type="dxa" w:w="3700"/>
            <w:shd w:fill="EAF1F0" w:val="clear"/>
            <w:tcMar>
              <w:top w:type="dxa" w:w="100"/>
              <w:left w:type="dxa" w:w="120"/>
              <w:bottom w:type="dxa" w:w="100"/>
              <w:right w:type="dxa" w:w="120"/>
            </w:tcMar>
          </w:tcPr>
          <w:p>
            <w:r>
              <w:rPr>
                <w:b w:val="false"/>
                <w:bCs w:val="false"/>
              </w:rPr>
              <w:t xml:space="preserve">SQLAlchemy 2.0 + SQLite</w:t>
            </w:r>
          </w:p>
        </w:tc>
        <w:tc>
          <w:tcPr>
            <w:tcW w:type="dxa" w:w="5300"/>
            <w:shd w:fill="EAF1F0" w:val="clear"/>
            <w:tcMar>
              <w:top w:type="dxa" w:w="100"/>
              <w:left w:type="dxa" w:w="120"/>
              <w:bottom w:type="dxa" w:w="100"/>
              <w:right w:type="dxa" w:w="120"/>
            </w:tcMar>
          </w:tcPr>
          <w:p>
            <w:r>
              <w:rPr>
                <w:b w:val="false"/>
                <w:bCs w:val="false"/>
              </w:rPr>
              <w:t xml:space="preserve">Persists scored transactions for the fraud-evolution timeline</w:t>
            </w:r>
          </w:p>
        </w:tc>
      </w:tr>
      <w:tr>
        <w:tc>
          <w:tcPr>
            <w:tcW w:type="dxa" w:w="3200"/>
            <w:tcMar>
              <w:top w:type="dxa" w:w="100"/>
              <w:left w:type="dxa" w:w="120"/>
              <w:bottom w:type="dxa" w:w="100"/>
              <w:right w:type="dxa" w:w="120"/>
            </w:tcMar>
          </w:tcPr>
          <w:p>
            <w:r>
              <w:rPr>
                <w:b w:val="false"/>
                <w:bCs w:val="false"/>
              </w:rPr>
              <w:t xml:space="preserve">Data Processing</w:t>
            </w:r>
          </w:p>
        </w:tc>
        <w:tc>
          <w:tcPr>
            <w:tcW w:type="dxa" w:w="3700"/>
            <w:tcMar>
              <w:top w:type="dxa" w:w="100"/>
              <w:left w:type="dxa" w:w="120"/>
              <w:bottom w:type="dxa" w:w="100"/>
              <w:right w:type="dxa" w:w="120"/>
            </w:tcMar>
          </w:tcPr>
          <w:p>
            <w:r>
              <w:rPr>
                <w:b w:val="false"/>
                <w:bCs w:val="false"/>
              </w:rPr>
              <w:t xml:space="preserve">Pandas, NumPy</w:t>
            </w:r>
          </w:p>
        </w:tc>
        <w:tc>
          <w:tcPr>
            <w:tcW w:type="dxa" w:w="5300"/>
            <w:tcMar>
              <w:top w:type="dxa" w:w="100"/>
              <w:left w:type="dxa" w:w="120"/>
              <w:bottom w:type="dxa" w:w="100"/>
              <w:right w:type="dxa" w:w="120"/>
            </w:tcMar>
          </w:tcPr>
          <w:p>
            <w:r>
              <w:rPr>
                <w:b w:val="false"/>
                <w:bCs w:val="false"/>
              </w:rPr>
              <w:t xml:space="preserve">Feature engineering and array operations</w:t>
            </w:r>
          </w:p>
        </w:tc>
      </w:tr>
      <w:tr>
        <w:tc>
          <w:tcPr>
            <w:tcW w:type="dxa" w:w="3200"/>
            <w:shd w:fill="EAF1F0" w:val="clear"/>
            <w:tcMar>
              <w:top w:type="dxa" w:w="100"/>
              <w:left w:type="dxa" w:w="120"/>
              <w:bottom w:type="dxa" w:w="100"/>
              <w:right w:type="dxa" w:w="120"/>
            </w:tcMar>
          </w:tcPr>
          <w:p>
            <w:r>
              <w:rPr>
                <w:b w:val="false"/>
                <w:bCs w:val="false"/>
              </w:rPr>
              <w:t xml:space="preserve">ML Utilities</w:t>
            </w:r>
          </w:p>
        </w:tc>
        <w:tc>
          <w:tcPr>
            <w:tcW w:type="dxa" w:w="3700"/>
            <w:shd w:fill="EAF1F0" w:val="clear"/>
            <w:tcMar>
              <w:top w:type="dxa" w:w="100"/>
              <w:left w:type="dxa" w:w="120"/>
              <w:bottom w:type="dxa" w:w="100"/>
              <w:right w:type="dxa" w:w="120"/>
            </w:tcMar>
          </w:tcPr>
          <w:p>
            <w:r>
              <w:rPr>
                <w:b w:val="false"/>
                <w:bCs w:val="false"/>
              </w:rPr>
              <w:t xml:space="preserve">scikit-learn 1.8</w:t>
            </w:r>
          </w:p>
        </w:tc>
        <w:tc>
          <w:tcPr>
            <w:tcW w:type="dxa" w:w="5300"/>
            <w:shd w:fill="EAF1F0" w:val="clear"/>
            <w:tcMar>
              <w:top w:type="dxa" w:w="100"/>
              <w:left w:type="dxa" w:w="120"/>
              <w:bottom w:type="dxa" w:w="100"/>
              <w:right w:type="dxa" w:w="120"/>
            </w:tcMar>
          </w:tcPr>
          <w:p>
            <w:r>
              <w:rPr>
                <w:b w:val="false"/>
                <w:bCs w:val="false"/>
              </w:rPr>
              <w:t xml:space="preserve">Train / test splitting, preprocessing</w:t>
            </w:r>
          </w:p>
        </w:tc>
      </w:tr>
      <w:tr>
        <w:tc>
          <w:tcPr>
            <w:tcW w:type="dxa" w:w="3200"/>
            <w:tcMar>
              <w:top w:type="dxa" w:w="100"/>
              <w:left w:type="dxa" w:w="120"/>
              <w:bottom w:type="dxa" w:w="100"/>
              <w:right w:type="dxa" w:w="120"/>
            </w:tcMar>
          </w:tcPr>
          <w:p>
            <w:r>
              <w:rPr>
                <w:b w:val="false"/>
                <w:bCs w:val="false"/>
              </w:rPr>
              <w:t xml:space="preserve">Deep Learning</w:t>
            </w:r>
          </w:p>
        </w:tc>
        <w:tc>
          <w:tcPr>
            <w:tcW w:type="dxa" w:w="3700"/>
            <w:tcMar>
              <w:top w:type="dxa" w:w="100"/>
              <w:left w:type="dxa" w:w="120"/>
              <w:bottom w:type="dxa" w:w="100"/>
              <w:right w:type="dxa" w:w="120"/>
            </w:tcMar>
          </w:tcPr>
          <w:p>
            <w:r>
              <w:rPr>
                <w:b w:val="false"/>
                <w:bCs w:val="false"/>
              </w:rPr>
              <w:t xml:space="preserve">TensorFlow / Keras 2.21</w:t>
            </w:r>
          </w:p>
        </w:tc>
        <w:tc>
          <w:tcPr>
            <w:tcW w:type="dxa" w:w="5300"/>
            <w:tcMar>
              <w:top w:type="dxa" w:w="100"/>
              <w:left w:type="dxa" w:w="120"/>
              <w:bottom w:type="dxa" w:w="100"/>
              <w:right w:type="dxa" w:w="120"/>
            </w:tcMar>
          </w:tcPr>
          <w:p>
            <w:r>
              <w:rPr>
                <w:b w:val="false"/>
                <w:bCs w:val="false"/>
              </w:rPr>
              <w:t xml:space="preserve">LSTM risk model and DNN fraud classifier</w:t>
            </w:r>
          </w:p>
        </w:tc>
      </w:tr>
      <w:tr>
        <w:tc>
          <w:tcPr>
            <w:tcW w:type="dxa" w:w="3200"/>
            <w:shd w:fill="EAF1F0" w:val="clear"/>
            <w:tcMar>
              <w:top w:type="dxa" w:w="100"/>
              <w:left w:type="dxa" w:w="120"/>
              <w:bottom w:type="dxa" w:w="100"/>
              <w:right w:type="dxa" w:w="120"/>
            </w:tcMar>
          </w:tcPr>
          <w:p>
            <w:r>
              <w:rPr>
                <w:b w:val="false"/>
                <w:bCs w:val="false"/>
              </w:rPr>
              <w:t xml:space="preserve">Explainability</w:t>
            </w:r>
          </w:p>
        </w:tc>
        <w:tc>
          <w:tcPr>
            <w:tcW w:type="dxa" w:w="3700"/>
            <w:shd w:fill="EAF1F0" w:val="clear"/>
            <w:tcMar>
              <w:top w:type="dxa" w:w="100"/>
              <w:left w:type="dxa" w:w="120"/>
              <w:bottom w:type="dxa" w:w="100"/>
              <w:right w:type="dxa" w:w="120"/>
            </w:tcMar>
          </w:tcPr>
          <w:p>
            <w:r>
              <w:rPr>
                <w:b w:val="false"/>
                <w:bCs w:val="false"/>
              </w:rPr>
              <w:t xml:space="preserve">SHAP 0.52 (GradientExplainer)</w:t>
            </w:r>
          </w:p>
        </w:tc>
        <w:tc>
          <w:tcPr>
            <w:tcW w:type="dxa" w:w="5300"/>
            <w:shd w:fill="EAF1F0" w:val="clear"/>
            <w:tcMar>
              <w:top w:type="dxa" w:w="100"/>
              <w:left w:type="dxa" w:w="120"/>
              <w:bottom w:type="dxa" w:w="100"/>
              <w:right w:type="dxa" w:w="120"/>
            </w:tcMar>
          </w:tcPr>
          <w:p>
            <w:r>
              <w:rPr>
                <w:b w:val="false"/>
                <w:bCs w:val="false"/>
              </w:rPr>
              <w:t xml:space="preserve">Per-transaction feature attribution</w:t>
            </w:r>
          </w:p>
        </w:tc>
      </w:tr>
      <w:tr>
        <w:tc>
          <w:tcPr>
            <w:tcW w:type="dxa" w:w="3200"/>
            <w:tcMar>
              <w:top w:type="dxa" w:w="100"/>
              <w:left w:type="dxa" w:w="120"/>
              <w:bottom w:type="dxa" w:w="100"/>
              <w:right w:type="dxa" w:w="120"/>
            </w:tcMar>
          </w:tcPr>
          <w:p>
            <w:r>
              <w:rPr>
                <w:b w:val="false"/>
                <w:bCs w:val="false"/>
              </w:rPr>
              <w:t xml:space="preserve">Validation</w:t>
            </w:r>
          </w:p>
        </w:tc>
        <w:tc>
          <w:tcPr>
            <w:tcW w:type="dxa" w:w="3700"/>
            <w:tcMar>
              <w:top w:type="dxa" w:w="100"/>
              <w:left w:type="dxa" w:w="120"/>
              <w:bottom w:type="dxa" w:w="100"/>
              <w:right w:type="dxa" w:w="120"/>
            </w:tcMar>
          </w:tcPr>
          <w:p>
            <w:r>
              <w:rPr>
                <w:b w:val="false"/>
                <w:bCs w:val="false"/>
              </w:rPr>
              <w:t xml:space="preserve">Pydantic 2.10</w:t>
            </w:r>
          </w:p>
        </w:tc>
        <w:tc>
          <w:tcPr>
            <w:tcW w:type="dxa" w:w="5300"/>
            <w:tcMar>
              <w:top w:type="dxa" w:w="100"/>
              <w:left w:type="dxa" w:w="120"/>
              <w:bottom w:type="dxa" w:w="100"/>
              <w:right w:type="dxa" w:w="120"/>
            </w:tcMar>
          </w:tcPr>
          <w:p>
            <w:r>
              <w:rPr>
                <w:b w:val="false"/>
                <w:bCs w:val="false"/>
              </w:rPr>
              <w:t xml:space="preserve">Request / response schema validation</w:t>
            </w:r>
          </w:p>
        </w:tc>
      </w:tr>
      <w:tr>
        <w:tc>
          <w:tcPr>
            <w:tcW w:type="dxa" w:w="3200"/>
            <w:shd w:fill="EAF1F0" w:val="clear"/>
            <w:tcMar>
              <w:top w:type="dxa" w:w="100"/>
              <w:left w:type="dxa" w:w="120"/>
              <w:bottom w:type="dxa" w:w="100"/>
              <w:right w:type="dxa" w:w="120"/>
            </w:tcMar>
          </w:tcPr>
          <w:p>
            <w:r>
              <w:rPr>
                <w:b w:val="false"/>
                <w:bCs w:val="false"/>
              </w:rPr>
              <w:t xml:space="preserve">Report Generation</w:t>
            </w:r>
          </w:p>
        </w:tc>
        <w:tc>
          <w:tcPr>
            <w:tcW w:type="dxa" w:w="3700"/>
            <w:shd w:fill="EAF1F0" w:val="clear"/>
            <w:tcMar>
              <w:top w:type="dxa" w:w="100"/>
              <w:left w:type="dxa" w:w="120"/>
              <w:bottom w:type="dxa" w:w="100"/>
              <w:right w:type="dxa" w:w="120"/>
            </w:tcMar>
          </w:tcPr>
          <w:p>
            <w:r>
              <w:rPr>
                <w:b w:val="false"/>
                <w:bCs w:val="false"/>
              </w:rPr>
              <w:t xml:space="preserve">ReportLab 5.0</w:t>
            </w:r>
          </w:p>
        </w:tc>
        <w:tc>
          <w:tcPr>
            <w:tcW w:type="dxa" w:w="5300"/>
            <w:shd w:fill="EAF1F0" w:val="clear"/>
            <w:tcMar>
              <w:top w:type="dxa" w:w="100"/>
              <w:left w:type="dxa" w:w="120"/>
              <w:bottom w:type="dxa" w:w="100"/>
              <w:right w:type="dxa" w:w="120"/>
            </w:tcMar>
          </w:tcPr>
          <w:p>
            <w:r>
              <w:rPr>
                <w:b w:val="false"/>
                <w:bCs w:val="false"/>
              </w:rPr>
              <w:t xml:space="preserve">Renders the downloadable PDF explanation report</w:t>
            </w:r>
          </w:p>
        </w:tc>
      </w:tr>
      <w:tr>
        <w:tc>
          <w:tcPr>
            <w:tcW w:type="dxa" w:w="3200"/>
            <w:tcMar>
              <w:top w:type="dxa" w:w="100"/>
              <w:left w:type="dxa" w:w="120"/>
              <w:bottom w:type="dxa" w:w="100"/>
              <w:right w:type="dxa" w:w="120"/>
            </w:tcMar>
          </w:tcPr>
          <w:p>
            <w:r>
              <w:rPr>
                <w:b w:val="false"/>
                <w:bCs w:val="false"/>
              </w:rPr>
              <w:t xml:space="preserve">File Upload</w:t>
            </w:r>
          </w:p>
        </w:tc>
        <w:tc>
          <w:tcPr>
            <w:tcW w:type="dxa" w:w="3700"/>
            <w:tcMar>
              <w:top w:type="dxa" w:w="100"/>
              <w:left w:type="dxa" w:w="120"/>
              <w:bottom w:type="dxa" w:w="100"/>
              <w:right w:type="dxa" w:w="120"/>
            </w:tcMar>
          </w:tcPr>
          <w:p>
            <w:r>
              <w:rPr>
                <w:b w:val="false"/>
                <w:bCs w:val="false"/>
              </w:rPr>
              <w:t xml:space="preserve">python-multipart 0.0.32</w:t>
            </w:r>
          </w:p>
        </w:tc>
        <w:tc>
          <w:tcPr>
            <w:tcW w:type="dxa" w:w="5300"/>
            <w:tcMar>
              <w:top w:type="dxa" w:w="100"/>
              <w:left w:type="dxa" w:w="120"/>
              <w:bottom w:type="dxa" w:w="100"/>
              <w:right w:type="dxa" w:w="120"/>
            </w:tcMar>
          </w:tcPr>
          <w:p>
            <w:r>
              <w:rPr>
                <w:b w:val="false"/>
                <w:bCs w:val="false"/>
              </w:rPr>
              <w:t xml:space="preserve">Enables CSV file upload for batch scoring</w:t>
            </w:r>
          </w:p>
        </w:tc>
      </w:tr>
    </w:tbl>
    <w:p>
      <w:pPr>
        <w:pStyle w:val="Heading2"/>
        <w:spacing w:after="120" w:before="240"/>
      </w:pPr>
      <w:r>
        <w:t xml:space="preserve">2.2 Frontend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5300"/>
      </w:tblGrid>
      <w:tr>
        <w:tc>
          <w:tcPr>
            <w:tcW w:type="dxa" w:w="3200"/>
            <w:shd w:fill="1F4E5F" w:val="clear"/>
            <w:tcMar>
              <w:top w:type="dxa" w:w="100"/>
              <w:left w:type="dxa" w:w="120"/>
              <w:bottom w:type="dxa" w:w="100"/>
              <w:right w:type="dxa" w:w="120"/>
            </w:tcMar>
          </w:tcPr>
          <w:p>
            <w:r>
              <w:rPr>
                <w:b/>
                <w:bCs/>
                <w:color w:val="FFFFFF"/>
              </w:rPr>
              <w:t xml:space="preserve">Component</w:t>
            </w:r>
          </w:p>
        </w:tc>
        <w:tc>
          <w:tcPr>
            <w:tcW w:type="dxa" w:w="3700"/>
            <w:shd w:fill="1F4E5F" w:val="clear"/>
            <w:tcMar>
              <w:top w:type="dxa" w:w="100"/>
              <w:left w:type="dxa" w:w="120"/>
              <w:bottom w:type="dxa" w:w="100"/>
              <w:right w:type="dxa" w:w="120"/>
            </w:tcMar>
          </w:tcPr>
          <w:p>
            <w:r>
              <w:rPr>
                <w:b/>
                <w:bCs/>
                <w:color w:val="FFFFFF"/>
              </w:rPr>
              <w:t xml:space="preserve">Technology</w:t>
            </w:r>
          </w:p>
        </w:tc>
        <w:tc>
          <w:tcPr>
            <w:tcW w:type="dxa" w:w="5300"/>
            <w:shd w:fill="1F4E5F" w:val="clear"/>
            <w:tcMar>
              <w:top w:type="dxa" w:w="100"/>
              <w:left w:type="dxa" w:w="120"/>
              <w:bottom w:type="dxa" w:w="100"/>
              <w:right w:type="dxa" w:w="120"/>
            </w:tcMar>
          </w:tcPr>
          <w:p>
            <w:r>
              <w:rPr>
                <w:b/>
                <w:bCs/>
                <w:color w:val="FFFFFF"/>
              </w:rPr>
              <w:t xml:space="preserve">Purpose</w:t>
            </w:r>
          </w:p>
        </w:tc>
      </w:tr>
      <w:tr>
        <w:tc>
          <w:tcPr>
            <w:tcW w:type="dxa" w:w="3200"/>
            <w:tcMar>
              <w:top w:type="dxa" w:w="100"/>
              <w:left w:type="dxa" w:w="120"/>
              <w:bottom w:type="dxa" w:w="100"/>
              <w:right w:type="dxa" w:w="120"/>
            </w:tcMar>
          </w:tcPr>
          <w:p>
            <w:r>
              <w:rPr>
                <w:b w:val="false"/>
                <w:bCs w:val="false"/>
              </w:rPr>
              <w:t xml:space="preserve">UI Library</w:t>
            </w:r>
          </w:p>
        </w:tc>
        <w:tc>
          <w:tcPr>
            <w:tcW w:type="dxa" w:w="3700"/>
            <w:tcMar>
              <w:top w:type="dxa" w:w="100"/>
              <w:left w:type="dxa" w:w="120"/>
              <w:bottom w:type="dxa" w:w="100"/>
              <w:right w:type="dxa" w:w="120"/>
            </w:tcMar>
          </w:tcPr>
          <w:p>
            <w:r>
              <w:rPr>
                <w:b w:val="false"/>
                <w:bCs w:val="false"/>
              </w:rPr>
              <w:t xml:space="preserve">React 19</w:t>
            </w:r>
          </w:p>
        </w:tc>
        <w:tc>
          <w:tcPr>
            <w:tcW w:type="dxa" w:w="5300"/>
            <w:tcMar>
              <w:top w:type="dxa" w:w="100"/>
              <w:left w:type="dxa" w:w="120"/>
              <w:bottom w:type="dxa" w:w="100"/>
              <w:right w:type="dxa" w:w="120"/>
            </w:tcMar>
          </w:tcPr>
          <w:p>
            <w:r>
              <w:rPr>
                <w:b w:val="false"/>
                <w:bCs w:val="false"/>
              </w:rPr>
              <w:t xml:space="preserve">Dashboard component tree</w:t>
            </w:r>
          </w:p>
        </w:tc>
      </w:tr>
      <w:tr>
        <w:tc>
          <w:tcPr>
            <w:tcW w:type="dxa" w:w="3200"/>
            <w:shd w:fill="EAF1F0" w:val="clear"/>
            <w:tcMar>
              <w:top w:type="dxa" w:w="100"/>
              <w:left w:type="dxa" w:w="120"/>
              <w:bottom w:type="dxa" w:w="100"/>
              <w:right w:type="dxa" w:w="120"/>
            </w:tcMar>
          </w:tcPr>
          <w:p>
            <w:r>
              <w:rPr>
                <w:b w:val="false"/>
                <w:bCs w:val="false"/>
              </w:rPr>
              <w:t xml:space="preserve">Build Tool / Dev Server</w:t>
            </w:r>
          </w:p>
        </w:tc>
        <w:tc>
          <w:tcPr>
            <w:tcW w:type="dxa" w:w="3700"/>
            <w:shd w:fill="EAF1F0" w:val="clear"/>
            <w:tcMar>
              <w:top w:type="dxa" w:w="100"/>
              <w:left w:type="dxa" w:w="120"/>
              <w:bottom w:type="dxa" w:w="100"/>
              <w:right w:type="dxa" w:w="120"/>
            </w:tcMar>
          </w:tcPr>
          <w:p>
            <w:r>
              <w:rPr>
                <w:b w:val="false"/>
                <w:bCs w:val="false"/>
              </w:rPr>
              <w:t xml:space="preserve">Vite 8</w:t>
            </w:r>
          </w:p>
        </w:tc>
        <w:tc>
          <w:tcPr>
            <w:tcW w:type="dxa" w:w="5300"/>
            <w:shd w:fill="EAF1F0" w:val="clear"/>
            <w:tcMar>
              <w:top w:type="dxa" w:w="100"/>
              <w:left w:type="dxa" w:w="120"/>
              <w:bottom w:type="dxa" w:w="100"/>
              <w:right w:type="dxa" w:w="120"/>
            </w:tcMar>
          </w:tcPr>
          <w:p>
            <w:r>
              <w:rPr>
                <w:b w:val="false"/>
                <w:bCs w:val="false"/>
              </w:rPr>
              <w:t xml:space="preserve">Fast dev server with API proxy, production bundling</w:t>
            </w:r>
          </w:p>
        </w:tc>
      </w:tr>
      <w:tr>
        <w:tc>
          <w:tcPr>
            <w:tcW w:type="dxa" w:w="3200"/>
            <w:tcMar>
              <w:top w:type="dxa" w:w="100"/>
              <w:left w:type="dxa" w:w="120"/>
              <w:bottom w:type="dxa" w:w="100"/>
              <w:right w:type="dxa" w:w="120"/>
            </w:tcMar>
          </w:tcPr>
          <w:p>
            <w:r>
              <w:rPr>
                <w:b w:val="false"/>
                <w:bCs w:val="false"/>
              </w:rPr>
              <w:t xml:space="preserve">Styling</w:t>
            </w:r>
          </w:p>
        </w:tc>
        <w:tc>
          <w:tcPr>
            <w:tcW w:type="dxa" w:w="3700"/>
            <w:tcMar>
              <w:top w:type="dxa" w:w="100"/>
              <w:left w:type="dxa" w:w="120"/>
              <w:bottom w:type="dxa" w:w="100"/>
              <w:right w:type="dxa" w:w="120"/>
            </w:tcMar>
          </w:tcPr>
          <w:p>
            <w:r>
              <w:rPr>
                <w:b w:val="false"/>
                <w:bCs w:val="false"/>
              </w:rPr>
              <w:t xml:space="preserve">Tailwind CSS 4</w:t>
            </w:r>
          </w:p>
        </w:tc>
        <w:tc>
          <w:tcPr>
            <w:tcW w:type="dxa" w:w="5300"/>
            <w:tcMar>
              <w:top w:type="dxa" w:w="100"/>
              <w:left w:type="dxa" w:w="120"/>
              <w:bottom w:type="dxa" w:w="100"/>
              <w:right w:type="dxa" w:w="120"/>
            </w:tcMar>
          </w:tcPr>
          <w:p>
            <w:r>
              <w:rPr>
                <w:b w:val="false"/>
                <w:bCs w:val="false"/>
              </w:rPr>
              <w:t xml:space="preserve">Utility-first styling, dark theme</w:t>
            </w:r>
          </w:p>
        </w:tc>
      </w:tr>
      <w:tr>
        <w:tc>
          <w:tcPr>
            <w:tcW w:type="dxa" w:w="3200"/>
            <w:shd w:fill="EAF1F0" w:val="clear"/>
            <w:tcMar>
              <w:top w:type="dxa" w:w="100"/>
              <w:left w:type="dxa" w:w="120"/>
              <w:bottom w:type="dxa" w:w="100"/>
              <w:right w:type="dxa" w:w="120"/>
            </w:tcMar>
          </w:tcPr>
          <w:p>
            <w:r>
              <w:rPr>
                <w:b w:val="false"/>
                <w:bCs w:val="false"/>
              </w:rPr>
              <w:t xml:space="preserve">Charts</w:t>
            </w:r>
          </w:p>
        </w:tc>
        <w:tc>
          <w:tcPr>
            <w:tcW w:type="dxa" w:w="3700"/>
            <w:shd w:fill="EAF1F0" w:val="clear"/>
            <w:tcMar>
              <w:top w:type="dxa" w:w="100"/>
              <w:left w:type="dxa" w:w="120"/>
              <w:bottom w:type="dxa" w:w="100"/>
              <w:right w:type="dxa" w:w="120"/>
            </w:tcMar>
          </w:tcPr>
          <w:p>
            <w:r>
              <w:rPr>
                <w:b w:val="false"/>
                <w:bCs w:val="false"/>
              </w:rPr>
              <w:t xml:space="preserve">Recharts 3</w:t>
            </w:r>
          </w:p>
        </w:tc>
        <w:tc>
          <w:tcPr>
            <w:tcW w:type="dxa" w:w="5300"/>
            <w:shd w:fill="EAF1F0" w:val="clear"/>
            <w:tcMar>
              <w:top w:type="dxa" w:w="100"/>
              <w:left w:type="dxa" w:w="120"/>
              <w:bottom w:type="dxa" w:w="100"/>
              <w:right w:type="dxa" w:w="120"/>
            </w:tcMar>
          </w:tcPr>
          <w:p>
            <w:r>
              <w:rPr>
                <w:b w:val="false"/>
                <w:bCs w:val="false"/>
              </w:rPr>
              <w:t xml:space="preserve">SHAP reason bars, fraud evolution timeline</w:t>
            </w:r>
          </w:p>
        </w:tc>
      </w:tr>
      <w:tr>
        <w:tc>
          <w:tcPr>
            <w:tcW w:type="dxa" w:w="3200"/>
            <w:tcMar>
              <w:top w:type="dxa" w:w="100"/>
              <w:left w:type="dxa" w:w="120"/>
              <w:bottom w:type="dxa" w:w="100"/>
              <w:right w:type="dxa" w:w="120"/>
            </w:tcMar>
          </w:tcPr>
          <w:p>
            <w:r>
              <w:rPr>
                <w:b w:val="false"/>
                <w:bCs w:val="false"/>
              </w:rPr>
              <w:t xml:space="preserve">HTTP Client</w:t>
            </w:r>
          </w:p>
        </w:tc>
        <w:tc>
          <w:tcPr>
            <w:tcW w:type="dxa" w:w="3700"/>
            <w:tcMar>
              <w:top w:type="dxa" w:w="100"/>
              <w:left w:type="dxa" w:w="120"/>
              <w:bottom w:type="dxa" w:w="100"/>
              <w:right w:type="dxa" w:w="120"/>
            </w:tcMar>
          </w:tcPr>
          <w:p>
            <w:r>
              <w:rPr>
                <w:b w:val="false"/>
                <w:bCs w:val="false"/>
              </w:rPr>
              <w:t xml:space="preserve">Axios</w:t>
            </w:r>
          </w:p>
        </w:tc>
        <w:tc>
          <w:tcPr>
            <w:tcW w:type="dxa" w:w="5300"/>
            <w:tcMar>
              <w:top w:type="dxa" w:w="100"/>
              <w:left w:type="dxa" w:w="120"/>
              <w:bottom w:type="dxa" w:w="100"/>
              <w:right w:type="dxa" w:w="120"/>
            </w:tcMar>
          </w:tcPr>
          <w:p>
            <w:r>
              <w:rPr>
                <w:b w:val="false"/>
                <w:bCs w:val="false"/>
              </w:rPr>
              <w:t xml:space="preserve">Calls to the backend API</w:t>
            </w:r>
          </w:p>
        </w:tc>
      </w:tr>
    </w:tbl>
    <w:p>
      <w:pPr>
        <w:pStyle w:val="Heading2"/>
        <w:spacing w:after="120" w:before="240"/>
      </w:pPr>
      <w:r>
        <w:t xml:space="preserve">2.3 Data &amp; Tooling</w:t>
      </w:r>
    </w:p>
    <w:p>
      <w:pPr>
        <w:pStyle w:val="ListParagraph"/>
        <w:numPr>
          <w:ilvl w:val="0"/>
          <w:numId w:val="3"/>
        </w:numPr>
        <w:spacing w:after="80"/>
      </w:pPr>
      <w:r>
        <w:t xml:space="preserve">Custom synthetic data generator (data/generate_synthetic_data.py) producing per-customer transaction histories with injected fraud episodes.</w:t>
      </w:r>
    </w:p>
    <w:p>
      <w:pPr>
        <w:pStyle w:val="ListParagraph"/>
        <w:numPr>
          <w:ilvl w:val="0"/>
          <w:numId w:val="3"/>
        </w:numPr>
        <w:spacing w:after="80"/>
      </w:pPr>
      <w:r>
        <w:t xml:space="preserve">Git + GitHub for version control (github.com/gunagireesh/fraud-intelligence-platform).</w:t>
      </w:r>
    </w:p>
    <w:p>
      <w:pPr>
        <w:pStyle w:val="ListParagraph"/>
        <w:numPr>
          <w:ilvl w:val="0"/>
          <w:numId w:val="3"/>
        </w:numPr>
        <w:spacing w:after="80"/>
      </w:pPr>
      <w:r>
        <w:t xml:space="preserve">SQLite for local/demo persistence; the stack is PostgreSQL-ready (psycopg2-binary already included) for a real deployment.</w:t>
      </w:r>
    </w:p>
    <w:p>
      <w:pPr>
        <w:pStyle w:val="Heading1"/>
        <w:spacing w:after="160" w:before="360"/>
      </w:pPr>
      <w:r>
        <w:t xml:space="preserve">3. System Architecture (Overview)</w:t>
      </w:r>
    </w:p>
    <w:p>
      <w:pPr>
        <w:spacing w:after="160"/>
        <w:jc w:val="both"/>
      </w:pPr>
      <w:r>
        <w:t xml:space="preserve">A raw transaction first passes through the Behavioral Fraud DNA feature engineering step, which computes nine behavioral features (amount z-score, unusual hour, new device, new location, foreign location, failed logins, unusual merchant category, transaction velocity, and amount as a percentage of the customer’s average) using only that customer’s prior history.</w:t>
      </w:r>
    </w:p>
    <w:p>
      <w:pPr>
        <w:spacing w:after="160"/>
        <w:jc w:val="both"/>
      </w:pPr>
      <w:r>
        <w:t xml:space="preserve">The customer’s last 10 transactions’ feature vectors feed the LSTM, which outputs a Risk Score (0–100): a historical-risk signal computed from activity before the current transaction. It was intended as a leading indicator; the corrected evaluation found that it does not flag the first fraud of an episode. The current transaction’s own features, plus that Risk Score, then feed the DNN, which outputs a Fraud Probability (0–100%) for this specific transaction. SHAP wraps the DNN to rank which features drove that probability, and those are mapped to human-readable reasons. Separately, a Behavioral Similarity Score compares the current transaction against the customer’s own historical mean and standard deviation per feature.</w:t>
      </w:r>
    </w:p>
    <w:p>
      <w:pPr>
        <w:spacing w:after="160"/>
        <w:jc w:val="both"/>
      </w:pPr>
      <w:r>
        <w:t xml:space="preserve">All of this is orchestrated by a single inference pipeline, exposed over a FastAPI REST API, persisted to SQLite, and visualized in a React dashboard where an analyst can select a customer, submit or simulate a transaction, and see the risk gauge, fraud probability, SHAP explanation chart, and fraud-evolution timeline update live.</w:t>
      </w:r>
    </w:p>
    <w:p>
      <w:pPr>
        <w:pStyle w:val="Heading1"/>
        <w:spacing w:after="160" w:before="360"/>
      </w:pPr>
      <w:r>
        <w:t xml:space="preserve">4. Work Completed</w:t>
      </w:r>
    </w:p>
    <w:p>
      <w:pPr>
        <w:pStyle w:val="Heading2"/>
        <w:spacing w:after="120" w:before="240"/>
      </w:pPr>
      <w:r>
        <w:t xml:space="preserve">4.1 Environment Setup &amp; Verification</w:t>
      </w:r>
    </w:p>
    <w:p>
      <w:pPr>
        <w:pStyle w:val="ListParagraph"/>
        <w:numPr>
          <w:ilvl w:val="0"/>
          <w:numId w:val="3"/>
        </w:numPr>
        <w:spacing w:after="80"/>
      </w:pPr>
      <w:r>
        <w:t xml:space="preserve">Verified and ran the full stack end-to-end locally: FastAPI backend (trained LSTM + DNN + SHAP models already included) and the React/Vite dashboard, connected via the dev proxy.</w:t>
      </w:r>
    </w:p>
    <w:p>
      <w:pPr>
        <w:pStyle w:val="ListParagraph"/>
        <w:numPr>
          <w:ilvl w:val="0"/>
          <w:numId w:val="3"/>
        </w:numPr>
        <w:spacing w:after="80"/>
      </w:pPr>
      <w:r>
        <w:t xml:space="preserve">Diagnosed and fixed a missing peer dependency (react-is) that was breaking the frontend build with a Vite dependency-resolution error.</w:t>
      </w:r>
    </w:p>
    <w:p>
      <w:pPr>
        <w:pStyle w:val="ListParagraph"/>
        <w:numPr>
          <w:ilvl w:val="0"/>
          <w:numId w:val="3"/>
        </w:numPr>
        <w:spacing w:after="80"/>
      </w:pPr>
      <w:r>
        <w:t xml:space="preserve">Resolved local port conflicts (an orphaned listening socket on port 8000 after a forced process restart) by moving the backend to port 8001 and updating the frontend proxy target, per the project’s own documented troubleshooting guidance.</w:t>
      </w:r>
    </w:p>
    <w:p>
      <w:pPr>
        <w:pStyle w:val="Heading2"/>
        <w:spacing w:after="120" w:before="240"/>
      </w:pPr>
      <w:r>
        <w:t xml:space="preserve">4.2 Bug Fix: Incoherent Risk Score vs. Fraud Probability</w:t>
      </w:r>
    </w:p>
    <w:p>
      <w:pPr>
        <w:spacing w:after="160"/>
        <w:jc w:val="both"/>
      </w:pPr>
      <w:r>
        <w:t xml:space="preserve">A real defect was found and fixed during review: for certain transactions, the dashboard showed a low Risk Score (e.g. 8/100) alongside a Fraud Probability of a flat, literal 100.00% — which read as broken or unbelievable, since a model’s fraud score should never be presented as absolute certainty.</w:t>
      </w:r>
    </w:p>
    <w:p>
      <w:pPr>
        <w:spacing w:after="160"/>
        <w:jc w:val="both"/>
      </w:pPr>
      <w:r>
        <w:rPr>
          <w:b/>
          <w:bCs/>
        </w:rPr>
        <w:t xml:space="preserve">Root cause: </w:t>
      </w:r>
      <w:r>
        <w:t xml:space="preserve">the amount_zscore behavioral feature was unbounded. For a customer with tight, consistent historical spending, a single large transaction could produce a z-score in the hundreds or even low thousands (values as extreme as 1163 and –1585 standard deviations were found in the actual dataset). That pushed the DNN’s input far outside anything it had seen in training, saturating its output sigmoid to a flat 100%.</w:t>
      </w:r>
    </w:p>
    <w:p>
      <w:pPr>
        <w:pStyle w:val="ListParagraph"/>
        <w:numPr>
          <w:ilvl w:val="0"/>
          <w:numId w:val="3"/>
        </w:numPr>
        <w:spacing w:after="80"/>
      </w:pPr>
      <w:r>
        <w:t xml:space="preserve">Fixed the feature engineering to floor the estimated standard deviation and clip the derived z-score / percentage-of-average features to sane bounds — applied at both training-data generation and live inference, since both share the same function.</w:t>
      </w:r>
    </w:p>
    <w:p>
      <w:pPr>
        <w:pStyle w:val="ListParagraph"/>
        <w:numPr>
          <w:ilvl w:val="0"/>
          <w:numId w:val="3"/>
        </w:numPr>
        <w:spacing w:after="80"/>
      </w:pPr>
      <w:r>
        <w:t xml:space="preserve">Added a defensive clip on the DNN’s normalized input range, and capped the displayed fraud probability below literal 100%, so the model’s fraud score is never presented as absolute certainty. (The score comes from a class-weighted model, so it is not a calibrated probability.)</w:t>
      </w:r>
    </w:p>
    <w:p>
      <w:pPr>
        <w:pStyle w:val="ListParagraph"/>
        <w:numPr>
          <w:ilvl w:val="0"/>
          <w:numId w:val="3"/>
        </w:numPr>
        <w:spacing w:after="80"/>
      </w:pPr>
      <w:r>
        <w:t xml:space="preserve">Fixed a related frontend display issue where a fixed value of 99.9% was still rendering as “100” due to zero-decimal rounding in the gauge component; the Fraud Probability gauge now shows one decimal place.</w:t>
      </w:r>
    </w:p>
    <w:p>
      <w:pPr>
        <w:pStyle w:val="ListParagraph"/>
        <w:numPr>
          <w:ilvl w:val="0"/>
          <w:numId w:val="3"/>
        </w:numPr>
        <w:spacing w:after="80"/>
      </w:pPr>
      <w:r>
        <w:t xml:space="preserve">Added short UI captions clarifying that Risk Score (pre-transaction behavioral trajectory) and Fraud Probability (this specific transaction’s own risk) are two intentionally different metrics that can legitimately diverge, so the distinction no longer reads as a bug.</w:t>
      </w:r>
    </w:p>
    <w:p>
      <w:pPr>
        <w:pStyle w:val="ListParagraph"/>
        <w:numPr>
          <w:ilvl w:val="0"/>
          <w:numId w:val="3"/>
        </w:numPr>
        <w:spacing w:after="80"/>
      </w:pPr>
      <w:r>
        <w:t xml:space="preserve">Verified the fix against real API calls: previously-saturated cases now return non-saturated fraud scores (e.g. 99.57%, 99.9%, 86.3%) instead of a flat 100.00%, while a transaction genuinely matching a customer’s normal profile still correctly scores low risk (2.65% fraud probability, 91.5% similarity).</w:t>
      </w:r>
    </w:p>
    <w:p>
      <w:pPr>
        <w:pStyle w:val="Heading2"/>
        <w:spacing w:after="120" w:before="240"/>
      </w:pPr>
      <w:r>
        <w:t xml:space="preserve">4.3 Version Control</w:t>
      </w:r>
    </w:p>
    <w:p>
      <w:pPr>
        <w:pStyle w:val="ListParagraph"/>
        <w:numPr>
          <w:ilvl w:val="0"/>
          <w:numId w:val="3"/>
        </w:numPr>
        <w:spacing w:after="80"/>
      </w:pPr>
      <w:r>
        <w:t xml:space="preserve">Initialized a git repository for the project.</w:t>
      </w:r>
    </w:p>
    <w:p>
      <w:pPr>
        <w:pStyle w:val="ListParagraph"/>
        <w:numPr>
          <w:ilvl w:val="0"/>
          <w:numId w:val="3"/>
        </w:numPr>
        <w:spacing w:after="80"/>
      </w:pPr>
      <w:r>
        <w:t xml:space="preserve">Reviewed and tightened .gitignore (virtual environment, node_modules, local database file, and local Claude Code session settings are all excluded; trained model weights and the dataset are intentionally kept tracked so the repository remains runnable immediately after a clone).</w:t>
      </w:r>
    </w:p>
    <w:p>
      <w:pPr>
        <w:pStyle w:val="ListParagraph"/>
        <w:numPr>
          <w:ilvl w:val="0"/>
          <w:numId w:val="3"/>
        </w:numPr>
        <w:spacing w:after="80"/>
      </w:pPr>
      <w:r>
        <w:t xml:space="preserve">Created the initial commit and pushed it to github.com/gunagireesh/fraud-intelligence-platform.</w:t>
      </w:r>
    </w:p>
    <w:p>
      <w:pPr>
        <w:pStyle w:val="Heading1"/>
        <w:spacing w:after="160" w:before="360"/>
      </w:pPr>
      <w:r>
        <w:t xml:space="preserve">5. Advanced Features Added</w:t>
      </w:r>
    </w:p>
    <w:p>
      <w:pPr>
        <w:spacing w:after="160"/>
        <w:jc w:val="both"/>
      </w:pPr>
      <w:r>
        <w:t xml:space="preserve">Beyond the core LSTM → DNN → SHAP pipeline, four additional capabilities were built to make the platform's rigor and scope easier to demonstrate and defend in review.</w:t>
      </w:r>
    </w:p>
    <w:p>
      <w:pPr>
        <w:pStyle w:val="Heading2"/>
        <w:spacing w:after="120" w:before="240"/>
      </w:pPr>
      <w:r>
        <w:t xml:space="preserve">5.1 Model Performance Dashboard</w:t>
      </w:r>
    </w:p>
    <w:p>
      <w:pPr>
        <w:spacing w:after="160"/>
        <w:jc w:val="both"/>
      </w:pPr>
      <w:r>
        <w:t xml:space="preserve">A new evaluation module (backend/app/models/evaluate.py) loads both trained models and scores them against the same 80/20 stratified held-out test split used at training time. (Superseded: that random split mixed future transactions into training. The corrected time-based evaluation is in docs/EVALUATION.md.) Exposed via GET /metrics and surfaced as a dedicated “Model Performance” tab on the dashboard.</w:t>
      </w:r>
    </w:p>
    <w:p>
      <w:pPr>
        <w:pStyle w:val="ListParagraph"/>
        <w:numPr>
          <w:ilvl w:val="0"/>
          <w:numId w:val="3"/>
        </w:numPr>
        <w:spacing w:after="80"/>
      </w:pPr>
      <w:r>
        <w:t xml:space="preserve">LSTM Risk Predictor (original, superseded evaluation): Precision 0.704, Recall 0.915, F1 0.796, AUC-ROC 0.962.</w:t>
      </w:r>
    </w:p>
    <w:p>
      <w:pPr>
        <w:pStyle w:val="ListParagraph"/>
        <w:numPr>
          <w:ilvl w:val="0"/>
          <w:numId w:val="3"/>
        </w:numPr>
        <w:spacing w:after="80"/>
      </w:pPr>
      <w:r>
        <w:t xml:space="preserve">DNN Fraud Classifier (original, superseded evaluation): Precision 0.837, Recall 1.000, F1 0.911, AUC-ROC 1.000.</w:t>
      </w:r>
    </w:p>
    <w:p>
      <w:pPr>
        <w:pStyle w:val="ListParagraph"/>
        <w:numPr>
          <w:ilvl w:val="0"/>
          <w:numId w:val="3"/>
        </w:numPr>
        <w:spacing w:after="80"/>
      </w:pPr>
      <w:r>
        <w:t xml:space="preserve">Both include a full confusion matrix (true/false positive/negative counts), so a reviewer's very first question — “what's your accuracy?” — has a concrete, defensible answer without needing to re-run training scripts.</w:t>
      </w:r>
    </w:p>
    <w:p>
      <w:pPr>
        <w:pStyle w:val="Heading2"/>
        <w:spacing w:after="120" w:before="240"/>
      </w:pPr>
      <w:r>
        <w:t xml:space="preserve">5.2 Fraud Ring Detection</w:t>
      </w:r>
    </w:p>
    <w:p>
      <w:pPr>
        <w:spacing w:after="160"/>
        <w:jc w:val="both"/>
      </w:pPr>
      <w:r>
        <w:t xml:space="preserve">A single legitimate customer's devices are namespaced to them (e.g. DEV_0100_A), so a device_id appearing across more than one distinct customer's history is a strong signal of an organized fraud ring — a shared or stolen device hitting multiple accounts — rather than one customer behaving oddly alone. This is a genuinely different detection angle from the rest of the system: everything else in the platform reasons about one customer in isolation, this reasons across customers.</w:t>
      </w:r>
    </w:p>
    <w:p>
      <w:pPr>
        <w:pStyle w:val="ListParagraph"/>
        <w:numPr>
          <w:ilvl w:val="0"/>
          <w:numId w:val="3"/>
        </w:numPr>
        <w:spacing w:after="80"/>
      </w:pPr>
      <w:r>
        <w:t xml:space="preserve">New pipeline method detect_fraud_rings() scans all in-memory customer histories for devices shared by two or more customers, exposed via GET /fraud-rings.</w:t>
      </w:r>
    </w:p>
    <w:p>
      <w:pPr>
        <w:pStyle w:val="ListParagraph"/>
        <w:numPr>
          <w:ilvl w:val="0"/>
          <w:numId w:val="3"/>
        </w:numPr>
        <w:spacing w:after="80"/>
      </w:pPr>
      <w:r>
        <w:t xml:space="preserve">Ranked by how many customers and transactions are linked to each shared device; already surfaces 20 such collisions in the seed dataset.</w:t>
      </w:r>
    </w:p>
    <w:p>
      <w:pPr>
        <w:pStyle w:val="ListParagraph"/>
        <w:numPr>
          <w:ilvl w:val="0"/>
          <w:numId w:val="3"/>
        </w:numPr>
        <w:spacing w:after="80"/>
      </w:pPr>
      <w:r>
        <w:t xml:space="preserve">Easy to demo live: run the “Suspicious pattern” quick scenario for two different customers on the Live Scan tab (both use the same placeholder device), then open the Fraud Rings tab — the link appears immediately.</w:t>
      </w:r>
    </w:p>
    <w:p>
      <w:pPr>
        <w:pStyle w:val="Heading2"/>
        <w:spacing w:after="120" w:before="240"/>
      </w:pPr>
      <w:r>
        <w:t xml:space="preserve">5.3 Batch CSV Upload &amp; Bulk Scoring</w:t>
      </w:r>
    </w:p>
    <w:p>
      <w:pPr>
        <w:spacing w:after="160"/>
        <w:jc w:val="both"/>
      </w:pPr>
      <w:r>
        <w:t xml:space="preserve">A new POST /predict/batch endpoint accepts an uploaded CSV of transactions, scores every row through the same inference pipeline as a single live scan, and returns both per-row results and an aggregate Critical / High / Medium / Low breakdown — useful for demonstrating throughput and for scoring an evaluation set in one pass rather than one transaction at a time.</w:t>
      </w:r>
    </w:p>
    <w:p>
      <w:pPr>
        <w:pStyle w:val="ListParagraph"/>
        <w:numPr>
          <w:ilvl w:val="0"/>
          <w:numId w:val="3"/>
        </w:numPr>
        <w:spacing w:after="80"/>
      </w:pPr>
      <w:r>
        <w:t xml:space="preserve">Required columns: customer_id, amount, merchant_category. Optional: device_id, location, failed_logins_24h.</w:t>
      </w:r>
    </w:p>
    <w:p>
      <w:pPr>
        <w:pStyle w:val="ListParagraph"/>
        <w:numPr>
          <w:ilvl w:val="0"/>
          <w:numId w:val="3"/>
        </w:numPr>
        <w:spacing w:after="80"/>
      </w:pPr>
      <w:r>
        <w:t xml:space="preserve">Omitted device/location fall back to the customer's presumed home device and city (the same convention the manual scan form uses), so a minimal CSV isn't misread as every row using a brand-new device in a foreign country.</w:t>
      </w:r>
    </w:p>
    <w:p>
      <w:pPr>
        <w:pStyle w:val="ListParagraph"/>
        <w:numPr>
          <w:ilvl w:val="0"/>
          <w:numId w:val="3"/>
        </w:numPr>
        <w:spacing w:after="80"/>
      </w:pPr>
      <w:r>
        <w:t xml:space="preserve">Frontend “Batch Scoring” tab includes a one-click sample CSV download and a scrollable results table.</w:t>
      </w:r>
    </w:p>
    <w:p>
      <w:pPr>
        <w:pStyle w:val="Heading2"/>
        <w:spacing w:after="120" w:before="240"/>
      </w:pPr>
      <w:r>
        <w:t xml:space="preserve">5.4 PDF Explanation Report Export</w:t>
      </w:r>
    </w:p>
    <w:p>
      <w:pPr>
        <w:spacing w:after="160"/>
        <w:jc w:val="both"/>
      </w:pPr>
      <w:r>
        <w:t xml:space="preserve">A new “Download Report” button on the Live Scan results view calls POST /report/pdf, which renders a formatted, presentable PDF (via ReportLab) covering the transaction details, Risk Score, Fraud Probability, Behavioral Similarity, and the full SHAP reason table — a hand-off-able artifact that documents exactly why a transaction was flagged, suitable for attaching to a compliance record or handing to a reviewer.</w:t>
      </w:r>
    </w:p>
    <w:p>
      <w:pPr>
        <w:pStyle w:val="Heading1"/>
        <w:spacing w:after="160" w:before="360"/>
      </w:pPr>
      <w:r>
        <w:t xml:space="preserve">6. Future Work</w:t>
      </w:r>
    </w:p>
    <w:p>
      <w:pPr>
        <w:pStyle w:val="Heading2"/>
        <w:spacing w:after="120" w:before="240"/>
      </w:pPr>
      <w:r>
        <w:t xml:space="preserve">6.1 Engineering Improvements</w:t>
      </w:r>
    </w:p>
    <w:p>
      <w:pPr>
        <w:pStyle w:val="ListParagraph"/>
        <w:numPr>
          <w:ilvl w:val="0"/>
          <w:numId w:val="2"/>
        </w:numPr>
        <w:spacing w:after="80"/>
      </w:pPr>
      <w:r>
        <w:t xml:space="preserve">Incremental / streaming feature computation. Behavioral features are currently recomputed from a customer’s full history on every request (O(n) per prediction). Fine at demo scale, but a production system should maintain incrementally-updated rolling statistics (O(1) per transaction).</w:t>
      </w:r>
    </w:p>
    <w:p>
      <w:pPr>
        <w:pStyle w:val="ListParagraph"/>
        <w:numPr>
          <w:ilvl w:val="0"/>
          <w:numId w:val="2"/>
        </w:numPr>
        <w:spacing w:after="80"/>
      </w:pPr>
      <w:r>
        <w:t xml:space="preserve">Automated test coverage. There is currently no test suite for the feature engineering or inference pipeline; adding one would guard against regressions as the models evolve.</w:t>
      </w:r>
    </w:p>
    <w:p>
      <w:pPr>
        <w:pStyle w:val="ListParagraph"/>
        <w:numPr>
          <w:ilvl w:val="0"/>
          <w:numId w:val="2"/>
        </w:numPr>
        <w:spacing w:after="80"/>
      </w:pPr>
      <w:r>
        <w:t xml:space="preserve">Containerization. Add a Dockerfile / docker-compose setup so the platform can be deployed portably beyond a single developer machine.</w:t>
      </w:r>
    </w:p>
    <w:p>
      <w:pPr>
        <w:pStyle w:val="Heading2"/>
        <w:spacing w:after="120" w:before="240"/>
      </w:pPr>
      <w:r>
        <w:t xml:space="preserve">6.2 Modeling Improvements</w:t>
      </w:r>
    </w:p>
    <w:p>
      <w:pPr>
        <w:pStyle w:val="ListParagraph"/>
        <w:numPr>
          <w:ilvl w:val="0"/>
          <w:numId w:val="2"/>
        </w:numPr>
        <w:spacing w:after="80"/>
      </w:pPr>
      <w:r>
        <w:t xml:space="preserve">Learned feature weighting for the Behavioral Similarity Score, which currently weights all nine features equally and can diverge from the DNN’s own fraud probability for customers with naturally tight variance in one dimension.</w:t>
      </w:r>
    </w:p>
    <w:p>
      <w:pPr>
        <w:pStyle w:val="ListParagraph"/>
        <w:numPr>
          <w:ilvl w:val="0"/>
          <w:numId w:val="2"/>
        </w:numPr>
        <w:spacing w:after="80"/>
      </w:pPr>
      <w:r>
        <w:t xml:space="preserve">Extend fraud ring detection beyond shared devices to shared locations and time-windowed co-occurrence, and represent it as a proper graph (nodes = customers, edges = shared identifiers) to catch multi-hop rings, not just direct device sharing.</w:t>
      </w:r>
    </w:p>
    <w:p>
      <w:pPr>
        <w:pStyle w:val="ListParagraph"/>
        <w:numPr>
          <w:ilvl w:val="0"/>
          <w:numId w:val="2"/>
        </w:numPr>
        <w:spacing w:after="80"/>
      </w:pPr>
      <w:r>
        <w:t xml:space="preserve">Validate against a public benchmark dataset (PaySim or the IEEE-CIS Fraud Detection dataset) in addition to the synthetic dataset, and compare results against at least one baseline model (e.g. logistic regression or a rule-based threshold system).</w:t>
      </w:r>
    </w:p>
    <w:p>
      <w:pPr>
        <w:pStyle w:val="Heading2"/>
        <w:spacing w:after="120" w:before="240"/>
      </w:pPr>
      <w:r>
        <w:t xml:space="preserve">6.3 Security &amp; Productionization</w:t>
      </w:r>
    </w:p>
    <w:p>
      <w:pPr>
        <w:pStyle w:val="ListParagraph"/>
        <w:numPr>
          <w:ilvl w:val="0"/>
          <w:numId w:val="2"/>
        </w:numPr>
        <w:spacing w:after="80"/>
      </w:pPr>
      <w:r>
        <w:t xml:space="preserve">Add authentication / authorization to the API — the /predict endpoint currently has no auth layer.</w:t>
      </w:r>
    </w:p>
    <w:p>
      <w:pPr>
        <w:pStyle w:val="ListParagraph"/>
        <w:numPr>
          <w:ilvl w:val="0"/>
          <w:numId w:val="2"/>
        </w:numPr>
        <w:spacing w:after="80"/>
      </w:pPr>
      <w:r>
        <w:t xml:space="preserve">Tighten CORS from a wildcard origin to the actual deployed frontend origin before any public deployment.</w:t>
      </w:r>
    </w:p>
    <w:p>
      <w:pPr>
        <w:pStyle w:val="ListParagraph"/>
        <w:numPr>
          <w:ilvl w:val="0"/>
          <w:numId w:val="2"/>
        </w:numPr>
        <w:spacing w:after="80"/>
      </w:pPr>
      <w:r>
        <w:t xml:space="preserve">Real-time alerting integration (e.g. Slack or email webhook) triggered automatically on a Critical Risk verdict.</w:t>
      </w:r>
    </w:p>
    <w:p>
      <w:pPr>
        <w:pStyle w:val="Heading2"/>
        <w:spacing w:after="120" w:before="240"/>
      </w:pPr>
      <w:r>
        <w:t xml:space="preserve">6.4 Research / Publication Track</w:t>
      </w:r>
    </w:p>
    <w:p>
      <w:pPr>
        <w:spacing w:after="160"/>
        <w:jc w:val="both"/>
      </w:pPr>
      <w:r>
        <w:t xml:space="preserve">The project was scoped from the start to support write-up for an IEEE / Springer / Scopus-indexed conference (see docs/RESEARCH_NOTES.md for the full suggested structure). The Model Performance Dashboard (Section 5.1) now directly supplies the Precision / Recall / F1 / AUC-ROC numbers that section calls for. Remaining steps: include SHAP explanation examples as figures, write the Related Work section positioning this project’s combination of behavioral trajectory modeling with explainability against prior fraud-detection literature, and write an honest Limitations section covering the synthetic dataset and the O(n) feature recomputation.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2026-07-16T04:39:56.138Z</dcterms:created>
  <dcterms:modified xsi:type="dcterms:W3CDTF">2026-07-16T04:39:56.140Z</dcterms:modified>
</cp:coreProperties>
</file>

<file path=docProps/custom.xml><?xml version="1.0" encoding="utf-8"?>
<Properties xmlns="http://schemas.openxmlformats.org/officeDocument/2006/custom-properties" xmlns:vt="http://schemas.openxmlformats.org/officeDocument/2006/docPropsVTypes"/>
</file>