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17365D"/>
          <w:sz w:val="44"/>
        </w:rPr>
        <w:t>Citrix Hybrid Workforce Implementation Brief</w:t>
      </w:r>
    </w:p>
    <w:p>
      <w:r>
        <w:rPr>
          <w:rFonts w:ascii="Aptos" w:hAnsi="Aptos"/>
          <w:b w:val="0"/>
          <w:color w:val="5F6B7A"/>
          <w:sz w:val="22"/>
        </w:rPr>
        <w:t>Companion document for cross connector Knowledge Graph testing</w:t>
      </w:r>
    </w:p>
    <w:p>
      <w:r>
        <w:rPr>
          <w:rFonts w:ascii="Aptos" w:hAnsi="Aptos"/>
          <w:b/>
          <w:color w:val="1F1F1F"/>
          <w:sz w:val="21"/>
        </w:rPr>
        <w:t xml:space="preserve">Purpose. </w:t>
      </w:r>
      <w:r>
        <w:rPr>
          <w:rFonts w:ascii="Aptos" w:hAnsi="Aptos"/>
          <w:b w:val="0"/>
          <w:color w:val="1F1F1F"/>
          <w:sz w:val="21"/>
        </w:rPr>
        <w:t>This brief defines an implementation approach for a Citrix hybrid workforce programme. It complements the corporate overview by connecting Citrix platform capabilities to deployment ownership, security controls, and validation evidence.</w:t>
      </w:r>
    </w:p>
    <w:p>
      <w:pPr>
        <w:pStyle w:val="Heading1"/>
      </w:pPr>
      <w:r>
        <w:t>1. Implementation Scope</w:t>
      </w:r>
    </w:p>
    <w:p>
      <w:r>
        <w:rPr>
          <w:rFonts w:ascii="Aptos" w:hAnsi="Aptos"/>
          <w:b w:val="0"/>
          <w:color w:val="1F1F1F"/>
          <w:sz w:val="21"/>
        </w:rPr>
        <w:t>The programme will provide secure access to approved applications for hybrid employees through Citrix Workspace. Citrix DaaS will deliver virtual applications and desktops, while NetScaler will provide application delivery, traffic management, and controlled exposure. Citrix Secure Private Access will enforce Zero Trust access for approved private, web, and SaaS applications.</w:t>
      </w:r>
    </w:p>
    <w:p>
      <w:pPr>
        <w:pStyle w:val="Heading1"/>
      </w:pPr>
      <w:r>
        <w:t>2. Service and Ownership Map</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3331"/>
            <w:shd w:fill="17365D"/>
            <w:tcMar>
              <w:top w:w="90" w:type="dxa"/>
              <w:start w:w="110" w:type="dxa"/>
              <w:bottom w:w="90" w:type="dxa"/>
              <w:end w:w="110" w:type="dxa"/>
            </w:tcMar>
            <w:vAlign w:val="center"/>
          </w:tcPr>
          <w:p>
            <w:pPr>
              <w:jc w:val="center"/>
            </w:pPr>
            <w:r>
              <w:rPr>
                <w:rFonts w:ascii="Aptos" w:hAnsi="Aptos"/>
                <w:b/>
                <w:color w:val="FFFFFF"/>
                <w:sz w:val="19"/>
              </w:rPr>
              <w:t>Citrix capability</w:t>
            </w:r>
          </w:p>
        </w:tc>
        <w:tc>
          <w:tcPr>
            <w:tcW w:type="dxa" w:w="3331"/>
            <w:shd w:fill="17365D"/>
            <w:tcMar>
              <w:top w:w="90" w:type="dxa"/>
              <w:start w:w="110" w:type="dxa"/>
              <w:bottom w:w="90" w:type="dxa"/>
              <w:end w:w="110" w:type="dxa"/>
            </w:tcMar>
            <w:vAlign w:val="center"/>
          </w:tcPr>
          <w:p>
            <w:pPr>
              <w:jc w:val="center"/>
            </w:pPr>
            <w:r>
              <w:rPr>
                <w:rFonts w:ascii="Aptos" w:hAnsi="Aptos"/>
                <w:b/>
                <w:color w:val="FFFFFF"/>
                <w:sz w:val="19"/>
              </w:rPr>
              <w:t>Implementation responsibility</w:t>
            </w:r>
          </w:p>
        </w:tc>
        <w:tc>
          <w:tcPr>
            <w:tcW w:type="dxa" w:w="3331"/>
            <w:shd w:fill="17365D"/>
            <w:tcMar>
              <w:top w:w="90" w:type="dxa"/>
              <w:start w:w="110" w:type="dxa"/>
              <w:bottom w:w="90" w:type="dxa"/>
              <w:end w:w="110" w:type="dxa"/>
            </w:tcMar>
            <w:vAlign w:val="center"/>
          </w:tcPr>
          <w:p>
            <w:pPr>
              <w:jc w:val="center"/>
            </w:pPr>
            <w:r>
              <w:rPr>
                <w:rFonts w:ascii="Aptos" w:hAnsi="Aptos"/>
                <w:b/>
                <w:color w:val="FFFFFF"/>
                <w:sz w:val="19"/>
              </w:rPr>
              <w:t>Validation evidence</w:t>
            </w:r>
          </w:p>
        </w:tc>
      </w:tr>
      <w:tr>
        <w:tc>
          <w:tcPr>
            <w:tcW w:type="dxa" w:w="3331"/>
            <w:tcMar>
              <w:top w:w="90" w:type="dxa"/>
              <w:start w:w="110" w:type="dxa"/>
              <w:bottom w:w="90" w:type="dxa"/>
              <w:end w:w="110" w:type="dxa"/>
            </w:tcMar>
            <w:vAlign w:val="center"/>
          </w:tcPr>
          <w:p>
            <w:r>
              <w:rPr>
                <w:rFonts w:ascii="Aptos" w:hAnsi="Aptos"/>
                <w:b w:val="0"/>
                <w:color w:val="1F1F1F"/>
                <w:sz w:val="18"/>
              </w:rPr>
              <w:t>Citrix Workspace</w:t>
            </w:r>
          </w:p>
        </w:tc>
        <w:tc>
          <w:tcPr>
            <w:tcW w:type="dxa" w:w="3331"/>
            <w:tcMar>
              <w:top w:w="90" w:type="dxa"/>
              <w:start w:w="110" w:type="dxa"/>
              <w:bottom w:w="90" w:type="dxa"/>
              <w:end w:w="110" w:type="dxa"/>
            </w:tcMar>
            <w:vAlign w:val="center"/>
          </w:tcPr>
          <w:p>
            <w:r>
              <w:rPr>
                <w:rFonts w:ascii="Aptos" w:hAnsi="Aptos"/>
                <w:b w:val="0"/>
                <w:color w:val="1F1F1F"/>
                <w:sz w:val="18"/>
              </w:rPr>
              <w:t>End User Computing team configures user access and application entitlements.</w:t>
            </w:r>
          </w:p>
        </w:tc>
        <w:tc>
          <w:tcPr>
            <w:tcW w:type="dxa" w:w="3331"/>
            <w:tcMar>
              <w:top w:w="90" w:type="dxa"/>
              <w:start w:w="110" w:type="dxa"/>
              <w:bottom w:w="90" w:type="dxa"/>
              <w:end w:w="110" w:type="dxa"/>
            </w:tcMar>
            <w:vAlign w:val="center"/>
          </w:tcPr>
          <w:p>
            <w:r>
              <w:rPr>
                <w:rFonts w:ascii="Aptos" w:hAnsi="Aptos"/>
                <w:b w:val="0"/>
                <w:color w:val="1F1F1F"/>
                <w:sz w:val="18"/>
              </w:rPr>
              <w:t>Users can access approved business applications through Workspace or browser access.</w:t>
            </w:r>
          </w:p>
        </w:tc>
      </w:tr>
      <w:tr>
        <w:tc>
          <w:tcPr>
            <w:tcW w:type="dxa" w:w="3331"/>
            <w:shd w:fill="F3F7FB"/>
            <w:tcMar>
              <w:top w:w="90" w:type="dxa"/>
              <w:start w:w="110" w:type="dxa"/>
              <w:bottom w:w="90" w:type="dxa"/>
              <w:end w:w="110" w:type="dxa"/>
            </w:tcMar>
            <w:vAlign w:val="center"/>
          </w:tcPr>
          <w:p>
            <w:r>
              <w:rPr>
                <w:rFonts w:ascii="Aptos" w:hAnsi="Aptos"/>
                <w:b w:val="0"/>
                <w:color w:val="1F1F1F"/>
                <w:sz w:val="18"/>
              </w:rPr>
              <w:t>Citrix DaaS</w:t>
            </w:r>
          </w:p>
        </w:tc>
        <w:tc>
          <w:tcPr>
            <w:tcW w:type="dxa" w:w="3331"/>
            <w:shd w:fill="F3F7FB"/>
            <w:tcMar>
              <w:top w:w="90" w:type="dxa"/>
              <w:start w:w="110" w:type="dxa"/>
              <w:bottom w:w="90" w:type="dxa"/>
              <w:end w:w="110" w:type="dxa"/>
            </w:tcMar>
            <w:vAlign w:val="center"/>
          </w:tcPr>
          <w:p>
            <w:r>
              <w:rPr>
                <w:rFonts w:ascii="Aptos" w:hAnsi="Aptos"/>
                <w:b w:val="0"/>
                <w:color w:val="1F1F1F"/>
                <w:sz w:val="18"/>
              </w:rPr>
              <w:t>Platform Engineering team provisions virtual applications and desktops.</w:t>
            </w:r>
          </w:p>
        </w:tc>
        <w:tc>
          <w:tcPr>
            <w:tcW w:type="dxa" w:w="3331"/>
            <w:shd w:fill="F3F7FB"/>
            <w:tcMar>
              <w:top w:w="90" w:type="dxa"/>
              <w:start w:w="110" w:type="dxa"/>
              <w:bottom w:w="90" w:type="dxa"/>
              <w:end w:w="110" w:type="dxa"/>
            </w:tcMar>
            <w:vAlign w:val="center"/>
          </w:tcPr>
          <w:p>
            <w:r>
              <w:rPr>
                <w:rFonts w:ascii="Aptos" w:hAnsi="Aptos"/>
                <w:b w:val="0"/>
                <w:color w:val="1F1F1F"/>
                <w:sz w:val="18"/>
              </w:rPr>
              <w:t>A pilot user group completes a successful virtual desktop and application session.</w:t>
            </w:r>
          </w:p>
        </w:tc>
      </w:tr>
      <w:tr>
        <w:tc>
          <w:tcPr>
            <w:tcW w:type="dxa" w:w="3331"/>
            <w:tcMar>
              <w:top w:w="90" w:type="dxa"/>
              <w:start w:w="110" w:type="dxa"/>
              <w:bottom w:w="90" w:type="dxa"/>
              <w:end w:w="110" w:type="dxa"/>
            </w:tcMar>
            <w:vAlign w:val="center"/>
          </w:tcPr>
          <w:p>
            <w:r>
              <w:rPr>
                <w:rFonts w:ascii="Aptos" w:hAnsi="Aptos"/>
                <w:b w:val="0"/>
                <w:color w:val="1F1F1F"/>
                <w:sz w:val="18"/>
              </w:rPr>
              <w:t>NetScaler</w:t>
            </w:r>
          </w:p>
        </w:tc>
        <w:tc>
          <w:tcPr>
            <w:tcW w:type="dxa" w:w="3331"/>
            <w:tcMar>
              <w:top w:w="90" w:type="dxa"/>
              <w:start w:w="110" w:type="dxa"/>
              <w:bottom w:w="90" w:type="dxa"/>
              <w:end w:w="110" w:type="dxa"/>
            </w:tcMar>
            <w:vAlign w:val="center"/>
          </w:tcPr>
          <w:p>
            <w:r>
              <w:rPr>
                <w:rFonts w:ascii="Aptos" w:hAnsi="Aptos"/>
                <w:b w:val="0"/>
                <w:color w:val="1F1F1F"/>
                <w:sz w:val="18"/>
              </w:rPr>
              <w:t>Network and Security team configures application delivery, load balancing, and gateway controls.</w:t>
            </w:r>
          </w:p>
        </w:tc>
        <w:tc>
          <w:tcPr>
            <w:tcW w:type="dxa" w:w="3331"/>
            <w:tcMar>
              <w:top w:w="90" w:type="dxa"/>
              <w:start w:w="110" w:type="dxa"/>
              <w:bottom w:w="90" w:type="dxa"/>
              <w:end w:w="110" w:type="dxa"/>
            </w:tcMar>
            <w:vAlign w:val="center"/>
          </w:tcPr>
          <w:p>
            <w:r>
              <w:rPr>
                <w:rFonts w:ascii="Aptos" w:hAnsi="Aptos"/>
                <w:b w:val="0"/>
                <w:color w:val="1F1F1F"/>
                <w:sz w:val="18"/>
              </w:rPr>
              <w:t>Traffic-health and failover checks meet the agreed availability threshold.</w:t>
            </w:r>
          </w:p>
        </w:tc>
      </w:tr>
      <w:tr>
        <w:tc>
          <w:tcPr>
            <w:tcW w:type="dxa" w:w="3331"/>
            <w:shd w:fill="F3F7FB"/>
            <w:tcMar>
              <w:top w:w="90" w:type="dxa"/>
              <w:start w:w="110" w:type="dxa"/>
              <w:bottom w:w="90" w:type="dxa"/>
              <w:end w:w="110" w:type="dxa"/>
            </w:tcMar>
            <w:vAlign w:val="center"/>
          </w:tcPr>
          <w:p>
            <w:r>
              <w:rPr>
                <w:rFonts w:ascii="Aptos" w:hAnsi="Aptos"/>
                <w:b w:val="0"/>
                <w:color w:val="1F1F1F"/>
                <w:sz w:val="18"/>
              </w:rPr>
              <w:t>Citrix Secure Private Access</w:t>
            </w:r>
          </w:p>
        </w:tc>
        <w:tc>
          <w:tcPr>
            <w:tcW w:type="dxa" w:w="3331"/>
            <w:shd w:fill="F3F7FB"/>
            <w:tcMar>
              <w:top w:w="90" w:type="dxa"/>
              <w:start w:w="110" w:type="dxa"/>
              <w:bottom w:w="90" w:type="dxa"/>
              <w:end w:w="110" w:type="dxa"/>
            </w:tcMar>
            <w:vAlign w:val="center"/>
          </w:tcPr>
          <w:p>
            <w:r>
              <w:rPr>
                <w:rFonts w:ascii="Aptos" w:hAnsi="Aptos"/>
                <w:b w:val="0"/>
                <w:color w:val="1F1F1F"/>
                <w:sz w:val="18"/>
              </w:rPr>
              <w:t>Security team applies identity, device, and application-level Zero Trust policies.</w:t>
            </w:r>
          </w:p>
        </w:tc>
        <w:tc>
          <w:tcPr>
            <w:tcW w:type="dxa" w:w="3331"/>
            <w:shd w:fill="F3F7FB"/>
            <w:tcMar>
              <w:top w:w="90" w:type="dxa"/>
              <w:start w:w="110" w:type="dxa"/>
              <w:bottom w:w="90" w:type="dxa"/>
              <w:end w:w="110" w:type="dxa"/>
            </w:tcMar>
            <w:vAlign w:val="center"/>
          </w:tcPr>
          <w:p>
            <w:r>
              <w:rPr>
                <w:rFonts w:ascii="Aptos" w:hAnsi="Aptos"/>
                <w:b w:val="0"/>
                <w:color w:val="1F1F1F"/>
                <w:sz w:val="18"/>
              </w:rPr>
              <w:t>Unauthorized device and user-access tests are denied and recorded.</w:t>
            </w:r>
          </w:p>
        </w:tc>
      </w:tr>
      <w:tr>
        <w:tc>
          <w:tcPr>
            <w:tcW w:type="dxa" w:w="3331"/>
            <w:tcMar>
              <w:top w:w="90" w:type="dxa"/>
              <w:start w:w="110" w:type="dxa"/>
              <w:bottom w:w="90" w:type="dxa"/>
              <w:end w:w="110" w:type="dxa"/>
            </w:tcMar>
            <w:vAlign w:val="center"/>
          </w:tcPr>
          <w:p>
            <w:r>
              <w:rPr>
                <w:rFonts w:ascii="Aptos" w:hAnsi="Aptos"/>
                <w:b w:val="0"/>
                <w:color w:val="1F1F1F"/>
                <w:sz w:val="18"/>
              </w:rPr>
              <w:t>Analytics and observability</w:t>
            </w:r>
          </w:p>
        </w:tc>
        <w:tc>
          <w:tcPr>
            <w:tcW w:type="dxa" w:w="3331"/>
            <w:tcMar>
              <w:top w:w="90" w:type="dxa"/>
              <w:start w:w="110" w:type="dxa"/>
              <w:bottom w:w="90" w:type="dxa"/>
              <w:end w:w="110" w:type="dxa"/>
            </w:tcMar>
            <w:vAlign w:val="center"/>
          </w:tcPr>
          <w:p>
            <w:r>
              <w:rPr>
                <w:rFonts w:ascii="Aptos" w:hAnsi="Aptos"/>
                <w:b w:val="0"/>
                <w:color w:val="1F1F1F"/>
                <w:sz w:val="18"/>
              </w:rPr>
              <w:t>Operations team monitors user experience, environment health, and security signals.</w:t>
            </w:r>
          </w:p>
        </w:tc>
        <w:tc>
          <w:tcPr>
            <w:tcW w:type="dxa" w:w="3331"/>
            <w:tcMar>
              <w:top w:w="90" w:type="dxa"/>
              <w:start w:w="110" w:type="dxa"/>
              <w:bottom w:w="90" w:type="dxa"/>
              <w:end w:w="110" w:type="dxa"/>
            </w:tcMar>
            <w:vAlign w:val="center"/>
          </w:tcPr>
          <w:p>
            <w:r>
              <w:rPr>
                <w:rFonts w:ascii="Aptos" w:hAnsi="Aptos"/>
                <w:b w:val="0"/>
                <w:color w:val="1F1F1F"/>
                <w:sz w:val="18"/>
              </w:rPr>
              <w:t>Dashboard shows session performance, access events, and a documented incident response path.</w:t>
            </w:r>
          </w:p>
        </w:tc>
      </w:tr>
    </w:tbl>
    <w:p>
      <w:r>
        <w:br w:type="page"/>
      </w:r>
    </w:p>
    <w:p>
      <w:pPr>
        <w:pStyle w:val="Heading1"/>
      </w:pPr>
      <w:r>
        <w:t>3. Hybrid Deployment Decision</w:t>
      </w:r>
    </w:p>
    <w:p>
      <w:r>
        <w:rPr>
          <w:rFonts w:ascii="Aptos" w:hAnsi="Aptos"/>
          <w:b w:val="0"/>
          <w:color w:val="1F1F1F"/>
          <w:sz w:val="21"/>
        </w:rPr>
        <w:t>The initial design uses a hybrid deployment model. Business-critical application data remains in the on-premises environment, while selected virtual application capacity can use public-cloud resources. The design must account for identity integration, capacity planning, network readiness, application dependency mapping, and lifecycle management.</w:t>
      </w:r>
    </w:p>
    <w:p>
      <w:pPr>
        <w:pStyle w:val="Heading1"/>
      </w:pPr>
      <w:r>
        <w:t>4. Knowledge Graph Test Relationships</w:t>
      </w:r>
    </w:p>
    <w:p>
      <w:r>
        <w:rPr>
          <w:rFonts w:ascii="Aptos" w:hAnsi="Aptos"/>
          <w:b w:val="0"/>
          <w:color w:val="1F1F1F"/>
          <w:sz w:val="21"/>
        </w:rPr>
        <w:t>When this document is indexed in a connector other than SharePoint, InfoSphere should link it to the SharePoint corporate overview through the shared entities: Citrix Workspace, Citrix DaaS, NetScaler, Citrix Secure Private Access, hybrid deployment, Zero Trust access, observability, and virtual applications.</w:t>
      </w:r>
    </w:p>
    <w:p>
      <w:pPr>
        <w:pStyle w:val="ListBullet"/>
      </w:pPr>
      <w:r>
        <w:rPr>
          <w:rFonts w:ascii="Aptos" w:hAnsi="Aptos"/>
          <w:b/>
          <w:color w:val="17365D"/>
          <w:sz w:val="20"/>
        </w:rPr>
        <w:t xml:space="preserve">Question 1: </w:t>
      </w:r>
      <w:r>
        <w:rPr>
          <w:rFonts w:ascii="Aptos" w:hAnsi="Aptos"/>
          <w:b w:val="0"/>
          <w:color w:val="1F1F1F"/>
          <w:sz w:val="20"/>
        </w:rPr>
        <w:t>Which Citrix capabilities support secure hybrid application access, and what is the role of each?</w:t>
      </w:r>
    </w:p>
    <w:p>
      <w:pPr>
        <w:pStyle w:val="ListBullet"/>
      </w:pPr>
      <w:r>
        <w:rPr>
          <w:rFonts w:ascii="Aptos" w:hAnsi="Aptos"/>
          <w:b/>
          <w:color w:val="17365D"/>
          <w:sz w:val="20"/>
        </w:rPr>
        <w:t xml:space="preserve">Question 2: </w:t>
      </w:r>
      <w:r>
        <w:rPr>
          <w:rFonts w:ascii="Aptos" w:hAnsi="Aptos"/>
          <w:b w:val="0"/>
          <w:color w:val="1F1F1F"/>
          <w:sz w:val="20"/>
        </w:rPr>
        <w:t>Which team owns Citrix Secure Private Access, and how is Zero Trust validation performed?</w:t>
      </w:r>
    </w:p>
    <w:p>
      <w:pPr>
        <w:pStyle w:val="ListBullet"/>
      </w:pPr>
      <w:r>
        <w:rPr>
          <w:rFonts w:ascii="Aptos" w:hAnsi="Aptos"/>
          <w:b/>
          <w:color w:val="17365D"/>
          <w:sz w:val="20"/>
        </w:rPr>
        <w:t xml:space="preserve">Question 3: </w:t>
      </w:r>
      <w:r>
        <w:rPr>
          <w:rFonts w:ascii="Aptos" w:hAnsi="Aptos"/>
          <w:b w:val="0"/>
          <w:color w:val="1F1F1F"/>
          <w:sz w:val="20"/>
        </w:rPr>
        <w:t>How do Citrix Workspace, Citrix DaaS, and NetScaler work together for a hybrid workforce?</w:t>
      </w:r>
    </w:p>
    <w:p>
      <w:pPr>
        <w:pStyle w:val="ListBullet"/>
      </w:pPr>
      <w:r>
        <w:rPr>
          <w:rFonts w:ascii="Aptos" w:hAnsi="Aptos"/>
          <w:b/>
          <w:color w:val="17365D"/>
          <w:sz w:val="20"/>
        </w:rPr>
        <w:t xml:space="preserve">Question 4: </w:t>
      </w:r>
      <w:r>
        <w:rPr>
          <w:rFonts w:ascii="Aptos" w:hAnsi="Aptos"/>
          <w:b w:val="0"/>
          <w:color w:val="1F1F1F"/>
          <w:sz w:val="20"/>
        </w:rPr>
        <w:t>What operational evidence is required before the hybrid Citrix service is ready for users?</w:t>
      </w:r>
    </w:p>
    <w:p>
      <w:pPr>
        <w:pStyle w:val="Heading1"/>
      </w:pPr>
      <w:r>
        <w:t>5. Expected Combined Answer</w:t>
      </w:r>
    </w:p>
    <w:p>
      <w:r>
        <w:rPr>
          <w:rFonts w:ascii="Aptos" w:hAnsi="Aptos"/>
          <w:b w:val="0"/>
          <w:color w:val="1F1F1F"/>
          <w:sz w:val="21"/>
        </w:rPr>
        <w:t>A successful answer should use the SharePoint overview for Citrix business context and platform purpose, and this implementation brief for ownership, controls, readiness checks, and validation evidence. The response should identify the source document or connector for each factual statement.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Knowledge Graph test fixture | Citrix hybrid workforce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5F6B7A"/>
        <w:sz w:val="16"/>
      </w:rPr>
      <w:t>CITRIX IMPLEMENTATION BRIEF  |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