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29 — SMP/E CSI Query and SYSMOD Inventory</w:t>
      </w:r>
    </w:p>
    <w:p>
      <w:r>
        <w:t>Closure report — z/OS ADCD / Hercules</w:t>
        <w:br/>
        <w:t>CSI: MVS.GLOBAL.CSI | Target zone: MVST | FMID: HBB7760</w:t>
      </w:r>
    </w:p>
    <w:p>
      <w:pPr>
        <w:pStyle w:val="Heading1"/>
      </w:pPr>
      <w:r>
        <w:t>Objective</w:t>
      </w:r>
    </w:p>
    <w:p>
      <w:r>
        <w:t>Interrogate the SMP/E CSI, select target zone MVST, locate HBB7760 and obtain its associated SYSMOD inventory while preserving the troubleshooting path required to execute the generated batch job.</w:t>
      </w:r>
    </w:p>
    <w:p>
      <w:pPr>
        <w:pStyle w:val="Heading1"/>
      </w:pPr>
      <w:r>
        <w:t>Successful control statements</w:t>
      </w:r>
    </w:p>
    <w:p>
      <w:r>
        <w:t>SET BOUNDARY(MVST).</w:t>
        <w:br/>
        <w:t>LIST FUNCTIONS FORFMID(HBB7760) SYSMODS.</w:t>
      </w:r>
    </w:p>
    <w:p>
      <w:pPr>
        <w:pStyle w:val="Heading1"/>
      </w:pPr>
      <w:r>
        <w:t>Result</w:t>
      </w:r>
    </w:p>
    <w:p>
      <w:r>
        <w:t>SMPLIST identifies HBB7760 as a FUNCTION with description BCP Base. The evidence also shows JCLIN=YES and DELMID=YES and then enumerates the associated maintenance/SYSMOD relationships.</w:t>
      </w:r>
    </w:p>
    <w:p>
      <w:pPr>
        <w:pStyle w:val="Heading1"/>
      </w:pPr>
      <w:r>
        <w:t>Troubleshooting</w:t>
      </w:r>
    </w:p>
    <w:p>
      <w:r>
        <w:t>Initial generated jobs produced JCL diagnostics (IEFC621I / IEFC605I). The generated batch JCL and available SMP/E load-library path were inspected. The corrected execution used SYS1.MIGLIB for the SMP/E step and produced valid output.</w:t>
      </w:r>
    </w:p>
    <w:p>
      <w:pPr>
        <w:pStyle w:val="Heading1"/>
      </w:pPr>
      <w:r>
        <w:t>Evidence policy</w:t>
      </w:r>
    </w:p>
    <w:p>
      <w:r>
        <w:t>The complete 66-page evidence document is retained. 6 additional SMP/E screenshots from the same sequence, not visually identical to images embedded in that Word file, were also added to the evidence directory.</w:t>
      </w:r>
    </w:p>
    <w:p>
      <w:pPr>
        <w:pStyle w:val="Heading1"/>
      </w:pPr>
      <w:r>
        <w:t>Key evidence</w:t>
      </w:r>
    </w:p>
    <w:p>
      <w:pPr>
        <w:jc w:val="center"/>
      </w:pPr>
      <w:r>
        <w:rPr>
          <w:b/>
        </w:rPr>
        <w:t>extra-774b25fd-dc40-4e98-beda-38ae08a92037.PNG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774b25fd-dc40-4e98-beda-38ae08a92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extra-8e73adaf-c432-4db7-96a8-7c4cf5f40f70.PNG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8e73adaf-c432-4db7-96a8-7c4cf5f40f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extra-75468c49-f437-4468-ab82-28be3da46ae5.PNG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8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75468c49-f437-4468-ab82-28be3da46a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extra-56f88d3a-1fd8-4409-b17f-c702417b4935.PNG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60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56f88d3a-1fd8-4409-b17f-c702417b49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extra-3766846c-1661-4abd-9871-d8a1f37a775c.PNG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35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3766846c-1661-4abd-9871-d8a1f37a775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extra-719f00cb-763b-479c-b6ec-d7bea441eadf.PNG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4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-719f00cb-763b-479c-b6ec-d7bea441ea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