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ject_argus_autonomous_freight_635888"/>
      <w:r>
        <w:rPr>
          <w:rFonts w:eastAsia="Georgia" w:cs="Georgia" w:ascii="Georgia" w:hAnsi="Georgia"/>
          <w:b/>
          <w:sz w:val="56"/>
        </w:rPr>
        <w:t xml:space="preserve">Project Argus – Autonomous Freight Auditing &amp; Payment (AFAP) Investment Memo</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Nexus Ventures should pursue a </w:t>
      </w:r>
      <w:r>
        <w:rPr>
          <w:b/>
        </w:rPr>
        <w:t xml:space="preserve">targeted “Invest” strategy</w:t>
      </w:r>
      <w:r>
        <w:rPr>
          <w:rFonts w:eastAsia="Georgia" w:cs="Georgia" w:ascii="Georgia" w:hAnsi="Georgia"/>
        </w:rPr>
        <w:t xml:space="preserve"> in AI-native Autonomous Freight Auditing &amp; Payment (AFAP) platforms, backing 1–2 category leaders where the moat is anchored in proprietary transportation finance data, agentic/LLM workflows, and payment-rail integrations, rather than generic ERP-style freight modules. Evidence from shippers and implementers shows that SAP TM and Oracle Transportation Management (OTM) freight-payment capabilities are powerful on paper but remain underutilized, complex, and slow to implement, leaving large pockets of manual work, spreadsheets, and outsourced audit even in SAP/Oracle-centric enterprises.[1][2][3][4][5][6][7][8][9]</w:t>
      </w:r>
    </w:p>
    <w:p>
      <w:pPr>
        <w:spacing w:after="210" w:lineRule="auto"/>
      </w:pPr>
      <w:r>
        <w:rPr>
          <w:rFonts w:eastAsia="Georgia" w:cs="Georgia" w:ascii="Georgia" w:hAnsi="Georgia"/>
        </w:rPr>
        <w:t xml:space="preserve">Over an 18–24 month horizon, the most credible AFAP startups—Loop, Via, OpenEnvoy, Portcast, and ARDEM FreightSure—are unlikely to be “crushed” by SAP or Oracle, but instead will coexist as AI-native adjuncts that sit on top of or beside ERP stacks, with plausible exit paths to strategic buyers including those same suite vendors or large banks/payments networks.[2][3][5][10][11][1]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op_afap_ai_startups_vs_sap_oracl_330531"/>
      <w:r>
        <w:rPr>
          <w:b/>
          <w:sz w:val="42"/>
        </w:rPr>
        <w:t xml:space="preserve">Top AFAP AI startups vs SAP/Oracle freight audit modules</w:t>
      </w:r>
      <w:bookmarkEnd w:id="2"/>
    </w:p>
    <w:p>
      <w:pPr>
        <w:spacing w:after="210" w:lineRule="auto"/>
      </w:pPr>
      <w:r>
        <w:rPr>
          <w:b/>
        </w:rPr>
        <w:t xml:space="preserve">Scope.</w:t>
      </w:r>
      <w:r>
        <w:rPr>
          <w:rFonts w:eastAsia="Georgia" w:cs="Georgia" w:ascii="Georgia" w:hAnsi="Georgia"/>
        </w:rPr>
        <w:t xml:space="preserve"> The table below compares five focused AFAP/transport-spend startups to SAP Transportation Management (TM) and Oracle Transportation Management (OTM) freight payment modules on AI approach, product scope, funding traction, and practical moat over the next 18–24 months.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86"/>
        <w:gridCol w:w="1086"/>
        <w:gridCol w:w="1086"/>
        <w:gridCol w:w="1086"/>
        <w:gridCol w:w="1086"/>
        <w:gridCol w:w="1086"/>
        <w:gridCol w:w="1086"/>
        <w:gridCol w:w="1086"/>
      </w:tblGrid>
      <w:tr>
        <w:trPr>
          <w:cantSplit/>
        </w:trPr>
        <w:tc>
          <w:tcPr>
            <w:tcBorders>
              <w:top w:val="single" w:sz="1" w:space="0" w:color="000000"/>
              <w:bottom w:val="single" w:sz="1" w:space="0" w:color="000000"/>
            </w:tcBorders>
          </w:tcPr>
          <w:p>
            <w:pPr>
              <w:spacing w:lineRule="auto"/>
            </w:pPr>
            <w:r>
              <w:rPr/>
              <w:t xml:space="preserve">Player</w:t>
            </w:r>
          </w:p>
        </w:tc>
        <w:tc>
          <w:tcPr>
            <w:tcBorders>
              <w:top w:val="single" w:sz="1" w:space="0" w:color="000000"/>
              <w:left w:val="single" w:sz="1" w:space="0" w:color="000000"/>
              <w:bottom w:val="single" w:sz="1" w:space="0" w:color="000000"/>
            </w:tcBorders>
          </w:tcPr>
          <w:p>
            <w:pPr>
              <w:spacing w:lineRule="auto"/>
            </w:pPr>
            <w:r>
              <w:rPr/>
              <w:t xml:space="preserve">Segment</w:t>
            </w:r>
          </w:p>
        </w:tc>
        <w:tc>
          <w:tcPr>
            <w:tcBorders>
              <w:top w:val="single" w:sz="1" w:space="0" w:color="000000"/>
              <w:left w:val="single" w:sz="1" w:space="0" w:color="000000"/>
              <w:bottom w:val="single" w:sz="1" w:space="0" w:color="000000"/>
            </w:tcBorders>
          </w:tcPr>
          <w:p>
            <w:pPr>
              <w:spacing w:lineRule="auto"/>
            </w:pPr>
            <w:r>
              <w:rPr/>
              <w:t xml:space="preserve">Core AI differentiation</w:t>
            </w:r>
          </w:p>
        </w:tc>
        <w:tc>
          <w:tcPr>
            <w:tcBorders>
              <w:top w:val="single" w:sz="1" w:space="0" w:color="000000"/>
              <w:left w:val="single" w:sz="1" w:space="0" w:color="000000"/>
              <w:bottom w:val="single" w:sz="1" w:space="0" w:color="000000"/>
            </w:tcBorders>
          </w:tcPr>
          <w:p>
            <w:pPr>
              <w:spacing w:lineRule="auto"/>
            </w:pPr>
            <w:r>
              <w:rPr/>
              <w:t xml:space="preserve">Freight audit &amp; payment focus</w:t>
            </w:r>
          </w:p>
        </w:tc>
        <w:tc>
          <w:tcPr>
            <w:tcBorders>
              <w:top w:val="single" w:sz="1" w:space="0" w:color="000000"/>
              <w:left w:val="single" w:sz="1" w:space="0" w:color="000000"/>
              <w:bottom w:val="single" w:sz="1" w:space="0" w:color="000000"/>
            </w:tcBorders>
          </w:tcPr>
          <w:p>
            <w:pPr>
              <w:spacing w:lineRule="auto"/>
            </w:pPr>
            <w:r>
              <w:rPr/>
              <w:t xml:space="preserve">Recent funding / scale</w:t>
            </w:r>
          </w:p>
        </w:tc>
        <w:tc>
          <w:tcPr>
            <w:tcBorders>
              <w:top w:val="single" w:sz="1" w:space="0" w:color="000000"/>
              <w:left w:val="single" w:sz="1" w:space="0" w:color="000000"/>
              <w:bottom w:val="single" w:sz="1" w:space="0" w:color="000000"/>
            </w:tcBorders>
          </w:tcPr>
          <w:p>
            <w:pPr>
              <w:spacing w:lineRule="auto"/>
            </w:pPr>
            <w:r>
              <w:rPr/>
              <w:t xml:space="preserve">Notable customers / traction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18–24m moat vs SAP/Oracle TM</w:t>
            </w:r>
          </w:p>
        </w:tc>
        <w:tc>
          <w:tcPr>
            <w:tcBorders>
              <w:top w:val="single" w:sz="1" w:space="0" w:color="000000"/>
              <w:left w:val="single" w:sz="1" w:space="0" w:color="000000"/>
              <w:bottom w:val="single" w:sz="1" w:space="0" w:color="000000"/>
            </w:tcBorders>
          </w:tcPr>
          <w:p>
            <w:pPr>
              <w:spacing w:lineRule="auto"/>
            </w:pPr>
            <w:r>
              <w:rPr/>
              <w:t xml:space="preserve">Key risks</w:t>
            </w:r>
          </w:p>
        </w:tc>
      </w:tr>
      <w:tr>
        <w:trPr>
          <w:cantSplit/>
        </w:trPr>
        <w:tc>
          <w:tcPr>
            <w:tcBorders>
              <w:top w:val="single" w:sz="1" w:space="0" w:color="000000"/>
              <w:bottom w:val="single" w:sz="1" w:space="0" w:color="000000"/>
            </w:tcBorders>
          </w:tcPr>
          <w:p>
            <w:pPr>
              <w:spacing w:lineRule="auto"/>
            </w:pPr>
            <w:r>
              <w:rPr>
                <w:b/>
              </w:rPr>
              <w:t xml:space="preserve">Loop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startup – US, founded 2021</w:t>
            </w:r>
          </w:p>
        </w:tc>
        <w:tc>
          <w:tcPr>
            <w:tcBorders>
              <w:top w:val="single" w:sz="1" w:space="0" w:color="000000"/>
              <w:left w:val="single" w:sz="1" w:space="0" w:color="000000"/>
              <w:bottom w:val="single" w:sz="1" w:space="0" w:color="000000"/>
            </w:tcBorders>
          </w:tcPr>
          <w:p>
            <w:pPr>
              <w:spacing w:lineRule="auto"/>
            </w:pPr>
            <w:r>
              <w:rPr/>
              <w:t xml:space="preserve">"Logistics-AI" platform that digitizes contracts and rate tables into a rate engine and automatically audits every invoice line-item; AI links disparate docs (contracts, BOLs, receipts) and learns from exceptions to improve accuracy over time.[1][2][3][12]</w:t>
            </w:r>
          </w:p>
        </w:tc>
        <w:tc>
          <w:tcPr>
            <w:tcBorders>
              <w:top w:val="single" w:sz="1" w:space="0" w:color="000000"/>
              <w:left w:val="single" w:sz="1" w:space="0" w:color="000000"/>
              <w:bottom w:val="single" w:sz="1" w:space="0" w:color="000000"/>
            </w:tcBorders>
          </w:tcPr>
          <w:p>
            <w:pPr>
              <w:spacing w:lineRule="auto"/>
            </w:pPr>
            <w:r>
              <w:rPr/>
              <w:t xml:space="preserve">Modern audit &amp; payment platform for the "next-gen supply chain"; consolidates all transportation financial data, automates freight &amp; parcel audits, and accelerates working-capital flows between shippers, carriers, and brokers.[1][2][3][13]</w:t>
            </w:r>
          </w:p>
        </w:tc>
        <w:tc>
          <w:tcPr>
            <w:tcBorders>
              <w:top w:val="single" w:sz="1" w:space="0" w:color="000000"/>
              <w:left w:val="single" w:sz="1" w:space="0" w:color="000000"/>
              <w:bottom w:val="single" w:sz="1" w:space="0" w:color="000000"/>
            </w:tcBorders>
          </w:tcPr>
          <w:p>
            <w:pPr>
              <w:spacing w:lineRule="auto"/>
            </w:pPr>
            <w:r>
              <w:rPr/>
              <w:t xml:space="preserve">Raised </w:t>
            </w:r>
            <w:r>
              <w:rPr>
                <w:b/>
              </w:rPr>
              <w:t xml:space="preserve">35M Series B (2023)</w:t>
            </w:r>
            <w:r>
              <w:rPr/>
              <w:t xml:space="preserve"> co-led by J.P. Morgan Growth Equity Partners and Index Ventures; positioned as a fintech-style infra layer for supply-chain payments.[1][12][13]</w:t>
            </w:r>
          </w:p>
        </w:tc>
        <w:tc>
          <w:tcPr>
            <w:tcBorders>
              <w:top w:val="single" w:sz="1" w:space="0" w:color="000000"/>
              <w:left w:val="single" w:sz="1" w:space="0" w:color="000000"/>
              <w:bottom w:val="single" w:sz="1" w:space="0" w:color="000000"/>
            </w:tcBorders>
          </w:tcPr>
          <w:p>
            <w:pPr>
              <w:spacing w:lineRule="auto"/>
            </w:pPr>
            <w:r>
              <w:rPr/>
              <w:t xml:space="preserve">Used by global shippers such as Great Dane, GILLIG, and J.P. Morgan Chase, and logistics providers like Convoy and Loadsmart; collaboration with J.P. Morgan Payments offers same-day carrier payments and configurable payment terms for shippers.[1][2][3][12]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Strong near-term moat around (1) deep transportation-finance data model, (2) AI-native invoice and contract reasoning, and (3) embedded partnership with a top global bank to turn audit outputs directly into accelerated payments—something SAP/Oracle generally leave to banks or custom projects.[1][2][3][4][6]</w:t>
            </w:r>
          </w:p>
        </w:tc>
        <w:tc>
          <w:tcPr>
            <w:tcBorders>
              <w:top w:val="single" w:sz="1" w:space="0" w:color="000000"/>
              <w:left w:val="single" w:sz="1" w:space="0" w:color="000000"/>
              <w:bottom w:val="single" w:sz="1" w:space="0" w:color="000000"/>
            </w:tcBorders>
          </w:tcPr>
          <w:p>
            <w:pPr>
              <w:spacing w:lineRule="auto"/>
            </w:pPr>
            <w:r>
              <w:rPr/>
              <w:t xml:space="preserve">Execution risk integrating with heterogeneous shipper ERPs/TMSs; must keep clear value vs simply extending SAP/Oracle modules; exposure to payment and PCI-style regulation as it shifts from pure audit into capital flows.[3][14][15]</w:t>
            </w:r>
          </w:p>
        </w:tc>
      </w:tr>
      <w:tr>
        <w:trPr>
          <w:cantSplit/>
        </w:trPr>
        <w:tc>
          <w:tcPr>
            <w:tcBorders>
              <w:top w:val="single" w:sz="1" w:space="0" w:color="000000"/>
              <w:bottom w:val="single" w:sz="1" w:space="0" w:color="000000"/>
            </w:tcBorders>
          </w:tcPr>
          <w:p>
            <w:pPr>
              <w:spacing w:lineRule="auto"/>
            </w:pPr>
            <w:r>
              <w:rPr>
                <w:b/>
              </w:rPr>
              <w:t xml:space="preserve">Via (</w:t>
            </w:r>
            <w:hyperlink r:id="rId5">
              <w:r>
                <w:rPr>
                  <w:b/>
                  <w:color w:val="4472C4"/>
                </w:rPr>
                <w:t xml:space="preserve">withvia.ai</w:t>
              </w:r>
            </w:hyperlink>
            <w:r>
              <w:rPr>
                <w:b/>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startup – US, founded 2022</w:t>
            </w:r>
          </w:p>
        </w:tc>
        <w:tc>
          <w:tcPr>
            <w:tcBorders>
              <w:top w:val="single" w:sz="1" w:space="0" w:color="000000"/>
              <w:left w:val="single" w:sz="1" w:space="0" w:color="000000"/>
              <w:bottom w:val="single" w:sz="1" w:space="0" w:color="000000"/>
            </w:tcBorders>
          </w:tcPr>
          <w:p>
            <w:pPr>
              <w:spacing w:lineRule="auto"/>
            </w:pPr>
            <w:r>
              <w:rPr/>
              <w:t xml:space="preserve">AI engine that centralizes fragmented freight and parcel data, uses "AI Powered Extract" to automatically ingest invoices and supporting docs, and auto-audits up to roughly 80% of invoices in real time with minimal manual review.[16][17]</w:t>
            </w:r>
          </w:p>
        </w:tc>
        <w:tc>
          <w:tcPr>
            <w:tcBorders>
              <w:top w:val="single" w:sz="1" w:space="0" w:color="000000"/>
              <w:left w:val="single" w:sz="1" w:space="0" w:color="000000"/>
              <w:bottom w:val="single" w:sz="1" w:space="0" w:color="000000"/>
            </w:tcBorders>
          </w:tcPr>
          <w:p>
            <w:pPr>
              <w:spacing w:lineRule="auto"/>
            </w:pPr>
            <w:r>
              <w:rPr/>
              <w:t xml:space="preserve">AI-powered transportation spend management: one platform for all parcel and freight invoices, real-time invoice auditing, accessorial/lane analysis, and analytics to unlock up to 3%+ transport cost savings for mid-market shippers.[16][17]</w:t>
            </w:r>
          </w:p>
        </w:tc>
        <w:tc>
          <w:tcPr>
            <w:tcBorders>
              <w:top w:val="single" w:sz="1" w:space="0" w:color="000000"/>
              <w:left w:val="single" w:sz="1" w:space="0" w:color="000000"/>
              <w:bottom w:val="single" w:sz="1" w:space="0" w:color="000000"/>
            </w:tcBorders>
          </w:tcPr>
          <w:p>
            <w:pPr>
              <w:spacing w:lineRule="auto"/>
            </w:pPr>
            <w:r>
              <w:rPr/>
              <w:t xml:space="preserve">Early-stage; startup databases list no disclosed institutional funding as of latest profiles (likely pre-seed/seed or bootstrapped).[17]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References include brands such as Cozy Earth and Cometeer, highlighting value in automating repetitive, non‑value‑add invoice audit work for lean logistics teams.[16]</w:t>
            </w:r>
          </w:p>
        </w:tc>
        <w:tc>
          <w:tcPr>
            <w:tcBorders>
              <w:top w:val="single" w:sz="1" w:space="0" w:color="000000"/>
              <w:left w:val="single" w:sz="1" w:space="0" w:color="000000"/>
              <w:bottom w:val="single" w:sz="1" w:space="0" w:color="000000"/>
            </w:tcBorders>
          </w:tcPr>
          <w:p>
            <w:pPr>
              <w:spacing w:lineRule="auto"/>
            </w:pPr>
            <w:r>
              <w:rPr/>
              <w:t xml:space="preserve">Moat is in UX and ease-of-onboarding for mid-market shippers where SAP/Oracle TM are perceived as overkill; AI-first workflow and narrow focus on transport spend gives faster deployment and higher automation on day-one invoices than generic ERP invoice verification.[16][4][6][9]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Nascent capital base and limited brand compared to Loop/OpenEnvoy; faces fast-follower risk from other AI spend‑management tools; must build defensible data and integration assets before large ERPs tighten mid-market offerings.[17][18][9]</w:t>
            </w:r>
          </w:p>
        </w:tc>
      </w:tr>
      <w:tr>
        <w:trPr>
          <w:cantSplit/>
        </w:trPr>
        <w:tc>
          <w:tcPr>
            <w:tcBorders>
              <w:top w:val="single" w:sz="1" w:space="0" w:color="000000"/>
              <w:bottom w:val="single" w:sz="1" w:space="0" w:color="000000"/>
            </w:tcBorders>
          </w:tcPr>
          <w:p>
            <w:pPr>
              <w:spacing w:lineRule="auto"/>
            </w:pPr>
            <w:r>
              <w:rPr>
                <w:b/>
              </w:rPr>
              <w:t xml:space="preserve">OpenEnvoy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AFAP/AI AP automation – US</w:t>
            </w:r>
          </w:p>
        </w:tc>
        <w:tc>
          <w:tcPr>
            <w:tcBorders>
              <w:top w:val="single" w:sz="1" w:space="0" w:color="000000"/>
              <w:left w:val="single" w:sz="1" w:space="0" w:color="000000"/>
              <w:bottom w:val="single" w:sz="1" w:space="0" w:color="000000"/>
            </w:tcBorders>
          </w:tcPr>
          <w:p>
            <w:pPr>
              <w:spacing w:lineRule="auto"/>
            </w:pPr>
            <w:r>
              <w:rPr/>
              <w:t xml:space="preserve">Uses advanced automation and AI to verify each invoice against originating documents (contracts, rate cards, shipment records), eliminating supplier fraud and ensuring "100 percent accuracy down to the penny" in variable-spend categories like freight.[19][5]</w:t>
            </w:r>
          </w:p>
        </w:tc>
        <w:tc>
          <w:tcPr>
            <w:tcBorders>
              <w:top w:val="single" w:sz="1" w:space="0" w:color="000000"/>
              <w:left w:val="single" w:sz="1" w:space="0" w:color="000000"/>
              <w:bottom w:val="single" w:sz="1" w:space="0" w:color="000000"/>
            </w:tcBorders>
          </w:tcPr>
          <w:p>
            <w:pPr>
              <w:spacing w:lineRule="auto"/>
            </w:pPr>
            <w:r>
              <w:rPr/>
              <w:t xml:space="preserve">Initially positioned as AI-driven accounts payable automation, with a dedicated AI freight-audit solution that audits invoices within hours, flags overbilling, and improves carrier relationships through accurate and timely payments.[19][5][20]</w:t>
            </w:r>
          </w:p>
        </w:tc>
        <w:tc>
          <w:tcPr>
            <w:tcBorders>
              <w:top w:val="single" w:sz="1" w:space="0" w:color="000000"/>
              <w:left w:val="single" w:sz="1" w:space="0" w:color="000000"/>
              <w:bottom w:val="single" w:sz="1" w:space="0" w:color="000000"/>
            </w:tcBorders>
          </w:tcPr>
          <w:p>
            <w:pPr>
              <w:spacing w:lineRule="auto"/>
            </w:pPr>
            <w:r>
              <w:rPr>
                <w:b/>
              </w:rPr>
              <w:t xml:space="preserve">6.5M seed (2021)</w:t>
            </w:r>
            <w:r>
              <w:rPr/>
              <w:t xml:space="preserve"> led by Riot Ventures plus angels, followed by </w:t>
            </w:r>
            <w:r>
              <w:rPr>
                <w:b/>
              </w:rPr>
              <w:t xml:space="preserve">15M Series A (2023)</w:t>
            </w:r>
            <w:r>
              <w:rPr/>
              <w:t xml:space="preserve"> led by RRE Ventures to scale AI-driven AP automation and freight/media audit use cases.[19][21]</w:t>
            </w:r>
          </w:p>
        </w:tc>
        <w:tc>
          <w:tcPr>
            <w:tcBorders>
              <w:top w:val="single" w:sz="1" w:space="0" w:color="000000"/>
              <w:left w:val="single" w:sz="1" w:space="0" w:color="000000"/>
              <w:bottom w:val="single" w:sz="1" w:space="0" w:color="000000"/>
            </w:tcBorders>
          </w:tcPr>
          <w:p>
            <w:pPr>
              <w:spacing w:lineRule="auto"/>
            </w:pPr>
            <w:r>
              <w:rPr/>
              <w:t xml:space="preserve">Public case references include CMA CGM, where AI freight audit addresses high transaction volume and complex charge structures; marketed toward large shippers with heavy variable logistics spend.[20][5]</w:t>
            </w:r>
          </w:p>
        </w:tc>
        <w:tc>
          <w:tcPr>
            <w:tcBorders>
              <w:top w:val="single" w:sz="1" w:space="0" w:color="000000"/>
              <w:left w:val="single" w:sz="1" w:space="0" w:color="000000"/>
              <w:bottom w:val="single" w:sz="1" w:space="0" w:color="000000"/>
            </w:tcBorders>
          </w:tcPr>
          <w:p>
            <w:pPr>
              <w:spacing w:lineRule="auto"/>
            </w:pPr>
            <w:r>
              <w:rPr/>
              <w:t xml:space="preserve">Moat in horizontal AP + vertical freight expertise: ability to reuse invoice-digitization and anomaly-detection infrastructure across freight, media, and other categories, while offering freight-specific AI modules; can integrate with SAP/Oracle as a specialist audit layer rather than competing head-on as a TMS.[19][5][7]</w:t>
            </w:r>
          </w:p>
        </w:tc>
        <w:tc>
          <w:tcPr>
            <w:tcBorders>
              <w:top w:val="single" w:sz="1" w:space="0" w:color="000000"/>
              <w:left w:val="single" w:sz="1" w:space="0" w:color="000000"/>
              <w:bottom w:val="single" w:sz="1" w:space="0" w:color="000000"/>
            </w:tcBorders>
          </w:tcPr>
          <w:p>
            <w:pPr>
              <w:spacing w:lineRule="auto"/>
            </w:pPr>
            <w:r>
              <w:rPr/>
              <w:t xml:space="preserve">Must avoid being perceived as just another AP tool in a crowded space; ERP vendors could close the gap by adding better invoice digitization/ML; winning requires clear freight-specific ROI and deep connectors to TMS/ERP ecosystems.[4][6][8]</w:t>
            </w:r>
          </w:p>
        </w:tc>
      </w:tr>
      <w:tr>
        <w:trPr>
          <w:cantSplit/>
        </w:trPr>
        <w:tc>
          <w:tcPr>
            <w:tcBorders>
              <w:top w:val="single" w:sz="1" w:space="0" w:color="000000"/>
              <w:bottom w:val="single" w:sz="1" w:space="0" w:color="000000"/>
            </w:tcBorders>
          </w:tcPr>
          <w:p>
            <w:pPr>
              <w:spacing w:lineRule="auto"/>
            </w:pPr>
            <w:r>
              <w:rPr>
                <w:b/>
              </w:rPr>
              <w:t xml:space="preserve">Portcast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Supply‑chain visibility &amp; AI freight audit – Singapore</w:t>
            </w:r>
          </w:p>
        </w:tc>
        <w:tc>
          <w:tcPr>
            <w:tcBorders>
              <w:top w:val="single" w:sz="1" w:space="0" w:color="000000"/>
              <w:left w:val="single" w:sz="1" w:space="0" w:color="000000"/>
              <w:bottom w:val="single" w:sz="1" w:space="0" w:color="000000"/>
            </w:tcBorders>
          </w:tcPr>
          <w:p>
            <w:pPr>
              <w:spacing w:lineRule="auto"/>
            </w:pPr>
            <w:r>
              <w:rPr/>
              <w:t xml:space="preserve">Combines machine learning and advanced large language models (LLMs) with a multi-source data network (carriers, terminals, geolocation, risk data, proprietary docs) to deliver explainable transportation visibility and automated recommendations.[22][10][11]</w:t>
            </w:r>
          </w:p>
        </w:tc>
        <w:tc>
          <w:tcPr>
            <w:tcBorders>
              <w:top w:val="single" w:sz="1" w:space="0" w:color="000000"/>
              <w:left w:val="single" w:sz="1" w:space="0" w:color="000000"/>
              <w:bottom w:val="single" w:sz="1" w:space="0" w:color="000000"/>
            </w:tcBorders>
          </w:tcPr>
          <w:p>
            <w:pPr>
              <w:spacing w:lineRule="auto"/>
            </w:pPr>
            <w:r>
              <w:rPr/>
              <w:t xml:space="preserve">Launched an </w:t>
            </w:r>
            <w:r>
              <w:rPr>
                <w:b/>
              </w:rPr>
              <w:t xml:space="preserve">AI-powered freight audit solution</w:t>
            </w:r>
            <w:r>
              <w:rPr/>
              <w:t xml:space="preserve"> using advanced document-understanding models to detect invoice errors, match against contracts, and quantify overcharges; builds on its existing predictive-ETAs and exception management stack.[22][11]</w:t>
            </w:r>
          </w:p>
        </w:tc>
        <w:tc>
          <w:tcPr>
            <w:tcBorders>
              <w:top w:val="single" w:sz="1" w:space="0" w:color="000000"/>
              <w:left w:val="single" w:sz="1" w:space="0" w:color="000000"/>
              <w:bottom w:val="single" w:sz="1" w:space="0" w:color="000000"/>
            </w:tcBorders>
          </w:tcPr>
          <w:p>
            <w:pPr>
              <w:spacing w:lineRule="auto"/>
            </w:pPr>
            <w:r>
              <w:rPr>
                <w:b/>
              </w:rPr>
              <w:t xml:space="preserve">6.5M Series A (2024)</w:t>
            </w:r>
            <w:r>
              <w:rPr>
                <w:rFonts w:eastAsia="Georgia" w:cs="Georgia" w:ascii="Georgia" w:hAnsi="Georgia"/>
              </w:rPr>
              <w:t xml:space="preserve"> led by Susquehanna Asia VC with Hearst Ventures, Signal Ventures, and existing investors; capital earmarked for expanding AI capabilities and APAC/EU go‑to‑market.[10][11]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Serves global shippers and logistics providers seeking proactive exception management and cost reduction; selected to Google’s AI‑First Startups program in Singapore to scale its automated freight audit solution.[22][10][11]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Moat in integrated visibility + audit + recommendation engine; by embedding audit into a visibility/control tower used daily by ops teams, Portcast can become a decision system rather than a back‑office tool, something SAP/Oracle typically approximate only with heavy customization.[22][10][11][23]</w:t>
            </w:r>
          </w:p>
        </w:tc>
        <w:tc>
          <w:tcPr>
            <w:tcBorders>
              <w:top w:val="single" w:sz="1" w:space="0" w:color="000000"/>
              <w:left w:val="single" w:sz="1" w:space="0" w:color="000000"/>
              <w:bottom w:val="single" w:sz="1" w:space="0" w:color="000000"/>
            </w:tcBorders>
          </w:tcPr>
          <w:p>
            <w:pPr>
              <w:spacing w:lineRule="auto"/>
            </w:pPr>
            <w:r>
              <w:rPr/>
              <w:t xml:space="preserve">Must prioritize AFAP enough that it does not remain a side-feature of a visibility platform; faces competition from visibility giants (project44, FourKites) and ERP-native ML modules expanding into exception management.[10][11][23]</w:t>
            </w:r>
          </w:p>
        </w:tc>
      </w:tr>
      <w:tr>
        <w:trPr>
          <w:cantSplit/>
        </w:trPr>
        <w:tc>
          <w:tcPr>
            <w:tcBorders>
              <w:top w:val="single" w:sz="1" w:space="0" w:color="000000"/>
              <w:bottom w:val="single" w:sz="1" w:space="0" w:color="000000"/>
            </w:tcBorders>
          </w:tcPr>
          <w:p>
            <w:pPr>
              <w:spacing w:lineRule="auto"/>
            </w:pPr>
            <w:r>
              <w:rPr>
                <w:b/>
              </w:rPr>
              <w:t xml:space="preserve">ARDEM FreightSure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Agentic-AI freight audit/BPO – US/Global</w:t>
            </w:r>
          </w:p>
        </w:tc>
        <w:tc>
          <w:tcPr>
            <w:tcBorders>
              <w:top w:val="single" w:sz="1" w:space="0" w:color="000000"/>
              <w:left w:val="single" w:sz="1" w:space="0" w:color="000000"/>
              <w:bottom w:val="single" w:sz="1" w:space="0" w:color="000000"/>
            </w:tcBorders>
          </w:tcPr>
          <w:p>
            <w:pPr>
              <w:spacing w:lineRule="auto"/>
            </w:pPr>
            <w:r>
              <w:rPr/>
              <w:t xml:space="preserve">Positions itself explicitly as </w:t>
            </w:r>
            <w:r>
              <w:rPr>
                <w:b/>
              </w:rPr>
              <w:t xml:space="preserve">"Agentic AI"</w:t>
            </w:r>
            <w:r>
              <w:rPr>
                <w:rFonts w:eastAsia="Georgia" w:cs="Georgia" w:ascii="Georgia" w:hAnsi="Georgia"/>
              </w:rPr>
              <w:t xml:space="preserve"> for freight audit &amp; billing, orchestrating AI agents and human analysts to automate end‑to‑end freight-bill workflows, detect carrier/rate/invoice discrepancies, and re‑design billing around adaptive rules instead of static scripts.[24][25][26]</w:t>
            </w:r>
          </w:p>
        </w:tc>
        <w:tc>
          <w:tcPr>
            <w:tcBorders>
              <w:top w:val="single" w:sz="1" w:space="0" w:color="000000"/>
              <w:left w:val="single" w:sz="1" w:space="0" w:color="000000"/>
              <w:bottom w:val="single" w:sz="1" w:space="0" w:color="000000"/>
            </w:tcBorders>
          </w:tcPr>
          <w:p>
            <w:pPr>
              <w:spacing w:lineRule="auto"/>
            </w:pPr>
            <w:r>
              <w:rPr/>
              <w:t xml:space="preserve">Offers an AI-powered freight audit and invoice automation service (often as BPO) that achieves up to </w:t>
            </w:r>
            <w:r>
              <w:rPr>
                <w:b/>
              </w:rPr>
              <w:t xml:space="preserve">99% automated validation</w:t>
            </w:r>
            <w:r>
              <w:rPr>
                <w:rFonts w:eastAsia="Georgia" w:cs="Georgia" w:ascii="Georgia" w:hAnsi="Georgia"/>
              </w:rPr>
              <w:t xml:space="preserve"> of invoices, 48‑hour settlement on standard loads, and exception‑only human review for FTL freight billing.[25][26]</w:t>
            </w:r>
          </w:p>
        </w:tc>
        <w:tc>
          <w:tcPr>
            <w:tcBorders>
              <w:top w:val="single" w:sz="1" w:space="0" w:color="000000"/>
              <w:left w:val="single" w:sz="1" w:space="0" w:color="000000"/>
              <w:bottom w:val="single" w:sz="1" w:space="0" w:color="000000"/>
            </w:tcBorders>
          </w:tcPr>
          <w:p>
            <w:pPr>
              <w:spacing w:lineRule="auto"/>
            </w:pPr>
            <w:r>
              <w:rPr/>
              <w:t xml:space="preserve">ARDEM is a private BPO/automation firm; no dedicated venture-style round for FreightSure disclosed, though the product is actively marketed and case-studied.[24][25][26]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Case studies highlight carriers that reduced disputes, improved collections, and shifted from manual invoice review to agentic-AI‑driven workflows within about 90 days.[25][26]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Moat is in combining agentic AI with managed operations: for many shippers and carriers, replacing in‑house back offices with an AI+BPO model is more realistic than implementing or re‑configuring SAP/Oracle freight payment modules; offers speed-to-value within weeks rather than year‑long ERP programs.[24][25][26][8][9]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Services model can cap software margins; defensibility rests on proprietary workflows and data rather than pure SaaS; may be more attractive as an acquisition target for BPOs or ERPs than as a stand‑alone unicorn.</w:t>
            </w:r>
          </w:p>
        </w:tc>
      </w:tr>
    </w:tbl>
    <w:p>
      <w:pPr>
        <w:spacing w:lineRule="auto"/>
      </w:pPr>
    </w:p>
    <w:p>
      <w:pPr>
        <w:spacing w:after="210" w:lineRule="auto"/>
      </w:pPr>
      <w:r>
        <w:rPr/>
        <w:t xml:space="preserve">|</w:t>
      </w:r>
      <w:r>
        <w:rPr/>
        <w:br w:type="textWrapping"/>
      </w:r>
      <w:r>
        <w:rPr/>
        <w:t xml:space="preserve">| </w:t>
      </w:r>
      <w:r>
        <w:rPr>
          <w:b/>
        </w:rPr>
        <w:t xml:space="preserve">SAP Transportation Management (TM) freight audit</w:t>
      </w:r>
      <w:r>
        <w:rPr>
          <w:rFonts w:eastAsia="Georgia" w:cs="Georgia" w:ascii="Georgia" w:hAnsi="Georgia"/>
        </w:rPr>
        <w:t xml:space="preserve"> | Legacy ERP TMS module | SAP TM plus SAP MM support automated invoice verification and evaluated receipt settlement, with configuration-driven rules to compare freight invoices against expected charges and update freight settlement documents.[27][4] | Provides freight-cost calculation, freight settlement documents, and integration with SAP MM’s logistics invoice verification; can do self‑billing (ERS) and update freight settlement status to "Invoice Verified" once MM checks pass.[4][27] | SAP is a global incumbent; TM is widely deployed in large enterprises as part of S/4HANA, not a startup funding story.[4][28] | SAP cites strong adoption in large, SAP‑centric shippers; consulting case studies highlight complex, multi‑phase implementations in European and global logistics networks.[4][28] | Technically capable of automating freight audit, but customers and consultants report </w:t>
      </w:r>
      <w:r>
        <w:rPr>
          <w:b/>
        </w:rPr>
        <w:t xml:space="preserve">steep learning curve, complex configuration, long implementations (often 12–24 months), and heavy reliance on SAP experts</w:t>
      </w:r>
      <w:r>
        <w:rPr>
          <w:rFonts w:eastAsia="Georgia" w:cs="Georgia" w:ascii="Georgia" w:hAnsi="Georgia"/>
        </w:rPr>
        <w:t xml:space="preserve">, which limits adoption of advanced automation; mid‑market shippers often view it as overkill.[29][28][18][9] | AFAP startups exploit gaps where SAP TM is too complex or underutilized; however, SAP could respond by productizing lighter-weight TM or embedding more AI into invoice verification; risk that SAP becomes better at exposing TM capabilities via APIs that AFAP tools plug into, compressing their pricing power.[4][28][23][9] |</w:t>
      </w:r>
      <w:r>
        <w:rPr/>
        <w:br w:type="textWrapping"/>
      </w:r>
      <w:r>
        <w:rPr/>
        <w:t xml:space="preserve">| </w:t>
      </w:r>
      <w:r>
        <w:rPr>
          <w:b/>
        </w:rPr>
        <w:t xml:space="preserve">Oracle Transportation Management (OTM) Freight Payment, Billing &amp; Claims</w:t>
      </w:r>
      <w:r>
        <w:rPr>
          <w:rFonts w:eastAsia="Georgia" w:cs="Georgia" w:ascii="Georgia" w:hAnsi="Georgia"/>
        </w:rPr>
        <w:t xml:space="preserve"> | Legacy ERP TMS module | OTM embeds optimization algorithms and some native machine learning for shipment predictions, but freight payment is largely configuration/rules‑driven rather than deep-learning native; optimization agents handle match‑and‑pay and exception routing.[30][23][6][31] | Freight Payment, Billing and Claims module supports detailed freight-bill audits, tolerance-based auto‑approval, integration with third‑party auditors, dispute handling, customer billing, and claims management across modes and geographies.[6][31][32] | Long-established enterprise TMS product, now in cloud form; no startup-like funding disclosures.[30][23] | Case studies show OTM as a core outbound freight platform in large manufacturers, but industry analyses note that many customers only use basic rating/tendering/track‑and‑trace while advanced automation and analytics remain dormant.[30][8][33] | OTM’s freight payment capabilities can, in theory, match many AFAP workflows, but </w:t>
      </w:r>
      <w:r>
        <w:rPr>
          <w:b/>
        </w:rPr>
        <w:t xml:space="preserve">ROI often falls short because implementations rush to "go live" and never progress to deep automation</w:t>
      </w:r>
      <w:r>
        <w:rPr>
          <w:rFonts w:eastAsia="Georgia" w:cs="Georgia" w:ascii="Georgia" w:hAnsi="Georgia"/>
        </w:rPr>
        <w:t xml:space="preserve">, leaving spreadsheets and manual workarounds in place—creating a wedge for AFAP vendors to deliver faster, AI‑driven payback.[8][9] | Risk that Oracle hardens its ML and freight payment story (e.g., tighter ML‑driven exception handling), or bundles freight payment more aggressively with ERP; AFAP vendors must prove enduring value rather than being seen as temporary band‑aids until OTM is fully optimized.[30][8][23]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customer_complaints_about_legacy_103faa"/>
      <w:r>
        <w:rPr>
          <w:rFonts w:eastAsia="Georgia" w:cs="Georgia" w:ascii="Georgia" w:hAnsi="Georgia"/>
          <w:b/>
          <w:sz w:val="42"/>
        </w:rPr>
        <w:t xml:space="preserve">Customer complaints about legacy freight‑audit implementations</w:t>
      </w:r>
      <w:bookmarkEnd w:id="3"/>
    </w:p>
    <w:p>
      <w:pPr>
        <w:spacing w:after="210" w:lineRule="auto"/>
      </w:pPr>
      <w:r>
        <w:rPr/>
        <w:t xml:space="preserve">The next table distills </w:t>
      </w:r>
      <w:r>
        <w:rPr>
          <w:b/>
        </w:rPr>
        <w:t xml:space="preserve">3–5 recurring pain points</w:t>
      </w:r>
      <w:r>
        <w:rPr/>
        <w:t xml:space="preserve"> from SAP TM and Oracle TM users, consultants, and TMS comparison analyses, focusing on areas where AFAP startups can credibly differentiate.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Pain point (legacy SAP/Oracle)</w:t>
            </w:r>
          </w:p>
        </w:tc>
        <w:tc>
          <w:tcPr>
            <w:tcBorders>
              <w:top w:val="single" w:sz="1" w:space="0" w:color="000000"/>
              <w:left w:val="single" w:sz="1" w:space="0" w:color="000000"/>
              <w:bottom w:val="single" w:sz="1" w:space="0" w:color="000000"/>
            </w:tcBorders>
          </w:tcPr>
          <w:p>
            <w:pPr>
              <w:spacing w:lineRule="auto"/>
            </w:pPr>
            <w:r>
              <w:rPr/>
              <w:t xml:space="preserve">System(s) where observed</w:t>
            </w:r>
          </w:p>
        </w:tc>
        <w:tc>
          <w:tcPr>
            <w:tcBorders>
              <w:top w:val="single" w:sz="1" w:space="0" w:color="000000"/>
              <w:left w:val="single" w:sz="1" w:space="0" w:color="000000"/>
              <w:bottom w:val="single" w:sz="1" w:space="0" w:color="000000"/>
            </w:tcBorders>
          </w:tcPr>
          <w:p>
            <w:pPr>
              <w:spacing w:lineRule="auto"/>
            </w:pPr>
            <w:r>
              <w:rPr/>
              <w:t xml:space="preserve">Evidence from users/analysts</w:t>
            </w:r>
          </w:p>
        </w:tc>
        <w:tc>
          <w:tcPr>
            <w:tcBorders>
              <w:top w:val="single" w:sz="1" w:space="0" w:color="000000"/>
              <w:left w:val="single" w:sz="1" w:space="0" w:color="000000"/>
              <w:bottom w:val="single" w:sz="1" w:space="0" w:color="000000"/>
            </w:tcBorders>
          </w:tcPr>
          <w:p>
            <w:pPr>
              <w:spacing w:lineRule="auto"/>
            </w:pPr>
            <w:r>
              <w:rPr/>
              <w:t xml:space="preserve">Implication for AFAP startups</w:t>
            </w:r>
          </w:p>
        </w:tc>
      </w:tr>
      <w:tr>
        <w:trPr>
          <w:cantSplit/>
        </w:trPr>
        <w:tc>
          <w:tcPr>
            <w:tcBorders>
              <w:top w:val="single" w:sz="1" w:space="0" w:color="000000"/>
              <w:bottom w:val="single" w:sz="1" w:space="0" w:color="000000"/>
            </w:tcBorders>
          </w:tcPr>
          <w:p>
            <w:pPr>
              <w:spacing w:lineRule="auto"/>
            </w:pPr>
            <w:r>
              <w:rPr>
                <w:b/>
              </w:rPr>
              <w:t xml:space="preserve">1. High complexity, steep learning curve, and non‑intuitive UI for transportation &amp; freight settlement workflows</w:t>
            </w:r>
          </w:p>
        </w:tc>
        <w:tc>
          <w:tcPr>
            <w:tcBorders>
              <w:top w:val="single" w:sz="1" w:space="0" w:color="000000"/>
              <w:left w:val="single" w:sz="1" w:space="0" w:color="000000"/>
              <w:bottom w:val="single" w:sz="1" w:space="0" w:color="000000"/>
            </w:tcBorders>
          </w:tcPr>
          <w:p>
            <w:pPr>
              <w:spacing w:lineRule="auto"/>
            </w:pPr>
            <w:r>
              <w:rPr/>
              <w:t xml:space="preserve">Primarily SAP TM; also perceived in OTM</w:t>
            </w:r>
          </w:p>
        </w:tc>
        <w:tc>
          <w:tcPr>
            <w:tcBorders>
              <w:top w:val="single" w:sz="1" w:space="0" w:color="000000"/>
              <w:left w:val="single" w:sz="1" w:space="0" w:color="000000"/>
              <w:bottom w:val="single" w:sz="1" w:space="0" w:color="000000"/>
            </w:tcBorders>
          </w:tcPr>
          <w:p>
            <w:pPr>
              <w:spacing w:lineRule="auto"/>
            </w:pPr>
            <w:r>
              <w:rPr/>
              <w:t xml:space="preserve">G2 summaries for SAP Transportation Management repeatedly cite its </w:t>
            </w:r>
            <w:r>
              <w:rPr>
                <w:b/>
              </w:rPr>
              <w:t xml:space="preserve">complexity, steep learning curve, and non‑intuitive interface</w:t>
            </w:r>
            <w:r>
              <w:rPr/>
              <w:t xml:space="preserve">, noting that configuring transportation networks, planning profiles, and integrations "can feel overwhelming" and that the UI can be "overwhelming and complex to navigate".[29][18] TMS comparison articles warn that SAP- and Oracle-class systems "require SAP expertise," are "not designed for freight forwarders," and are best suited only for large enterprises with dedicated IT.[9]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tools that present logistics finance teams with simple, opinionated workflows (e.g., one place to see all invoices, disputes, and overcharges) and hide configuration complexity gain a strong UX moat, especially in mid‑market shippers who lack specialized SAP/Oracle talent.[16][2][17]</w:t>
            </w:r>
          </w:p>
        </w:tc>
      </w:tr>
      <w:tr>
        <w:trPr>
          <w:cantSplit/>
        </w:trPr>
        <w:tc>
          <w:tcPr>
            <w:tcBorders>
              <w:top w:val="single" w:sz="1" w:space="0" w:color="000000"/>
              <w:bottom w:val="single" w:sz="1" w:space="0" w:color="000000"/>
            </w:tcBorders>
          </w:tcPr>
          <w:p>
            <w:pPr>
              <w:spacing w:lineRule="auto"/>
            </w:pPr>
            <w:r>
              <w:rPr>
                <w:b/>
              </w:rPr>
              <w:t xml:space="preserve">2. Long, expensive implementations and heavy IT dependence before freight audit automation is realized</w:t>
            </w:r>
          </w:p>
        </w:tc>
        <w:tc>
          <w:tcPr>
            <w:tcBorders>
              <w:top w:val="single" w:sz="1" w:space="0" w:color="000000"/>
              <w:left w:val="single" w:sz="1" w:space="0" w:color="000000"/>
              <w:bottom w:val="single" w:sz="1" w:space="0" w:color="000000"/>
            </w:tcBorders>
          </w:tcPr>
          <w:p>
            <w:pPr>
              <w:spacing w:lineRule="auto"/>
            </w:pPr>
            <w:r>
              <w:rPr/>
              <w:t xml:space="preserve">SAP TM and Oracle TM</w:t>
            </w:r>
          </w:p>
        </w:tc>
        <w:tc>
          <w:tcPr>
            <w:tcBorders>
              <w:top w:val="single" w:sz="1" w:space="0" w:color="000000"/>
              <w:left w:val="single" w:sz="1" w:space="0" w:color="000000"/>
              <w:bottom w:val="single" w:sz="1" w:space="0" w:color="000000"/>
            </w:tcBorders>
          </w:tcPr>
          <w:p>
            <w:pPr>
              <w:spacing w:lineRule="auto"/>
            </w:pPr>
            <w:r>
              <w:rPr/>
              <w:t xml:space="preserve">SAP-focused theses and practitioner reports highlight </w:t>
            </w:r>
            <w:r>
              <w:rPr>
                <w:b/>
              </w:rPr>
              <w:t xml:space="preserve">implementation complexity, limited cloud documentation, and the need to learn capabilities "on the go,"</w:t>
            </w:r>
            <w:r>
              <w:rPr/>
              <w:t xml:space="preserve"> particularly around transportation networks and public-cloud constraints.[28] Independent TMS reviews note that SAP and Oracle TMS often involve </w:t>
            </w:r>
            <w:r>
              <w:rPr>
                <w:b/>
              </w:rPr>
              <w:t xml:space="preserve">12–24‑month implementations, high total cost of ownership, and substantial IT resources</w:t>
            </w:r>
            <w:r>
              <w:rPr>
                <w:rFonts w:eastAsia="Georgia" w:cs="Georgia" w:ascii="Georgia" w:hAnsi="Georgia"/>
              </w:rPr>
              <w:t xml:space="preserve">, with advice that they are "overkill" for many freight forwarders and mid‑market shippers.[9]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startups can win by offering time-to-value measured in weeks: plug into carrier invoices via email/API, auto‑extract and audit documents using AI, and deliver immediate cost‑recovery reports—without deep ERP re‑configuration. Case studies from Omniful, ARDEM, and OpenEnvoy show modern audit engines uncovering double‑digit billing variances and clearing monthly reconciliation backlogs within days.[34][20][5][25][26]</w:t>
            </w:r>
          </w:p>
        </w:tc>
      </w:tr>
      <w:tr>
        <w:trPr>
          <w:cantSplit/>
        </w:trPr>
        <w:tc>
          <w:tcPr>
            <w:tcBorders>
              <w:top w:val="single" w:sz="1" w:space="0" w:color="000000"/>
              <w:bottom w:val="single" w:sz="1" w:space="0" w:color="000000"/>
            </w:tcBorders>
          </w:tcPr>
          <w:p>
            <w:pPr>
              <w:spacing w:lineRule="auto"/>
            </w:pPr>
            <w:r>
              <w:rPr>
                <w:b/>
              </w:rPr>
              <w:t xml:space="preserve">3. Underutilization of advanced automation; organizations fall back to spreadsheets and manual audit despite having OTM/TM</w:t>
            </w:r>
          </w:p>
        </w:tc>
        <w:tc>
          <w:tcPr>
            <w:tcBorders>
              <w:top w:val="single" w:sz="1" w:space="0" w:color="000000"/>
              <w:left w:val="single" w:sz="1" w:space="0" w:color="000000"/>
              <w:bottom w:val="single" w:sz="1" w:space="0" w:color="000000"/>
            </w:tcBorders>
          </w:tcPr>
          <w:p>
            <w:pPr>
              <w:spacing w:lineRule="auto"/>
            </w:pPr>
            <w:r>
              <w:rPr/>
              <w:t xml:space="preserve">Especially Oracle TM; also SAP TM deployments</w:t>
            </w:r>
          </w:p>
        </w:tc>
        <w:tc>
          <w:tcPr>
            <w:tcBorders>
              <w:top w:val="single" w:sz="1" w:space="0" w:color="000000"/>
              <w:left w:val="single" w:sz="1" w:space="0" w:color="000000"/>
              <w:bottom w:val="single" w:sz="1" w:space="0" w:color="000000"/>
            </w:tcBorders>
          </w:tcPr>
          <w:p>
            <w:pPr>
              <w:spacing w:lineRule="auto"/>
            </w:pPr>
            <w:r>
              <w:rPr/>
              <w:t xml:space="preserve">Oracle-focused consulting analysis argues that when OTM ROI disappoints, the cause is usually </w:t>
            </w:r>
            <w:r>
              <w:rPr>
                <w:b/>
              </w:rPr>
              <w:t xml:space="preserve">under‑utilization</w:t>
            </w:r>
            <w:r>
              <w:rPr>
                <w:rFonts w:eastAsia="Georgia" w:cs="Georgia" w:ascii="Georgia" w:hAnsi="Georgia"/>
              </w:rPr>
              <w:t xml:space="preserve">: many customers use only basic rating/tendering and shipment tracking, while advanced optimization, agents, exception management, and analytics remain "future phases" that never arrive; over time, teams build manual workarounds and spreadsheets, sidelining OTM’s automation potential.[8] Freight audit best‑practice guides and Wikipedia note that many organizations still perform only random sampling of freight invoices or outsource to specialist vendors because the internal effort to fully automate audit is high.[35][7]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providers that ship with aggressive default automations (e.g., 80–99% invoices auto‑audited, exception queues by root‑cause, one‑click disputes) and deliver ongoing optimization as a managed service (ARDEM-style) have a structural advantage over ERP modules that depend on internal teams to configure and continuously tune complex rules.[2][24][5][25]</w:t>
            </w:r>
          </w:p>
        </w:tc>
      </w:tr>
      <w:tr>
        <w:trPr>
          <w:cantSplit/>
        </w:trPr>
        <w:tc>
          <w:tcPr>
            <w:tcBorders>
              <w:top w:val="single" w:sz="1" w:space="0" w:color="000000"/>
              <w:bottom w:val="single" w:sz="1" w:space="0" w:color="000000"/>
            </w:tcBorders>
          </w:tcPr>
          <w:p>
            <w:pPr>
              <w:spacing w:lineRule="auto"/>
            </w:pPr>
            <w:r>
              <w:rPr>
                <w:b/>
              </w:rPr>
              <w:t xml:space="preserve">4. Performance, stability, and reporting friction</w:t>
            </w:r>
          </w:p>
        </w:tc>
        <w:tc>
          <w:tcPr>
            <w:tcBorders>
              <w:top w:val="single" w:sz="1" w:space="0" w:color="000000"/>
              <w:left w:val="single" w:sz="1" w:space="0" w:color="000000"/>
              <w:bottom w:val="single" w:sz="1" w:space="0" w:color="000000"/>
            </w:tcBorders>
          </w:tcPr>
          <w:p>
            <w:pPr>
              <w:spacing w:lineRule="auto"/>
            </w:pPr>
            <w:r>
              <w:rPr/>
              <w:t xml:space="preserve">Oracle TM; some SAP TM</w:t>
            </w:r>
          </w:p>
        </w:tc>
        <w:tc>
          <w:tcPr>
            <w:tcBorders>
              <w:top w:val="single" w:sz="1" w:space="0" w:color="000000"/>
              <w:left w:val="single" w:sz="1" w:space="0" w:color="000000"/>
              <w:bottom w:val="single" w:sz="1" w:space="0" w:color="000000"/>
            </w:tcBorders>
          </w:tcPr>
          <w:p>
            <w:pPr>
              <w:spacing w:lineRule="auto"/>
            </w:pPr>
            <w:r>
              <w:rPr/>
              <w:t xml:space="preserve">G2 reviewers for Oracle Transportation Management Cloud report issues such as </w:t>
            </w:r>
            <w:r>
              <w:rPr>
                <w:b/>
              </w:rPr>
              <w:t xml:space="preserve">slow interfaces, occasional crashes, and incomplete data exports/reporting limitations</w:t>
            </w:r>
            <w:r>
              <w:rPr>
                <w:rFonts w:eastAsia="Georgia" w:cs="Georgia" w:ascii="Georgia" w:hAnsi="Georgia"/>
              </w:rPr>
              <w:t xml:space="preserve">, recommending that buyers ensure they understand reporting constraints during training.[36] Oracle’s own support documentation provides extensive guidance on performance tuning for OTM/GTM, implying non‑trivial tuning and troubleshooting needs in real-world deployments.[37]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tools that run as multi‑tenant SaaS with modern observability and export-friendly data models can position themselves as more responsive and transparent: simple APIs/CSV exports for finance, fast UIs for operations, and clear SLAs—contrasting with the more heavyweight, IT‑mediated tuning cycles in OTM/TM.[16][2][6]</w:t>
            </w:r>
          </w:p>
        </w:tc>
      </w:tr>
      <w:tr>
        <w:trPr>
          <w:cantSplit/>
        </w:trPr>
        <w:tc>
          <w:tcPr>
            <w:tcBorders>
              <w:top w:val="single" w:sz="1" w:space="0" w:color="000000"/>
              <w:bottom w:val="single" w:sz="1" w:space="0" w:color="000000"/>
            </w:tcBorders>
          </w:tcPr>
          <w:p>
            <w:pPr>
              <w:spacing w:lineRule="auto"/>
            </w:pPr>
            <w:r>
              <w:rPr>
                <w:b/>
              </w:rPr>
              <w:t xml:space="preserve">5. Fit/gap for mid‑market and non‑ERP‑centric shippers</w:t>
            </w:r>
          </w:p>
        </w:tc>
        <w:tc>
          <w:tcPr>
            <w:tcBorders>
              <w:top w:val="single" w:sz="1" w:space="0" w:color="000000"/>
              <w:left w:val="single" w:sz="1" w:space="0" w:color="000000"/>
              <w:bottom w:val="single" w:sz="1" w:space="0" w:color="000000"/>
            </w:tcBorders>
          </w:tcPr>
          <w:p>
            <w:pPr>
              <w:spacing w:lineRule="auto"/>
            </w:pPr>
            <w:r>
              <w:rPr/>
              <w:t xml:space="preserve">SAP TM and Oracle TM</w:t>
            </w:r>
          </w:p>
        </w:tc>
        <w:tc>
          <w:tcPr>
            <w:tcBorders>
              <w:top w:val="single" w:sz="1" w:space="0" w:color="000000"/>
              <w:left w:val="single" w:sz="1" w:space="0" w:color="000000"/>
              <w:bottom w:val="single" w:sz="1" w:space="0" w:color="000000"/>
            </w:tcBorders>
          </w:tcPr>
          <w:p>
            <w:pPr>
              <w:spacing w:lineRule="auto"/>
            </w:pPr>
            <w:r>
              <w:rPr/>
              <w:t xml:space="preserve">TMS comparison content explicitly cautions that SAP and Oracle TMS are </w:t>
            </w:r>
            <w:r>
              <w:rPr>
                <w:b/>
              </w:rPr>
              <w:t xml:space="preserve">"not for freight forwarders or non‑SAP companies"</w:t>
            </w:r>
            <w:r>
              <w:rPr>
                <w:rFonts w:eastAsia="Georgia" w:cs="Georgia" w:ascii="Georgia" w:hAnsi="Georgia"/>
              </w:rPr>
              <w:t xml:space="preserve"> and that Oracle TM is "best for large enterprises already on Oracle ERP," with very long implementations and high complexity/cost.[9] Case studies of companies migrating from home‑grown or rigid systems to modern platforms list pain points like rigid point‑to‑point integrations, manual and dissimilar processes across countries, and lack of global visibility and reporting.[38]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startups that are ERP‑agnostic and integrate with lighter-weight TMS, ERPs, or even spreadsheets via email/API have a natural wedge in the global mid‑market segment, where customers want enterprise-grade audit accuracy without committing to full SAP/Oracle ecosystems.[16][34][17]</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regulatory_hurdles_for_ai_driven_b898b5"/>
      <w:r>
        <w:rPr>
          <w:rFonts w:eastAsia="Georgia" w:cs="Georgia" w:ascii="Georgia" w:hAnsi="Georgia"/>
          <w:b/>
          <w:sz w:val="42"/>
        </w:rPr>
        <w:t xml:space="preserve">Regulatory hurdles for AI‑driven logistics and AFAP platforms</w:t>
      </w:r>
      <w:bookmarkEnd w:id="4"/>
    </w:p>
    <w:p>
      <w:pPr>
        <w:spacing w:after="210" w:lineRule="auto"/>
      </w:pPr>
      <w:r>
        <w:rPr/>
        <w:t xml:space="preserve">AFAP vendors sit at the intersection of </w:t>
      </w:r>
      <w:r>
        <w:rPr>
          <w:b/>
        </w:rPr>
        <w:t xml:space="preserve">logistics AI</w:t>
      </w:r>
      <w:r>
        <w:rPr/>
        <w:t xml:space="preserve"> and </w:t>
      </w:r>
      <w:r>
        <w:rPr>
          <w:b/>
        </w:rPr>
        <w:t xml:space="preserve">payments/financial regulation</w:t>
      </w:r>
      <w:r>
        <w:rPr>
          <w:rFonts w:eastAsia="Georgia" w:cs="Georgia" w:ascii="Georgia" w:hAnsi="Georgia"/>
        </w:rPr>
        <w:t xml:space="preserve">, especially when they move from pure audit into initiating or orchestrating payments (e.g., Loop with J.P. Morgan Payments). Key regulatory hurdles over the next 18–24 months are summarized below.[3]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Regulatory area</w:t>
            </w:r>
          </w:p>
        </w:tc>
        <w:tc>
          <w:tcPr>
            <w:tcBorders>
              <w:top w:val="single" w:sz="1" w:space="0" w:color="000000"/>
              <w:left w:val="single" w:sz="1" w:space="0" w:color="000000"/>
              <w:bottom w:val="single" w:sz="1" w:space="0" w:color="000000"/>
            </w:tcBorders>
          </w:tcPr>
          <w:p>
            <w:pPr>
              <w:spacing w:lineRule="auto"/>
            </w:pPr>
            <w:r>
              <w:rPr/>
              <w:t xml:space="preserve">Key requirements &amp; developments</w:t>
            </w:r>
          </w:p>
        </w:tc>
        <w:tc>
          <w:tcPr>
            <w:tcBorders>
              <w:top w:val="single" w:sz="1" w:space="0" w:color="000000"/>
              <w:left w:val="single" w:sz="1" w:space="0" w:color="000000"/>
              <w:bottom w:val="single" w:sz="1" w:space="0" w:color="000000"/>
            </w:tcBorders>
          </w:tcPr>
          <w:p>
            <w:pPr>
              <w:spacing w:lineRule="auto"/>
            </w:pPr>
            <w:r>
              <w:rPr/>
              <w:t xml:space="preserve">Relevance to AFAP and logistics AI</w:t>
            </w:r>
          </w:p>
        </w:tc>
      </w:tr>
      <w:tr>
        <w:trPr>
          <w:cantSplit/>
        </w:trPr>
        <w:tc>
          <w:tcPr>
            <w:tcBorders>
              <w:top w:val="single" w:sz="1" w:space="0" w:color="000000"/>
              <w:bottom w:val="single" w:sz="1" w:space="0" w:color="000000"/>
            </w:tcBorders>
          </w:tcPr>
          <w:p>
            <w:pPr>
              <w:spacing w:lineRule="auto"/>
            </w:pPr>
            <w:r>
              <w:rPr>
                <w:b/>
              </w:rPr>
              <w:t xml:space="preserve">EU AI Act – high‑risk classification of logistics AI</w:t>
            </w:r>
          </w:p>
        </w:tc>
        <w:tc>
          <w:tcPr>
            <w:tcBorders>
              <w:top w:val="single" w:sz="1" w:space="0" w:color="000000"/>
              <w:left w:val="single" w:sz="1" w:space="0" w:color="000000"/>
              <w:bottom w:val="single" w:sz="1" w:space="0" w:color="000000"/>
            </w:tcBorders>
          </w:tcPr>
          <w:p>
            <w:pPr>
              <w:spacing w:lineRule="auto"/>
            </w:pPr>
            <w:r>
              <w:rPr/>
              <w:t xml:space="preserve">The EU AI Act, effective in stages from 2025, classifies many logistics and transport AI systems as </w:t>
            </w:r>
            <w:r>
              <w:rPr>
                <w:b/>
              </w:rPr>
              <w:t xml:space="preserve">high‑risk</w:t>
            </w:r>
            <w:r>
              <w:rPr>
                <w:rFonts w:eastAsia="Georgia" w:cs="Georgia" w:ascii="Georgia" w:hAnsi="Georgia"/>
              </w:rPr>
              <w:t xml:space="preserve">, imposing strict obligations around risk management, data governance, transparency, documentation, and human oversight.[39][40][41][42] Guidance targeted at logistics notes that AI used for freight forwarding, customs, routing, and pricing must provide transparency logs, risk assessments, and data-protection measures, with penalties up to roughly 7% of global turnover for non‑compliance.[39][40]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solutions that automatically approve or reject carrier invoices and trigger payments may qualify as high‑risk AI when deployed in EU logistics chains, requiring CE marking, detailed technical documentation, auditable decision logs, and human‑in‑the‑loop controls. Vendors with built‑in explainability, audit trails, and governance features gain an advantage versus lightweight AI tools that cannot meet EU conformity-assessment standards.[22][39][40][41]</w:t>
            </w:r>
          </w:p>
        </w:tc>
      </w:tr>
      <w:tr>
        <w:trPr>
          <w:cantSplit/>
        </w:trPr>
        <w:tc>
          <w:tcPr>
            <w:tcBorders>
              <w:top w:val="single" w:sz="1" w:space="0" w:color="000000"/>
              <w:bottom w:val="single" w:sz="1" w:space="0" w:color="000000"/>
            </w:tcBorders>
          </w:tcPr>
          <w:p>
            <w:pPr>
              <w:spacing w:lineRule="auto"/>
            </w:pPr>
            <w:r>
              <w:rPr>
                <w:b/>
              </w:rPr>
              <w:t xml:space="preserve">Cascading AI compliance across supply chains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The EU AI Act’s later phases (e.g., August 2025 updates) introduce </w:t>
            </w:r>
            <w:r>
              <w:rPr>
                <w:b/>
              </w:rPr>
              <w:t xml:space="preserve">cascading obligations</w:t>
            </w:r>
            <w:r>
              <w:rPr>
                <w:rFonts w:eastAsia="Georgia" w:cs="Georgia" w:ascii="Georgia" w:hAnsi="Georgia"/>
              </w:rPr>
              <w:t xml:space="preserve">: supply‑chain organizations must not only ensure their own AI is compliant, but also conduct due diligence on AI used by suppliers and logistics partners.[41] Distributors of high‑risk AI must verify CE marking and declarations of conformity before making systems available.[43]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Large shippers and 3PLs will increasingly demand formal AI-compliance documentation from AFAP vendors (risk assessments, training‑data descriptions, monitoring plans). Startups that invest early in compliance tooling and external audits will be preferred vendors; those that cannot document model behavior may be locked out of European RFPs.[41][43][44]</w:t>
            </w:r>
          </w:p>
        </w:tc>
      </w:tr>
      <w:tr>
        <w:trPr>
          <w:cantSplit/>
        </w:trPr>
        <w:tc>
          <w:tcPr>
            <w:tcBorders>
              <w:top w:val="single" w:sz="1" w:space="0" w:color="000000"/>
              <w:bottom w:val="single" w:sz="1" w:space="0" w:color="000000"/>
            </w:tcBorders>
          </w:tcPr>
          <w:p>
            <w:pPr>
              <w:spacing w:lineRule="auto"/>
            </w:pPr>
            <w:r>
              <w:rPr>
                <w:b/>
              </w:rPr>
              <w:t xml:space="preserve">Data protection and cross‑border data flows (GDPR and beyond)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Cross‑border AI in trade and payments is constrained by varying national rules on data localization, privacy, and cross‑border data transfer, raising operational costs and legal risks.[45][46][47][48] AI in cross-border payments must respect GDPR-style data minimization and purpose limitation, while still enabling effective fraud/AML screening.[45][47]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platforms ingest large volumes of shipment, customer, and financial data, often across borders; they must design architectures that support data minimization, regional data residency where needed, granular access control, and explainable AI decisions—especially when used for cost allocation or dispute decisions affecting counterparties in multiple jurisdictions.[20][5][45][46]</w:t>
            </w:r>
          </w:p>
        </w:tc>
      </w:tr>
      <w:tr>
        <w:trPr>
          <w:cantSplit/>
        </w:trPr>
        <w:tc>
          <w:tcPr>
            <w:tcBorders>
              <w:top w:val="single" w:sz="1" w:space="0" w:color="000000"/>
              <w:bottom w:val="single" w:sz="1" w:space="0" w:color="000000"/>
            </w:tcBorders>
          </w:tcPr>
          <w:p>
            <w:pPr>
              <w:spacing w:lineRule="auto"/>
            </w:pPr>
            <w:r>
              <w:rPr>
                <w:b/>
              </w:rPr>
              <w:t xml:space="preserve">Payments regulation: PCI DSS, PSD2, AML/KYC</w:t>
            </w:r>
          </w:p>
        </w:tc>
        <w:tc>
          <w:tcPr>
            <w:tcBorders>
              <w:top w:val="single" w:sz="1" w:space="0" w:color="000000"/>
              <w:left w:val="single" w:sz="1" w:space="0" w:color="000000"/>
              <w:bottom w:val="single" w:sz="1" w:space="0" w:color="000000"/>
            </w:tcBorders>
          </w:tcPr>
          <w:p>
            <w:pPr>
              <w:spacing w:lineRule="auto"/>
            </w:pPr>
            <w:r>
              <w:rPr/>
              <w:t xml:space="preserve">AI use in payment environments </w:t>
            </w:r>
            <w:r>
              <w:rPr>
                <w:b/>
              </w:rPr>
              <w:t xml:space="preserve">does not exempt systems from PCI DSS or other payment-security standards</w:t>
            </w:r>
            <w:r>
              <w:rPr>
                <w:rFonts w:eastAsia="Georgia" w:cs="Georgia" w:ascii="Georgia" w:hAnsi="Georgia"/>
              </w:rPr>
              <w:t xml:space="preserve">; cardholder data at rest and in transit must still be protected, and AI actions must be logged with a responsible human owner.[14][15] PSD2 and open‑banking regimes require strong customer authentication, secure APIs, consent tracking, and real‑time risk assessment for payments, which AI can help automate but must execute within regulatory boundaries.[49] AML/KYC frameworks for cross‑border payments demand holistic transaction‑risk assessments across jurisdictions.[50][45][47]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When AFAP vendors begin to trigger payments or embed supply-chain financing (e.g., Loop’s same‑day carrier payments with J.P. Morgan), they effectively become part of the regulated payment stack. Startups must either partner tightly with licensed banks/payments providers (letting them hold licenses) or invest in compliance capabilities (tokenization, encryption, consent management, AML analytics) that meet PCI DSS/PSD2 expectations.[3][50][49][14][15]</w:t>
            </w:r>
          </w:p>
        </w:tc>
      </w:tr>
      <w:tr>
        <w:trPr>
          <w:cantSplit/>
        </w:trPr>
        <w:tc>
          <w:tcPr>
            <w:tcBorders>
              <w:top w:val="single" w:sz="1" w:space="0" w:color="000000"/>
              <w:bottom w:val="single" w:sz="1" w:space="0" w:color="000000"/>
            </w:tcBorders>
          </w:tcPr>
          <w:p>
            <w:pPr>
              <w:spacing w:lineRule="auto"/>
            </w:pPr>
            <w:r>
              <w:rPr>
                <w:b/>
              </w:rPr>
              <w:t xml:space="preserve">Explainability and human oversight for safety‑critical and financial AI</w:t>
            </w:r>
          </w:p>
        </w:tc>
        <w:tc>
          <w:tcPr>
            <w:tcBorders>
              <w:top w:val="single" w:sz="1" w:space="0" w:color="000000"/>
              <w:left w:val="single" w:sz="1" w:space="0" w:color="000000"/>
              <w:bottom w:val="single" w:sz="1" w:space="0" w:color="000000"/>
            </w:tcBorders>
          </w:tcPr>
          <w:p>
            <w:pPr>
              <w:spacing w:lineRule="auto"/>
            </w:pPr>
            <w:r>
              <w:rPr/>
              <w:t xml:space="preserve">Regulators and standard-setters emphasize </w:t>
            </w:r>
            <w:r>
              <w:rPr>
                <w:b/>
              </w:rPr>
              <w:t xml:space="preserve">explainable AI (XAI)</w:t>
            </w:r>
            <w:r>
              <w:rPr>
                <w:rFonts w:eastAsia="Georgia" w:cs="Georgia" w:ascii="Georgia" w:hAnsi="Georgia"/>
              </w:rPr>
              <w:t xml:space="preserve"> and human oversight for AI used in cross‑border payments, compliance, and safety‑critical transport functions; guidance highlights the need to log AI decisions and keep humans involved in critical approvals.[45][51][46] The EU AI Act similarly requires human oversight and robustness for high‑risk systems, particularly where AI failures could cause harm.[51][42]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AFAP platforms that use black‑box models to auto‑approve or deny payments, allocate costs, or flag fraud must expose clear, human‑readable rationales (e.g., which contract clause or rate table was applied, which anomaly was detected). Systems that can show line‑item level reasoning and maintain detailed audit trails (as Loop and OpenEnvoy emphasize) are better positioned to satisfy emerging supervisory expectations.[1][2][19][5][51]</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investment_view_and_18_24_month_outlook"/>
      <w:r>
        <w:rPr>
          <w:rFonts w:eastAsia="Georgia" w:cs="Georgia" w:ascii="Georgia" w:hAnsi="Georgia"/>
          <w:b/>
          <w:sz w:val="42"/>
        </w:rPr>
        <w:t xml:space="preserve">Investment view and 18–24 month outlook</w:t>
      </w:r>
      <w:bookmarkEnd w:id="5"/>
    </w:p>
    <w:p>
      <w:pPr>
        <w:numPr>
          <w:ilvl w:val="0"/>
          <w:numId w:val="1"/>
        </w:numPr>
        <w:spacing w:lineRule="auto"/>
      </w:pPr>
      <w:r>
        <w:rPr>
          <w:b/>
        </w:rPr>
        <w:t xml:space="preserve">Market need is well documented and persistent.</w:t>
      </w:r>
      <w:r>
        <w:rPr>
          <w:rFonts w:eastAsia="Georgia" w:cs="Georgia" w:ascii="Georgia" w:hAnsi="Georgia"/>
        </w:rPr>
        <w:t xml:space="preserve"> Freight audit is structurally complex (multi‑modal rates, accessorials, dynamic fuel surcharges), and traditional manual or spreadsheet-based processes create overpayments and disputes; even modern TMS users often fail to fully automate audit and payment, leaving ongoing demand for specialist AFAP solutions.[34][20][35][7][8]</w:t>
      </w:r>
    </w:p>
    <w:p>
      <w:pPr>
        <w:numPr>
          <w:ilvl w:val="0"/>
          <w:numId w:val="1"/>
        </w:numPr>
        <w:spacing w:lineRule="auto"/>
      </w:pPr>
      <w:r>
        <w:rPr>
          <w:b/>
        </w:rPr>
        <w:t xml:space="preserve">Legacy ERPs provide features, but not always outcomes.</w:t>
      </w:r>
      <w:r>
        <w:rPr>
          <w:rFonts w:eastAsia="Georgia" w:cs="Georgia" w:ascii="Georgia" w:hAnsi="Georgia"/>
        </w:rPr>
        <w:t xml:space="preserve"> SAP TM and Oracle TM can, in theory, automate freight invoice verification and payment, yet real-world users face complexity, long implementations, limited reporting flexibility, and underutilization—resulting in manual workarounds and partial ROI.[4][6][28][18][8][36][9]</w:t>
      </w:r>
    </w:p>
    <w:p>
      <w:pPr>
        <w:numPr>
          <w:ilvl w:val="0"/>
          <w:numId w:val="1"/>
        </w:numPr>
        <w:spacing w:lineRule="auto"/>
      </w:pPr>
      <w:r>
        <w:rPr>
          <w:b/>
        </w:rPr>
        <w:t xml:space="preserve">AI-native AFAP startups are building moats in data, workflows, and partnerships, not just algorithms.</w:t>
      </w:r>
      <w:r>
        <w:rPr>
          <w:rFonts w:eastAsia="Georgia" w:cs="Georgia" w:ascii="Georgia" w:hAnsi="Georgia"/>
        </w:rPr>
        <w:t xml:space="preserve"> Loop, Portcast, OpenEnvoy, Via, and ARDEM FreightSure differentiate through (a) logistics-specific data models, (b) AI-driven, touchless workflows tuned for freight invoices, and (c) strategic distribution via banks, visibility platforms, or BPO services—advantages that are not trivially replicated by generalist ERPs within 18–24 months.[22][5][25][10][11][1][2][3]</w:t>
      </w:r>
    </w:p>
    <w:p>
      <w:pPr>
        <w:numPr>
          <w:ilvl w:val="0"/>
          <w:numId w:val="1"/>
        </w:numPr>
        <w:spacing w:lineRule="auto"/>
      </w:pPr>
      <w:r>
        <w:rPr>
          <w:b/>
        </w:rPr>
        <w:t xml:space="preserve">Regulation raises the bar but can entrench leaders.</w:t>
      </w:r>
      <w:r>
        <w:rPr>
          <w:rFonts w:eastAsia="Georgia" w:cs="Georgia" w:ascii="Georgia" w:hAnsi="Georgia"/>
        </w:rPr>
        <w:t xml:space="preserve"> The EU AI Act and payment‑security regimes will make it harder for new, under‑resourced entrants to launch AI‑driven logistics finance products in Europe, but well‑funded AFAP leaders that invest early in governance, explainability, and partnerships with regulated payment institutions can turn compliance into a competitive barrier.[39][40][41][14][15][44]</w:t>
      </w:r>
    </w:p>
    <w:p>
      <w:pPr>
        <w:spacing w:after="210" w:lineRule="auto"/>
      </w:pPr>
      <w:r>
        <w:rPr>
          <w:b/>
        </w:rPr>
        <w:t xml:space="preserve">Net recommendation:</w:t>
      </w:r>
      <w:r>
        <w:rPr/>
        <w:t xml:space="preserve"> For a 15M Series A deployment in early 2026, the AFAP niche justifies an </w:t>
      </w:r>
      <w:r>
        <w:rPr>
          <w:b/>
        </w:rPr>
        <w:t xml:space="preserve">"Invest" stance focused on 1–2 platforms that (i) demonstrate real invoice‑level automation in production at scale, (ii) show clear integration paths into SAP/Oracle landscapes without competing as full TMS replacements, and (iii) have credible regulatory and payment‑partnership roadmaps. The risk of SAP/Oracle fully collapsing this niche in the next 18–24 months appears low given observable implementation friction and underutilization of their existing freight-payment features, though strategic M&amp;A by those incumbents is a likely long‑term exit path.</w:t>
      </w:r>
      <w:r>
        <w:rPr/>
        <w:t xml:space="preserve">[6][28][8][9][1][22][4]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references"/>
      <w:r>
        <w:rPr>
          <w:b/>
          <w:sz w:val="42"/>
        </w:rPr>
        <w:t xml:space="preserve">References</w:t>
      </w:r>
      <w:bookmarkEnd w:id="6"/>
    </w:p>
    <w:p>
      <w:pPr>
        <w:numPr>
          <w:ilvl w:val="0"/>
          <w:numId w:val="2"/>
        </w:numPr>
        <w:spacing w:after="210" w:lineRule="auto"/>
      </w:pPr>
      <w:hyperlink r:id="rId6">
        <w:r>
          <w:rPr>
            <w:color w:val="4472C4"/>
          </w:rPr>
          <w:t xml:space="preserve">Loop: Supply Chain Audit And Payment Platform Closes Secures ...</w:t>
        </w:r>
      </w:hyperlink>
      <w:r>
        <w:rPr/>
        <w:t xml:space="preserve"> - Loop - a modern audit &amp; payment platform for the next-gen supply chain - recently announced it has r...</w:t>
      </w:r>
    </w:p>
    <w:p>
      <w:pPr>
        <w:numPr>
          <w:ilvl w:val="0"/>
          <w:numId w:val="2"/>
        </w:numPr>
        <w:spacing w:after="210" w:lineRule="auto"/>
      </w:pPr>
      <w:hyperlink r:id="rId7">
        <w:r>
          <w:rPr>
            <w:color w:val="4472C4"/>
          </w:rPr>
          <w:t xml:space="preserve">Automate 99% of freight and parcel audits</w:t>
        </w:r>
      </w:hyperlink>
      <w:r>
        <w:rPr/>
        <w:t xml:space="preserve"> - Precisely audit every line-item. Logistics-AI becomes faster and more accurate with each audit so yo...</w:t>
      </w:r>
    </w:p>
    <w:p>
      <w:pPr>
        <w:numPr>
          <w:ilvl w:val="0"/>
          <w:numId w:val="2"/>
        </w:numPr>
        <w:spacing w:after="210" w:lineRule="auto"/>
      </w:pPr>
      <w:hyperlink r:id="rId8">
        <w:r>
          <w:rPr>
            <w:color w:val="4472C4"/>
          </w:rPr>
          <w:t xml:space="preserve">Loop and J.P. Morgan Payments to Improve Access ...</w:t>
        </w:r>
      </w:hyperlink>
      <w:r>
        <w:rPr/>
        <w:t xml:space="preserve"> - Loop, the modern audit &amp; payment platform for the next-gen supply chain, today announced its collabo...</w:t>
      </w:r>
    </w:p>
    <w:p>
      <w:pPr>
        <w:numPr>
          <w:ilvl w:val="0"/>
          <w:numId w:val="2"/>
        </w:numPr>
        <w:spacing w:after="210" w:lineRule="auto"/>
      </w:pPr>
      <w:hyperlink r:id="rId9">
        <w:r>
          <w:rPr>
            <w:color w:val="4472C4"/>
          </w:rPr>
          <w:t xml:space="preserve">Verifying Carrier Invoices and Self-Billing - SAP Learning</w:t>
        </w:r>
      </w:hyperlink>
      <w:r>
        <w:rPr/>
        <w:t xml:space="preserve"> - After completing this lesson, you will be able to:Verify Freight Invoices.</w:t>
      </w:r>
    </w:p>
    <w:p>
      <w:pPr>
        <w:numPr>
          <w:ilvl w:val="0"/>
          <w:numId w:val="2"/>
        </w:numPr>
        <w:spacing w:after="210" w:lineRule="auto"/>
      </w:pPr>
      <w:hyperlink r:id="rId10">
        <w:r>
          <w:rPr>
            <w:color w:val="4472C4"/>
          </w:rPr>
          <w:t xml:space="preserve">Revolutionize Freight Audit with OpenEnvoy!</w:t>
        </w:r>
      </w:hyperlink>
      <w:r>
        <w:rPr/>
        <w:t xml:space="preserve"> - OpenEnvoy's innovative application of AI in freight auditing solves existing challenges and sets a n...</w:t>
      </w:r>
    </w:p>
    <w:p>
      <w:pPr>
        <w:numPr>
          <w:ilvl w:val="0"/>
          <w:numId w:val="2"/>
        </w:numPr>
        <w:spacing w:after="210" w:lineRule="auto"/>
      </w:pPr>
      <w:hyperlink r:id="rId11">
        <w:r>
          <w:rPr>
            <w:color w:val="4472C4"/>
          </w:rPr>
          <w:t xml:space="preserve">Freight Payment, Billing and Claims</w:t>
        </w:r>
      </w:hyperlink>
    </w:p>
    <w:p>
      <w:pPr>
        <w:numPr>
          <w:ilvl w:val="0"/>
          <w:numId w:val="2"/>
        </w:numPr>
        <w:spacing w:after="210" w:lineRule="auto"/>
      </w:pPr>
      <w:hyperlink r:id="rId12">
        <w:r>
          <w:rPr>
            <w:rFonts w:eastAsia="Georgia" w:cs="Georgia" w:ascii="Georgia" w:hAnsi="Georgia"/>
            <w:color w:val="4472C4"/>
          </w:rPr>
          <w:t xml:space="preserve">Freight audit - Wikipediaen.wikipedia.org › wiki › Freight_audit</w:t>
        </w:r>
      </w:hyperlink>
    </w:p>
    <w:p>
      <w:pPr>
        <w:numPr>
          <w:ilvl w:val="0"/>
          <w:numId w:val="2"/>
        </w:numPr>
        <w:spacing w:after="210" w:lineRule="auto"/>
      </w:pPr>
      <w:hyperlink r:id="rId13">
        <w:r>
          <w:rPr>
            <w:color w:val="4472C4"/>
          </w:rPr>
          <w:t xml:space="preserve">The Real Reason OTM ROI Falls Short (Hint: It's Not the Software)</w:t>
        </w:r>
      </w:hyperlink>
      <w:r>
        <w:rPr>
          <w:rFonts w:eastAsia="Georgia" w:cs="Georgia" w:ascii="Georgia" w:hAnsi="Georgia"/>
        </w:rPr>
        <w:t xml:space="preserve"> - When OTM ROI falls short, the issue isn't the software—it's underutilization. Learn why most organiz...</w:t>
      </w:r>
    </w:p>
    <w:p>
      <w:pPr>
        <w:numPr>
          <w:ilvl w:val="0"/>
          <w:numId w:val="2"/>
        </w:numPr>
        <w:spacing w:after="210" w:lineRule="auto"/>
      </w:pPr>
      <w:hyperlink r:id="rId14">
        <w:r>
          <w:rPr>
            <w:color w:val="4472C4"/>
          </w:rPr>
          <w:t xml:space="preserve">Best TMS Software 2026: Top 10 Solutions Compared</w:t>
        </w:r>
      </w:hyperlink>
      <w:r>
        <w:rPr>
          <w:rFonts w:eastAsia="Georgia" w:cs="Georgia" w:ascii="Georgia" w:hAnsi="Georgia"/>
        </w:rPr>
        <w:t xml:space="preserve"> - #6: Oracle Transportation Management — Best for Oracle Ecosystem. G2 Rating: 3.9/5 Best For: Large e...</w:t>
      </w:r>
    </w:p>
    <w:p>
      <w:pPr>
        <w:numPr>
          <w:ilvl w:val="0"/>
          <w:numId w:val="2"/>
        </w:numPr>
        <w:spacing w:after="210" w:lineRule="auto"/>
      </w:pPr>
      <w:hyperlink r:id="rId15">
        <w:r>
          <w:rPr>
            <w:color w:val="4472C4"/>
          </w:rPr>
          <w:t xml:space="preserve">Portcast Secures $6.5m Series A Funding Led by Susquehanna Asia VC</w:t>
        </w:r>
      </w:hyperlink>
      <w:r>
        <w:rPr/>
        <w:t xml:space="preserve"> - Portcast, a Singapore-based provider of real-time transportation visibility and predictive analytics...</w:t>
      </w:r>
    </w:p>
    <w:p>
      <w:pPr>
        <w:numPr>
          <w:ilvl w:val="0"/>
          <w:numId w:val="2"/>
        </w:numPr>
        <w:spacing w:after="210" w:lineRule="auto"/>
      </w:pPr>
      <w:hyperlink r:id="rId16">
        <w:r>
          <w:rPr>
            <w:color w:val="4472C4"/>
          </w:rPr>
          <w:t xml:space="preserve">Portcast Secures USD 6.5 Million Series A Funding Led by ...</w:t>
        </w:r>
      </w:hyperlink>
      <w:r>
        <w:rPr/>
        <w:t xml:space="preserve"> - Learn how this funding will boost AI-driven transportation visibility and automation, cutting disrup...</w:t>
      </w:r>
    </w:p>
    <w:p>
      <w:pPr>
        <w:numPr>
          <w:ilvl w:val="0"/>
          <w:numId w:val="2"/>
        </w:numPr>
        <w:spacing w:after="210" w:lineRule="auto"/>
      </w:pPr>
      <w:hyperlink r:id="rId17">
        <w:r>
          <w:rPr>
            <w:color w:val="4472C4"/>
          </w:rPr>
          <w:t xml:space="preserve">Breakthrough Transportation Logistics Startup Loop Announces $35M Series B</w:t>
        </w:r>
      </w:hyperlink>
      <w:r>
        <w:rPr/>
        <w:t xml:space="preserve"> - Insider Brief Loop, a modern audit &amp; payment platform for the supply chain, has secured a $35 millio...</w:t>
      </w:r>
    </w:p>
    <w:p>
      <w:pPr>
        <w:numPr>
          <w:ilvl w:val="0"/>
          <w:numId w:val="2"/>
        </w:numPr>
        <w:spacing w:after="210" w:lineRule="auto"/>
      </w:pPr>
      <w:hyperlink r:id="rId18">
        <w:r>
          <w:rPr>
            <w:rFonts w:eastAsia="Georgia" w:cs="Georgia" w:ascii="Georgia" w:hAnsi="Georgia"/>
            <w:color w:val="4472C4"/>
          </w:rPr>
          <w:t xml:space="preserve">Loop Raises $35M in Series B Funding — eCommerce Strategy ...</w:t>
        </w:r>
      </w:hyperlink>
      <w:r>
        <w:rPr/>
        <w:t xml:space="preserve"> - Fintech platform Loop, which enables auditing and payment for the supply chain, has raised $35M in S...</w:t>
      </w:r>
    </w:p>
    <w:p>
      <w:pPr>
        <w:numPr>
          <w:ilvl w:val="0"/>
          <w:numId w:val="2"/>
        </w:numPr>
        <w:spacing w:after="210" w:lineRule="auto"/>
      </w:pPr>
      <w:hyperlink r:id="rId19">
        <w:r>
          <w:rPr>
            <w:color w:val="4472C4"/>
          </w:rPr>
          <w:t xml:space="preserve">AI Principles: Securing the Use of AI in Payment Environments</w:t>
        </w:r>
      </w:hyperlink>
      <w:r>
        <w:rPr/>
        <w:t xml:space="preserve"> - Use of AI does not remove or bypass the need to meet the requirements of any applicable PCI SSC stan...</w:t>
      </w:r>
    </w:p>
    <w:p>
      <w:pPr>
        <w:numPr>
          <w:ilvl w:val="0"/>
          <w:numId w:val="2"/>
        </w:numPr>
        <w:spacing w:after="210" w:lineRule="auto"/>
      </w:pPr>
      <w:hyperlink r:id="rId20">
        <w:r>
          <w:rPr>
            <w:color w:val="4472C4"/>
          </w:rPr>
          <w:t xml:space="preserve">What is PCI DSS Compliance? A Guide for the Payments Industry</w:t>
        </w:r>
      </w:hyperlink>
      <w:r>
        <w:rPr/>
        <w:t xml:space="preserve"> - PCI DSS compliance ensures that companies accept, process, store, or transmit credit card informatio...</w:t>
      </w:r>
    </w:p>
    <w:p>
      <w:pPr>
        <w:numPr>
          <w:ilvl w:val="0"/>
          <w:numId w:val="2"/>
        </w:numPr>
        <w:spacing w:after="210" w:lineRule="auto"/>
      </w:pPr>
      <w:hyperlink r:id="rId21">
        <w:r>
          <w:rPr>
            <w:color w:val="4472C4"/>
          </w:rPr>
          <w:t xml:space="preserve">Solutions</w:t>
        </w:r>
      </w:hyperlink>
      <w:r>
        <w:rPr/>
        <w:t xml:space="preserve"> - Streamline your logistics spend with our freight audit and payment software. Ensure accuracy, reduce...</w:t>
      </w:r>
    </w:p>
    <w:p>
      <w:pPr>
        <w:numPr>
          <w:ilvl w:val="0"/>
          <w:numId w:val="2"/>
        </w:numPr>
        <w:spacing w:after="210" w:lineRule="auto"/>
      </w:pPr>
      <w:hyperlink r:id="rId22">
        <w:r>
          <w:rPr>
            <w:color w:val="4472C4"/>
          </w:rPr>
          <w:t xml:space="preserve">Via | StartupSeeker</w:t>
        </w:r>
      </w:hyperlink>
      <w:r>
        <w:rPr/>
        <w:t xml:space="preserve"> - </w:t>
      </w:r>
      <w:hyperlink r:id="rId23">
        <w:r>
          <w:rPr>
            <w:color w:val="4472C4"/>
          </w:rPr>
          <w:t xml:space="preserve">withvia.ai</w:t>
        </w:r>
      </w:hyperlink>
      <w:r>
        <w:rPr>
          <w:rFonts w:eastAsia="Georgia" w:cs="Georgia" w:ascii="Georgia" w:hAnsi="Georgia"/>
        </w:rPr>
        <w:t xml:space="preserve"> 1K+. Founded 2022 – San Francisco, United States. Funding. No funding information availab...</w:t>
      </w:r>
    </w:p>
    <w:p>
      <w:pPr>
        <w:numPr>
          <w:ilvl w:val="0"/>
          <w:numId w:val="2"/>
        </w:numPr>
        <w:spacing w:after="210" w:lineRule="auto"/>
      </w:pPr>
      <w:hyperlink r:id="rId24">
        <w:r>
          <w:rPr>
            <w:color w:val="4472C4"/>
          </w:rPr>
          <w:t xml:space="preserve">SAP Transportation Management Pros and Cons - G2</w:t>
        </w:r>
      </w:hyperlink>
      <w:r>
        <w:rPr>
          <w:rFonts w:eastAsia="Georgia" w:cs="Georgia" w:ascii="Georgia" w:hAnsi="Georgia"/>
        </w:rPr>
        <w:t xml:space="preserve"> - Explore SAP Transportation Management's top pros, cons, and user-rated features‚ based on real, veri...</w:t>
      </w:r>
    </w:p>
    <w:p>
      <w:pPr>
        <w:numPr>
          <w:ilvl w:val="0"/>
          <w:numId w:val="2"/>
        </w:numPr>
        <w:spacing w:after="210" w:lineRule="auto"/>
      </w:pPr>
      <w:hyperlink r:id="rId25">
        <w:r>
          <w:rPr>
            <w:color w:val="4472C4"/>
          </w:rPr>
          <w:t xml:space="preserve">OpenEnvoy Announces $6.5M Oversubscribed Seed Round Led by ...</w:t>
        </w:r>
      </w:hyperlink>
      <w:r>
        <w:rPr/>
        <w:t xml:space="preserve"> - /PRNewswire/ -- Today, OpenEnvoy, a fintech startup providing a comprehensive suite of robotic proce...</w:t>
      </w:r>
    </w:p>
    <w:p>
      <w:pPr>
        <w:numPr>
          <w:ilvl w:val="0"/>
          <w:numId w:val="2"/>
        </w:numPr>
        <w:spacing w:after="210" w:lineRule="auto"/>
      </w:pPr>
      <w:hyperlink r:id="rId26">
        <w:r>
          <w:rPr>
            <w:color w:val="4472C4"/>
          </w:rPr>
          <w:t xml:space="preserve">Unraveling the Complexity: Understanding Freight Audit Challenges</w:t>
        </w:r>
      </w:hyperlink>
      <w:r>
        <w:rPr/>
        <w:t xml:space="preserve"> - This post covers freight audit challenges from high transaction volumes, complex data sources, and t...</w:t>
      </w:r>
    </w:p>
    <w:p>
      <w:pPr>
        <w:numPr>
          <w:ilvl w:val="0"/>
          <w:numId w:val="2"/>
        </w:numPr>
        <w:spacing w:after="210" w:lineRule="auto"/>
      </w:pPr>
      <w:hyperlink r:id="rId27">
        <w:r>
          <w:rPr>
            <w:color w:val="4472C4"/>
          </w:rPr>
          <w:t xml:space="preserve">OpenEnvoy Secures Series A Financing for AP Automation</w:t>
        </w:r>
      </w:hyperlink>
      <w:r>
        <w:rPr/>
        <w:t xml:space="preserve"> - OpenEnvoy secures Series A financing, advancing their AI-driven accounts payable automation and enha...</w:t>
      </w:r>
    </w:p>
    <w:p>
      <w:pPr>
        <w:numPr>
          <w:ilvl w:val="0"/>
          <w:numId w:val="2"/>
        </w:numPr>
        <w:spacing w:after="210" w:lineRule="auto"/>
      </w:pPr>
      <w:hyperlink r:id="rId28">
        <w:r>
          <w:rPr>
            <w:color w:val="4472C4"/>
          </w:rPr>
          <w:t xml:space="preserve">Driving the Next Phase in AI-Powered Freight Audit</w:t>
        </w:r>
      </w:hyperlink>
      <w:r>
        <w:rPr/>
        <w:t xml:space="preserve"> - Portcast joins Google AI-First Program to scale its AI-powered freight audit and solve costly invoic...</w:t>
      </w:r>
    </w:p>
    <w:p>
      <w:pPr>
        <w:numPr>
          <w:ilvl w:val="0"/>
          <w:numId w:val="2"/>
        </w:numPr>
        <w:spacing w:after="210" w:lineRule="auto"/>
      </w:pPr>
      <w:hyperlink r:id="rId29">
        <w:r>
          <w:rPr>
            <w:color w:val="4472C4"/>
          </w:rPr>
          <w:t xml:space="preserve">Transportation Management | Oracle</w:t>
        </w:r>
      </w:hyperlink>
      <w:r>
        <w:rPr/>
        <w:t xml:space="preserve"> - Discover the transportation management system that allows you to easily manage all transportation ac...</w:t>
      </w:r>
    </w:p>
    <w:p>
      <w:pPr>
        <w:numPr>
          <w:ilvl w:val="0"/>
          <w:numId w:val="2"/>
        </w:numPr>
        <w:spacing w:after="210" w:lineRule="auto"/>
      </w:pPr>
      <w:hyperlink r:id="rId30">
        <w:r>
          <w:rPr>
            <w:color w:val="4472C4"/>
          </w:rPr>
          <w:t xml:space="preserve">The New Era of Freight Audit &amp; Payment: Agentic AI Solving Carrier ...</w:t>
        </w:r>
      </w:hyperlink>
      <w:r>
        <w:rPr/>
        <w:t xml:space="preserve"> - Agentic AI is redefining freight audit and payment by eliminating carrier, rate, and invoice discrep...</w:t>
      </w:r>
    </w:p>
    <w:p>
      <w:pPr>
        <w:numPr>
          <w:ilvl w:val="0"/>
          <w:numId w:val="2"/>
        </w:numPr>
        <w:spacing w:after="210" w:lineRule="auto"/>
      </w:pPr>
      <w:hyperlink r:id="rId31">
        <w:r>
          <w:rPr>
            <w:color w:val="4472C4"/>
          </w:rPr>
          <w:t xml:space="preserve">FTL Billing Automation with Agentic AI | Faster, Accurate Freight Audit</w:t>
        </w:r>
      </w:hyperlink>
      <w:r>
        <w:rPr>
          <w:rFonts w:eastAsia="Georgia" w:cs="Georgia" w:ascii="Georgia" w:hAnsi="Georgia"/>
        </w:rPr>
        <w:t xml:space="preserve"> - FTL carriers face billing disputes and costly audit cycles. See how ARDEM FreightSure™ uses Agentic ...</w:t>
      </w:r>
    </w:p>
    <w:p>
      <w:pPr>
        <w:numPr>
          <w:ilvl w:val="0"/>
          <w:numId w:val="2"/>
        </w:numPr>
        <w:spacing w:after="210" w:lineRule="auto"/>
      </w:pPr>
      <w:hyperlink r:id="rId32">
        <w:r>
          <w:rPr>
            <w:color w:val="4472C4"/>
          </w:rPr>
          <w:t xml:space="preserve">Improving Freight Bill Accuracy &amp; Speed with Agentic AI Automation</w:t>
        </w:r>
      </w:hyperlink>
      <w:r>
        <w:rPr>
          <w:rFonts w:eastAsia="Georgia" w:cs="Georgia" w:ascii="Georgia" w:hAnsi="Georgia"/>
        </w:rPr>
        <w:t xml:space="preserve"> - ARDEM FreightSure™'s AI-powered system instantly detects anomalies. These include incorrect rates, a...</w:t>
      </w:r>
    </w:p>
    <w:p>
      <w:pPr>
        <w:numPr>
          <w:ilvl w:val="0"/>
          <w:numId w:val="2"/>
        </w:numPr>
        <w:spacing w:after="210" w:lineRule="auto"/>
      </w:pPr>
      <w:hyperlink r:id="rId33">
        <w:r>
          <w:rPr>
            <w:color w:val="4472C4"/>
          </w:rPr>
          <w:t xml:space="preserve">SAP Freight Audit</w:t>
        </w:r>
      </w:hyperlink>
      <w:r>
        <w:rPr/>
        <w:t xml:space="preserve"> - SAP Freight Audit is an advanced logistics solution designed to simplify and automate the auditing o...</w:t>
      </w:r>
    </w:p>
    <w:p>
      <w:pPr>
        <w:numPr>
          <w:ilvl w:val="0"/>
          <w:numId w:val="2"/>
        </w:numPr>
        <w:spacing w:after="210" w:lineRule="auto"/>
      </w:pPr>
      <w:hyperlink r:id="rId34">
        <w:r>
          <w:rPr>
            <w:color w:val="4472C4"/>
          </w:rPr>
          <w:t xml:space="preserve">[PDF] Comparing Implementation Complexities and Capabilities - Theseus</w:t>
        </w:r>
      </w:hyperlink>
      <w:r>
        <w:rPr/>
        <w:t xml:space="preserve"> - Focusing on aspects relevant to SAP transportation management consultants, this analysis explores th...</w:t>
      </w:r>
    </w:p>
    <w:p>
      <w:pPr>
        <w:numPr>
          <w:ilvl w:val="0"/>
          <w:numId w:val="2"/>
        </w:numPr>
        <w:spacing w:after="210" w:lineRule="auto"/>
      </w:pPr>
      <w:hyperlink r:id="rId35">
        <w:r>
          <w:rPr>
            <w:color w:val="4472C4"/>
          </w:rPr>
          <w:t xml:space="preserve">SAP Transportation Management Reviews 2026 - G2</w:t>
        </w:r>
      </w:hyperlink>
      <w:r>
        <w:rPr/>
        <w:t xml:space="preserve"> - Filter 58 reviews by the users' company size, role or industry to find out how SAP Transportation Ma...</w:t>
      </w:r>
    </w:p>
    <w:p>
      <w:pPr>
        <w:numPr>
          <w:ilvl w:val="0"/>
          <w:numId w:val="2"/>
        </w:numPr>
        <w:spacing w:after="210" w:lineRule="auto"/>
      </w:pPr>
      <w:hyperlink r:id="rId36">
        <w:r>
          <w:rPr>
            <w:color w:val="4472C4"/>
          </w:rPr>
          <w:t xml:space="preserve">Oracle Transportation Management</w:t>
        </w:r>
      </w:hyperlink>
    </w:p>
    <w:p>
      <w:pPr>
        <w:numPr>
          <w:ilvl w:val="0"/>
          <w:numId w:val="2"/>
        </w:numPr>
        <w:spacing w:after="210" w:lineRule="auto"/>
      </w:pPr>
      <w:hyperlink r:id="rId37">
        <w:r>
          <w:rPr>
            <w:color w:val="4472C4"/>
          </w:rPr>
          <w:t xml:space="preserve">OTM Freight Billing Payment Claims Data Sheet</w:t>
        </w:r>
      </w:hyperlink>
    </w:p>
    <w:p>
      <w:pPr>
        <w:numPr>
          <w:ilvl w:val="0"/>
          <w:numId w:val="2"/>
        </w:numPr>
        <w:spacing w:after="210" w:lineRule="auto"/>
      </w:pPr>
      <w:hyperlink r:id="rId38">
        <w:r>
          <w:rPr>
            <w:color w:val="4472C4"/>
          </w:rPr>
          <w:t xml:space="preserve">Oracle Data Sheet</w:t>
        </w:r>
      </w:hyperlink>
    </w:p>
    <w:p>
      <w:pPr>
        <w:numPr>
          <w:ilvl w:val="0"/>
          <w:numId w:val="2"/>
        </w:numPr>
        <w:spacing w:after="210" w:lineRule="auto"/>
      </w:pPr>
      <w:hyperlink r:id="rId39">
        <w:r>
          <w:rPr>
            <w:color w:val="4472C4"/>
          </w:rPr>
          <w:t xml:space="preserve">[PDF] Services-Oracle Transportation Management (OTM)-casestudy</w:t>
        </w:r>
      </w:hyperlink>
    </w:p>
    <w:p>
      <w:pPr>
        <w:numPr>
          <w:ilvl w:val="0"/>
          <w:numId w:val="2"/>
        </w:numPr>
        <w:spacing w:after="210" w:lineRule="auto"/>
      </w:pPr>
      <w:hyperlink r:id="rId40">
        <w:r>
          <w:rPr>
            <w:color w:val="4472C4"/>
          </w:rPr>
          <w:t xml:space="preserve">Faqs On Tms Freight Audit &amp;...</w:t>
        </w:r>
      </w:hyperlink>
      <w:r>
        <w:rPr/>
        <w:t xml:space="preserve"> - Explore how freight audit in TMS systems improves billing accuracy, manages 3PL disputes, and suppor...</w:t>
      </w:r>
    </w:p>
    <w:p>
      <w:pPr>
        <w:numPr>
          <w:ilvl w:val="0"/>
          <w:numId w:val="2"/>
        </w:numPr>
        <w:spacing w:after="210" w:lineRule="auto"/>
      </w:pPr>
      <w:hyperlink r:id="rId41">
        <w:r>
          <w:rPr>
            <w:color w:val="4472C4"/>
          </w:rPr>
          <w:t xml:space="preserve">The Six Freight Audit and Payment Best Practices</w:t>
        </w:r>
      </w:hyperlink>
      <w:r>
        <w:rPr/>
        <w:t xml:space="preserve"> - We lay out the six best practices your company should be following to maximize freight payment and a...</w:t>
      </w:r>
    </w:p>
    <w:p>
      <w:pPr>
        <w:numPr>
          <w:ilvl w:val="0"/>
          <w:numId w:val="2"/>
        </w:numPr>
        <w:spacing w:after="210" w:lineRule="auto"/>
      </w:pPr>
      <w:hyperlink r:id="rId42">
        <w:r>
          <w:rPr>
            <w:color w:val="4472C4"/>
          </w:rPr>
          <w:t xml:space="preserve">The G2 on Oracle Transportation Management Cloud</w:t>
        </w:r>
      </w:hyperlink>
      <w:r>
        <w:rPr/>
        <w:t xml:space="preserve"> - Page 3 - Filter 33 reviews by the users' company size, role or industry to find out how Oracle Trans...</w:t>
      </w:r>
    </w:p>
    <w:p>
      <w:pPr>
        <w:numPr>
          <w:ilvl w:val="0"/>
          <w:numId w:val="2"/>
        </w:numPr>
        <w:spacing w:after="210" w:lineRule="auto"/>
      </w:pPr>
      <w:hyperlink r:id="rId43">
        <w:r>
          <w:rPr>
            <w:color w:val="4472C4"/>
          </w:rPr>
          <w:t xml:space="preserve">References for Performance Analysis &amp; Tuning in OTM/GTM</w:t>
        </w:r>
      </w:hyperlink>
      <w:r>
        <w:rPr/>
        <w:t xml:space="preserve"> - Oracle Transportation Management - Version 6.4.1 and later: References for Performance Analysis &amp; Tu...</w:t>
      </w:r>
    </w:p>
    <w:p>
      <w:pPr>
        <w:numPr>
          <w:ilvl w:val="0"/>
          <w:numId w:val="2"/>
        </w:numPr>
        <w:spacing w:after="210" w:lineRule="auto"/>
      </w:pPr>
      <w:hyperlink r:id="rId44">
        <w:r>
          <w:rPr>
            <w:color w:val="4472C4"/>
          </w:rPr>
          <w:t xml:space="preserve">[PDF] Implementing Oracle Transportation Management (SaaS) for UD ...</w:t>
        </w:r>
      </w:hyperlink>
    </w:p>
    <w:p>
      <w:pPr>
        <w:numPr>
          <w:ilvl w:val="0"/>
          <w:numId w:val="2"/>
        </w:numPr>
        <w:spacing w:after="210" w:lineRule="auto"/>
      </w:pPr>
      <w:hyperlink r:id="rId45">
        <w:r>
          <w:rPr>
            <w:color w:val="4472C4"/>
          </w:rPr>
          <w:t xml:space="preserve">Compliant AI for Logistics | EU Regs Guide - FreightAmigo</w:t>
        </w:r>
      </w:hyperlink>
      <w:r>
        <w:rPr/>
        <w:t xml:space="preserve"> - The EU AI Act, effective 2025, classifies logistics AI as high-risk, mandating strict compliance mea...</w:t>
      </w:r>
    </w:p>
    <w:p>
      <w:pPr>
        <w:numPr>
          <w:ilvl w:val="0"/>
          <w:numId w:val="2"/>
        </w:numPr>
        <w:spacing w:after="210" w:lineRule="auto"/>
      </w:pPr>
      <w:hyperlink r:id="rId46">
        <w:r>
          <w:rPr>
            <w:color w:val="4472C4"/>
          </w:rPr>
          <w:t xml:space="preserve">Navigating the New Frontier: How the EU AI Act Will Impact ...</w:t>
        </w:r>
      </w:hyperlink>
      <w:r>
        <w:rPr/>
        <w:t xml:space="preserve"> - This blog explores the implications of the EU AI Act for the transport and logistics industry, highl...</w:t>
      </w:r>
    </w:p>
    <w:p>
      <w:pPr>
        <w:numPr>
          <w:ilvl w:val="0"/>
          <w:numId w:val="2"/>
        </w:numPr>
        <w:spacing w:after="210" w:lineRule="auto"/>
      </w:pPr>
      <w:hyperlink r:id="rId47">
        <w:r>
          <w:rPr>
            <w:color w:val="4472C4"/>
          </w:rPr>
          <w:t xml:space="preserve">EU AI Act August 2025: New Rules for High-Risk AI Systems</w:t>
        </w:r>
      </w:hyperlink>
      <w:r>
        <w:rPr/>
        <w:t xml:space="preserve"> - The EU AI Act's second phase brings new compliance requirements for high-risk AI systems. Learn how ...</w:t>
      </w:r>
    </w:p>
    <w:p>
      <w:pPr>
        <w:numPr>
          <w:ilvl w:val="0"/>
          <w:numId w:val="2"/>
        </w:numPr>
        <w:spacing w:after="210" w:lineRule="auto"/>
      </w:pPr>
      <w:hyperlink r:id="rId48">
        <w:r>
          <w:rPr>
            <w:color w:val="4472C4"/>
          </w:rPr>
          <w:t xml:space="preserve">EU AI Act: first regulation on artificial intelligence | Topics</w:t>
        </w:r>
      </w:hyperlink>
      <w:r>
        <w:rPr>
          <w:rFonts w:eastAsia="Georgia" w:cs="Georgia" w:ascii="Georgia" w:hAnsi="Georgia"/>
        </w:rPr>
        <w:t xml:space="preserve"> - EU AI Act compliance timeline · The ban of AI systems posing unacceptable risks started to apply on ...</w:t>
      </w:r>
    </w:p>
    <w:p>
      <w:pPr>
        <w:numPr>
          <w:ilvl w:val="0"/>
          <w:numId w:val="2"/>
        </w:numPr>
        <w:spacing w:after="210" w:lineRule="auto"/>
      </w:pPr>
      <w:hyperlink r:id="rId49">
        <w:r>
          <w:rPr>
            <w:color w:val="4472C4"/>
          </w:rPr>
          <w:t xml:space="preserve">Article 24: Obligations of Distributors</w:t>
        </w:r>
      </w:hyperlink>
    </w:p>
    <w:p>
      <w:pPr>
        <w:numPr>
          <w:ilvl w:val="0"/>
          <w:numId w:val="2"/>
        </w:numPr>
        <w:spacing w:after="210" w:lineRule="auto"/>
      </w:pPr>
      <w:hyperlink r:id="rId50">
        <w:r>
          <w:rPr>
            <w:color w:val="4472C4"/>
          </w:rPr>
          <w:t xml:space="preserve">EU AI Act 2026 Updates: Compliance Requirements and Business ...</w:t>
        </w:r>
      </w:hyperlink>
      <w:r>
        <w:rPr/>
        <w:t xml:space="preserve"> - Although the EU AI Act focuses primarily on providers and deployers of High-risk AI systems, it also...</w:t>
      </w:r>
    </w:p>
    <w:p>
      <w:pPr>
        <w:numPr>
          <w:ilvl w:val="0"/>
          <w:numId w:val="2"/>
        </w:numPr>
        <w:spacing w:after="210" w:lineRule="auto"/>
      </w:pPr>
      <w:hyperlink r:id="rId51">
        <w:r>
          <w:rPr>
            <w:color w:val="4472C4"/>
          </w:rPr>
          <w:t xml:space="preserve">How AI Can Improve Cross-Border Payments</w:t>
        </w:r>
      </w:hyperlink>
      <w:r>
        <w:rPr/>
        <w:t xml:space="preserve"> - Learn about how AI is transforming cross-border payments, solving issues and creating opportunities.</w:t>
      </w:r>
    </w:p>
    <w:p>
      <w:pPr>
        <w:numPr>
          <w:ilvl w:val="0"/>
          <w:numId w:val="2"/>
        </w:numPr>
        <w:spacing w:after="210" w:lineRule="auto"/>
      </w:pPr>
      <w:hyperlink r:id="rId52">
        <w:r>
          <w:rPr>
            <w:color w:val="4472C4"/>
          </w:rPr>
          <w:t xml:space="preserve">How AI Simplifies Cross-Border Compliance</w:t>
        </w:r>
      </w:hyperlink>
      <w:r>
        <w:rPr/>
        <w:t xml:space="preserve"> - AI transforms cross-border compliance by automating updates, detecting fraud, and simplifying report...</w:t>
      </w:r>
    </w:p>
    <w:p>
      <w:pPr>
        <w:numPr>
          <w:ilvl w:val="0"/>
          <w:numId w:val="2"/>
        </w:numPr>
        <w:spacing w:after="210" w:lineRule="auto"/>
      </w:pPr>
      <w:hyperlink r:id="rId53">
        <w:r>
          <w:rPr>
            <w:color w:val="4472C4"/>
          </w:rPr>
          <w:t xml:space="preserve">[PDF] Recommendations to Promote Alignment and Interoperability Across ...</w:t>
        </w:r>
      </w:hyperlink>
    </w:p>
    <w:p>
      <w:pPr>
        <w:numPr>
          <w:ilvl w:val="0"/>
          <w:numId w:val="2"/>
        </w:numPr>
        <w:spacing w:after="210" w:lineRule="auto"/>
      </w:pPr>
      <w:hyperlink r:id="rId54">
        <w:r>
          <w:rPr>
            <w:rFonts w:eastAsia="Georgia" w:cs="Georgia" w:ascii="Georgia" w:hAnsi="Georgia"/>
            <w:color w:val="4472C4"/>
          </w:rPr>
          <w:t xml:space="preserve">Microsoft Word - EMEHSS6180排版111-117.docx</w:t>
        </w:r>
      </w:hyperlink>
    </w:p>
    <w:p>
      <w:pPr>
        <w:numPr>
          <w:ilvl w:val="0"/>
          <w:numId w:val="2"/>
        </w:numPr>
        <w:spacing w:after="210" w:lineRule="auto"/>
      </w:pPr>
      <w:hyperlink r:id="rId55">
        <w:r>
          <w:rPr>
            <w:color w:val="4472C4"/>
          </w:rPr>
          <w:t xml:space="preserve">Agentic AI for PCI DSS &amp; PSD2: Payment Security, Uncompromised</w:t>
        </w:r>
      </w:hyperlink>
      <w:r>
        <w:rPr/>
        <w:t xml:space="preserve"> - Secure your payments with Agentic AI, the ultimate solution for PCI DSS and PSD2 compliance. Elevate...</w:t>
      </w:r>
    </w:p>
    <w:p>
      <w:pPr>
        <w:numPr>
          <w:ilvl w:val="0"/>
          <w:numId w:val="2"/>
        </w:numPr>
        <w:spacing w:after="210" w:lineRule="auto"/>
      </w:pPr>
      <w:hyperlink r:id="rId56">
        <w:r>
          <w:rPr>
            <w:color w:val="4472C4"/>
          </w:rPr>
          <w:t xml:space="preserve">Top 5 Challenges in Cross-Border Payments</w:t>
        </w:r>
      </w:hyperlink>
      <w:r>
        <w:rPr/>
        <w:t xml:space="preserve"> - Cognitive AI helps fintechs and banks cut false positives, speed payments, and meet compliance in cr...</w:t>
      </w:r>
    </w:p>
    <w:p>
      <w:pPr>
        <w:numPr>
          <w:ilvl w:val="0"/>
          <w:numId w:val="2"/>
        </w:numPr>
        <w:spacing w:after="210" w:lineRule="auto"/>
      </w:pPr>
      <w:hyperlink r:id="rId57">
        <w:r>
          <w:rPr>
            <w:color w:val="4472C4"/>
          </w:rPr>
          <w:t xml:space="preserve">EU AI Act explained: How Europe's new AI regulations will ...</w:t>
        </w:r>
      </w:hyperlink>
      <w:r>
        <w:rPr>
          <w:rFonts w:eastAsia="Georgia" w:cs="Georgia" w:ascii="Georgia" w:hAnsi="Georgia"/>
        </w:rPr>
        <w:t xml:space="preserve"> - Europe has taken the lead on AI regulation – a move that will shape the development of autonomous tr...</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ithvia.ai" TargetMode="External"/><Relationship Id="rId6" Type="http://schemas.openxmlformats.org/officeDocument/2006/relationships/hyperlink" Target="https://pulse2.com/loop-supply-chain-audit-and-payment-platform-closes-secures-35-million/" TargetMode="External"/><Relationship Id="rId7" Type="http://schemas.openxmlformats.org/officeDocument/2006/relationships/hyperlink" Target="https://www.loop.com/capabilities/freight-and-parcel-audit" TargetMode="External"/><Relationship Id="rId8" Type="http://schemas.openxmlformats.org/officeDocument/2006/relationships/hyperlink" Target="https://www.businesswire.com/news/home/20240618105168/en/Loop-and-J.P.-Morgan-Payments-to-Improve-Access-to-Working-Capital-Across-the-Supply-Chain" TargetMode="External"/><Relationship Id="rId9" Type="http://schemas.openxmlformats.org/officeDocument/2006/relationships/hyperlink" Target="https://learning.sap.com/courses/charges-and-settlement-in-sap-s-4hana-transportation-management/verifying-carrier-invoices-and-self-billing" TargetMode="External"/><Relationship Id="rId10" Type="http://schemas.openxmlformats.org/officeDocument/2006/relationships/hyperlink" Target="https://www.openenvoy.com/blog/revolutionize-freight-audit-with-openenvoy" TargetMode="External"/><Relationship Id="rId11" Type="http://schemas.openxmlformats.org/officeDocument/2006/relationships/hyperlink" Target="https://www.oracle.com/a/ocom/docs/applications/supply-chain-management/oracle-freight-payment-billing-claims-ds.pdf" TargetMode="External"/><Relationship Id="rId12" Type="http://schemas.openxmlformats.org/officeDocument/2006/relationships/hyperlink" Target="https://en.wikipedia.org/wiki/Freight_audit" TargetMode="External"/><Relationship Id="rId13" Type="http://schemas.openxmlformats.org/officeDocument/2006/relationships/hyperlink" Target="https://www.intellinum.com/2026/01/16/blog-oracle-otm-roi/" TargetMode="External"/><Relationship Id="rId14" Type="http://schemas.openxmlformats.org/officeDocument/2006/relationships/hyperlink" Target="https://gofreight.com/blog/best-tms-software" TargetMode="External"/><Relationship Id="rId15" Type="http://schemas.openxmlformats.org/officeDocument/2006/relationships/hyperlink" Target="https://www.business-news-asia.com/594-portcast-secures-6-5m-series-a-funding-led-by-susquehanna-asia-vc/" TargetMode="External"/><Relationship Id="rId16" Type="http://schemas.openxmlformats.org/officeDocument/2006/relationships/hyperlink" Target="https://www.portcast.io/blog/portcast-secures-usd-6-5-million-series-a-funding-led-by-susquehanna-asia-vc-to-automate-actions-through-supply-chain-visibility" TargetMode="External"/><Relationship Id="rId17" Type="http://schemas.openxmlformats.org/officeDocument/2006/relationships/hyperlink" Target="https://theaiinsider.tech/2023/10/05/breakthrough-transportation-logistics-startup-loop-announces-35m-series-b/" TargetMode="External"/><Relationship Id="rId18" Type="http://schemas.openxmlformats.org/officeDocument/2006/relationships/hyperlink" Target="https://www.rmwcommerce.com/fundraising/loop-raises-35m-in-series-b-funding" TargetMode="External"/><Relationship Id="rId19" Type="http://schemas.openxmlformats.org/officeDocument/2006/relationships/hyperlink" Target="https://blog.pcisecuritystandards.org/ai-principles-securing-the-use-of-ai-in-payment-environments" TargetMode="External"/><Relationship Id="rId20" Type="http://schemas.openxmlformats.org/officeDocument/2006/relationships/hyperlink" Target="https://www.sisainfosec.com/blogs/pci-dss-compliance-for-the-payments-industry/" TargetMode="External"/><Relationship Id="rId21" Type="http://schemas.openxmlformats.org/officeDocument/2006/relationships/hyperlink" Target="https://www.withvia.ai" TargetMode="External"/><Relationship Id="rId22" Type="http://schemas.openxmlformats.org/officeDocument/2006/relationships/hyperlink" Target="https://startup-seeker.com/company/withvia~ai" TargetMode="External"/><Relationship Id="rId23" Type="http://schemas.openxmlformats.org/officeDocument/2006/relationships/hyperlink" Target="http://withvia.ai" TargetMode="External"/><Relationship Id="rId24" Type="http://schemas.openxmlformats.org/officeDocument/2006/relationships/hyperlink" Target="https://www.g2.com/products/sap-transportation-management/reviews?qs=pros-and-cons" TargetMode="External"/><Relationship Id="rId25" Type="http://schemas.openxmlformats.org/officeDocument/2006/relationships/hyperlink" Target="https://www.prnewswire.com/news-releases/openenvoy-announces-6-5m-oversubscribed-seed-round-led-by-riot-ventures-to-capture-the-500b-financial-audit-market-opportunity-301267512.html" TargetMode="External"/><Relationship Id="rId26" Type="http://schemas.openxmlformats.org/officeDocument/2006/relationships/hyperlink" Target="https://www.openenvoy.com/blog/unraveling-the-complexity-understanding-freight-audit-challenges" TargetMode="External"/><Relationship Id="rId27" Type="http://schemas.openxmlformats.org/officeDocument/2006/relationships/hyperlink" Target="https://ffnews.com/newsarticle/openenvoy-raises-15-million-in-series-a-funding-for-ai-driven-accounts-payable-automation/" TargetMode="External"/><Relationship Id="rId28" Type="http://schemas.openxmlformats.org/officeDocument/2006/relationships/hyperlink" Target="https://www.portcast.io/blog/portcast-joins-google-ai-first-startups-program-driving-the-next-phase-in-ai-powered-freight-audit-2" TargetMode="External"/><Relationship Id="rId29" Type="http://schemas.openxmlformats.org/officeDocument/2006/relationships/hyperlink" Target="https://www.oracle.com/scm/logistics/transportation-management/" TargetMode="External"/><Relationship Id="rId30" Type="http://schemas.openxmlformats.org/officeDocument/2006/relationships/hyperlink" Target="https://ardem.com/bpo/freight-audit-payment-agentic-ai-for-rate-and-invoice-errors/" TargetMode="External"/><Relationship Id="rId31" Type="http://schemas.openxmlformats.org/officeDocument/2006/relationships/hyperlink" Target="https://ardem.com/bpo/freight-billing-agentic-ai-for-ftl-billing-automation/" TargetMode="External"/><Relationship Id="rId32" Type="http://schemas.openxmlformats.org/officeDocument/2006/relationships/hyperlink" Target="https://ardem.com/bpo/freight-bill-automation-agentic-ai-for-accuracy-and-speed/" TargetMode="External"/><Relationship Id="rId33" Type="http://schemas.openxmlformats.org/officeDocument/2006/relationships/hyperlink" Target="https://ctglobal-freightaudit.com/sap-freight-audit/" TargetMode="External"/><Relationship Id="rId34" Type="http://schemas.openxmlformats.org/officeDocument/2006/relationships/hyperlink" Target="https://www.theseus.fi/bitstream/10024/881202/3/Piittala_Ida.pdf" TargetMode="External"/><Relationship Id="rId35" Type="http://schemas.openxmlformats.org/officeDocument/2006/relationships/hyperlink" Target="https://www.g2.com/products/sap-transportation-management/reviews" TargetMode="External"/><Relationship Id="rId36" Type="http://schemas.openxmlformats.org/officeDocument/2006/relationships/hyperlink" Target="https://www.oracle.com/a/ocom/docs/applications/supply-chain-management/oracle-transportation-management-cloud-ds.pdf" TargetMode="External"/><Relationship Id="rId37" Type="http://schemas.openxmlformats.org/officeDocument/2006/relationships/hyperlink" Target="https://www.oracle.com/si/a/ocom/docs/applications/supply-chain-management/oracle-freight-payment-billing-claims-ds.pdf" TargetMode="External"/><Relationship Id="rId38" Type="http://schemas.openxmlformats.org/officeDocument/2006/relationships/hyperlink" Target="http://www.inspirage.com/downloads/oracle/Oracle-Freight-Payment-Billings-Claims.pdf" TargetMode="External"/><Relationship Id="rId39" Type="http://schemas.openxmlformats.org/officeDocument/2006/relationships/hyperlink" Target="https://www.fujitsu.com/us/Images/TTI-Floor-Care-Oracle-casestudy.pdf" TargetMode="External"/><Relationship Id="rId40" Type="http://schemas.openxmlformats.org/officeDocument/2006/relationships/hyperlink" Target="https://www.omniful.ai/blog/tms-freight-audit-payment" TargetMode="External"/><Relationship Id="rId41" Type="http://schemas.openxmlformats.org/officeDocument/2006/relationships/hyperlink" Target="https://www.cassinfo.com/freight/the-six-best-practices-in-freight-audit-and-payment" TargetMode="External"/><Relationship Id="rId42" Type="http://schemas.openxmlformats.org/officeDocument/2006/relationships/hyperlink" Target="https://www.g2.com/products/oracle-transportation-management-cloud/reviews?page=3" TargetMode="External"/><Relationship Id="rId43" Type="http://schemas.openxmlformats.org/officeDocument/2006/relationships/hyperlink" Target="https://support.oracle.com/knowledge/Oracle%20Cloud/2444606_1.html" TargetMode="External"/><Relationship Id="rId44" Type="http://schemas.openxmlformats.org/officeDocument/2006/relationships/hyperlink" Target="https://insights.techmahindra.com/assets/oracle-case_study-ud-trucks-oracle-casestudy.pdf" TargetMode="External"/><Relationship Id="rId45" Type="http://schemas.openxmlformats.org/officeDocument/2006/relationships/hyperlink" Target="https://www.freightamigo.com/en/blog/logistics-news/freightamigo-pioneering-compliant-ai-solutions-in-logistics-amidst-new-eu-regulations/" TargetMode="External"/><Relationship Id="rId46" Type="http://schemas.openxmlformats.org/officeDocument/2006/relationships/hyperlink" Target="https://babl.ai/navigating-the-new-frontier-how-the-eu-ai-act-will-impact-the-transport-and-logistics-industry/" TargetMode="External"/><Relationship Id="rId47" Type="http://schemas.openxmlformats.org/officeDocument/2006/relationships/hyperlink" Target="https://factlines.com/blog/eu-ai-act-august-2025-new-rules-for-high-risk-ai-systems" TargetMode="External"/><Relationship Id="rId48" Type="http://schemas.openxmlformats.org/officeDocument/2006/relationships/hyperlink" Target="https://www.europarl.europa.eu/topics/en/article/20230601STO93804/eu-ai-act-first-regulation-on-artificial-intelligence" TargetMode="External"/><Relationship Id="rId49" Type="http://schemas.openxmlformats.org/officeDocument/2006/relationships/hyperlink" Target="https://artificialintelligenceact.eu/article/24/" TargetMode="External"/><Relationship Id="rId50" Type="http://schemas.openxmlformats.org/officeDocument/2006/relationships/hyperlink" Target="https://www.legalnodes.com/article/eu-ai-act-2026-updates-compliance-requirements-and-business-risks" TargetMode="External"/><Relationship Id="rId51" Type="http://schemas.openxmlformats.org/officeDocument/2006/relationships/hyperlink" Target="https://www.rapyd.net/blog/ai-in-cross-border-payments/" TargetMode="External"/><Relationship Id="rId52" Type="http://schemas.openxmlformats.org/officeDocument/2006/relationships/hyperlink" Target="https://www.lucid.now/blog/how-ai-simplifies-cross-border-compliance/" TargetMode="External"/><Relationship Id="rId53" Type="http://schemas.openxmlformats.org/officeDocument/2006/relationships/hyperlink" Target="https://www.fsb.org/uploads/P121224-3.pdf" TargetMode="External"/><Relationship Id="rId54" Type="http://schemas.openxmlformats.org/officeDocument/2006/relationships/hyperlink" Target="https://pdfs.semanticscholar.org/dbc1/a1c723603064c6789b27440de20365f2f81e.pdf" TargetMode="External"/><Relationship Id="rId55" Type="http://schemas.openxmlformats.org/officeDocument/2006/relationships/hyperlink" Target="https://www.fluxforce.ai/blog/agentic-ai-for-pci-dss-psd2" TargetMode="External"/><Relationship Id="rId56" Type="http://schemas.openxmlformats.org/officeDocument/2006/relationships/hyperlink" Target="https://thetaray.com/top-5-challenges-in-cross-border-payments-and-how-cognitive-ai-can-solve-them/" TargetMode="External"/><Relationship Id="rId57" Type="http://schemas.openxmlformats.org/officeDocument/2006/relationships/hyperlink" Target="https://www.volvoautonomoussolutions.com/en-en/news-and-insights/stories/2025/nov/eu-ai-act-explained-how-europe-s-new-ai-regulations-will-affect-autonomous-transport.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2026-03-01T06:36:54.164Z</dcterms:created>
  <dcterms:modified xsi:type="dcterms:W3CDTF">2026-03-01T06:36:54.164Z</dcterms:modified>
</cp:coreProperties>
</file>