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УДК 004.414.23 + 621.865.8</w:t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ФОРМАЛЬНАЯ ВЕРИФИКАЦИЯ КООРДИНАЦИИ ПОХОДКИ</w:t>
        <w:br/>
        <w:t>ШЕСТИНОГОГО РОБОТА МЕТОДОМ СЕТЕЙ ПЕТРИ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В.П. Романов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/>
          <w:sz w:val="24"/>
        </w:rPr>
        <w:t>romanov.vp@student.bmstu.ru</w:t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/>
          <w:sz w:val="24"/>
        </w:rPr>
        <w:t>МГТУ им. Н.Э. Баумана, Москва, Российская Федерация</w:t>
      </w:r>
    </w:p>
    <w:p>
      <w:pPr>
        <w:spacing w:after="12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 xml:space="preserve">Аннотация. </w:t>
      </w: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Рассматривается задача формальной верификации алгоритма триподной походки шестиногого шагающего робота (гексапода) с использованием аппарата сетей Петри. Шесть ног робота разделены на две группы по три ноги, поочерёдно выполняющие фазы переноса и опоры. Построена сеть Петри, моделирующая координацию групп ног с ограничением статической устойчивости: в каждый момент времени не менее трёх ног должны находиться в контакте с поверхностью. Методом S-инвариантов формально доказаны взаимное исключение фаз переноса (одновременный отрыв обеих групп невозможен) и отсутствие тупиковых ситуаций. Выполнен темпоральный анализ с детерминированными задержками: определены время цикла походки, максимальная скорость перемещения и узкое место. Показано, что применение сервоприводов с уменьшенным временем переноса на 25 % сокращает период походки на 17 % и увеличивает скорость робота со 200 до 240 мм/с.</w:t>
      </w:r>
    </w:p>
    <w:p>
      <w:pPr>
        <w:spacing w:after="24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 xml:space="preserve">Ключевые слова: </w:t>
      </w: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сети Петри, шагающий робот, гексапод, триподная походка, формальная верификация, S-инварианты, координация походки, статическая устойчивость, темпоральный анализ, взаимное исключение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1. Введение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Шестиногие шагающие роботы (гексаподы) обладают высокой проходимостью и статической устойчивостью, что делает их перспективными для работы в неструктурированных средах: пересечённая местность, аварийные здания, трубопроводы [1]. Ключевой задачей при разработке гексапода является координация шести ног — алгоритм походки, который определяет, какие ноги в какой момент отрываются от поверхности и переносятся вперёд.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Наиболее распространённая походка гексапода — триподная (tripod gait): шесть ног разделены на две группы по три (1-3-5 и 2-4-6), которые поочерёдно выполняют фазы переноса и опоры [2]. Триподная походка обеспечивает максимальную скорость при гарантированной статической устойчивости: три опорные ноги всегда образуют треугольник, внутри которого находится проекция центра масс робота.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Однако при программной реализации координация шести параллельно работающих приводов порождает класс ошибок, характерных для параллельных систем. Гонка состояний (race condition) может привести к одновременному отрыву обеих групп ног, что вызовет потерю устойчивости и падение робота. Тупиковая ситуация (deadlock) может заблокировать движение, если обе группы бесконечно ожидают друг друга [3]. Такие ошибки сложно обнаружить тестированием, поскольку они возникают лишь при определённых временны́х соотношениях между процессами.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Конечные автоматы (FSM), традиционно используемые для описания логики управления, плохо приспособлены к моделированию параллелизма: два процесса с N и M состояниями порождают N × M комбинаций. Для шести ног даже при двух состояниях на ногу (опора/перенос) это 2⁶ = 64 состояния, а при более детальном описании — сотни и тысячи [4].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Сети Петри, предложенные К.А. Петри в 1962 г. [5], позволяют моделировать параллельные процессы без комбинаторного взрыва. Математический аппарат сетей Петри (матричное представление, S-инварианты, дерево достижимости) даёт возможность формально доказывать свойства системы: отсутствие тупиков, ограниченность, взаимное исключение [6].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Целью настоящей работы является построение формальной модели координации триподной походки гексапода, доказательство корректности алгоритма (устойчивость и отсутствие тупиков) методом S-инвариантов, а также темпоральный анализ для определения предельной скорости перемещения.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2. Теоретические основы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2.1. Определение сети Петри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Сеть Петри определяется как четвёрка [5, 6]:</w:t>
      </w:r>
    </w:p>
    <w:p>
      <w:pPr>
        <w:ind w:firstLine="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PN=(P, T, F, M₀)</m:t>
          </m:r>
        </m:oMath>
      </m:oMathPara>
      <w:r>
        <w:rPr>
          <w:rFonts w:ascii="Times New Roman" w:hAnsi="Times New Roman" w:cs="Times New Roman" w:eastAsia="Times New Roman"/>
          <w:rFonts w:ascii="Times New Roman" w:hAnsi="Times New Roman"/>
          <w:sz w:val="24"/>
        </w:rPr>
        <w:tab/>
        <w:t>(1)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где P = {p₁, p₂, …, pₘ} — конечное множество позиций (мест), моделирующих условия или состояния; T = {t₁, t₂, …, tₙ} — конечное множество переходов, моделирующих события; F ⊆ (P × T) ∪ (T × P) — множество направленных дуг; M₀: P → ℕ — начальная маркировка, определяющая распределение токенов по позициям.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2.2. Правило срабатывания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Переход t ∈ T разрешён при маркировке M, если каждая входная позиция содержит не менее одного токена: ∀p ∈ •t: M(p) ≥ 1. При срабатывании перехода маркировка обновляется [6]:</w:t>
      </w:r>
    </w:p>
    <w:p>
      <w:pPr>
        <w:ind w:firstLine="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M'(p) = M(p) − W(p, t) + W(t, p)</m:t>
          </m:r>
        </m:oMath>
      </m:oMathPara>
      <w:r>
        <w:rPr>
          <w:rFonts w:ascii="Times New Roman" w:hAnsi="Times New Roman" w:cs="Times New Roman" w:eastAsia="Times New Roman"/>
          <w:rFonts w:ascii="Times New Roman" w:hAnsi="Times New Roman"/>
          <w:sz w:val="24"/>
        </w:rPr>
        <w:tab/>
        <w:t>(2)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где W(p, t) — вес дуги из позиции в переход, W(t, p) — вес дуги из перехода в позицию.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2.3. Матричное представление и S-инварианты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Матрица инцидентности C размером |P| × |T| определяется как разность матриц выходных и входных дуг [6]:</w:t>
      </w:r>
    </w:p>
    <w:p>
      <w:pPr>
        <w:ind w:firstLine="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C = C⁺ − C⁻</m:t>
          </m:r>
        </m:oMath>
      </m:oMathPara>
      <w:r>
        <w:rPr>
          <w:rFonts w:ascii="Times New Roman" w:hAnsi="Times New Roman" w:cs="Times New Roman" w:eastAsia="Times New Roman"/>
          <w:rFonts w:ascii="Times New Roman" w:hAnsi="Times New Roman"/>
          <w:sz w:val="24"/>
        </w:rPr>
        <w:tab/>
        <w:t>(3)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Уравнение состояния сети связывает начальную и текущую маркировки через вектор срабатываний σ:</w:t>
      </w:r>
    </w:p>
    <w:p>
      <w:pPr>
        <w:ind w:firstLine="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M = M₀ + C · σ</m:t>
          </m:r>
        </m:oMath>
      </m:oMathPara>
      <w:r>
        <w:rPr>
          <w:rFonts w:ascii="Times New Roman" w:hAnsi="Times New Roman" w:cs="Times New Roman" w:eastAsia="Times New Roman"/>
          <w:rFonts w:ascii="Times New Roman" w:hAnsi="Times New Roman"/>
          <w:sz w:val="24"/>
        </w:rPr>
        <w:tab/>
        <w:t>(4)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Вектор x ∈ ℤᵐ называется S-инвариантом, если xᵀ · C = 0. Для любой достижимой маркировки M справедливо [7]:</w:t>
      </w:r>
    </w:p>
    <w:p>
      <w:pPr>
        <w:ind w:firstLine="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xᵀ · M = xᵀ · M₀ = const</m:t>
          </m:r>
        </m:oMath>
      </m:oMathPara>
      <w:r>
        <w:rPr>
          <w:rFonts w:ascii="Times New Roman" w:hAnsi="Times New Roman" w:cs="Times New Roman" w:eastAsia="Times New Roman"/>
          <w:rFonts w:ascii="Times New Roman" w:hAnsi="Times New Roman"/>
          <w:sz w:val="24"/>
        </w:rPr>
        <w:tab/>
        <w:t>(5)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S-инварианты позволяют доказывать свойства системы без перебора всех достижимых маркировок, что критически важно для систем с большим пространством состояний.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2.4. Темпоральные расширения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Темпоральная сеть Петри дополняет классическую модель функцией задержки D: T → ℝ⁺, сопоставляющей каждому переходу время срабатывания [8]. После разрешения перехода входные токены резервируются на время d(t), по истечении которого переход срабатывает. Это позволяет моделировать длительность физических операций и анализировать производительность.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3. Модель координации триподной походки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3.1. Описание объекта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Рассматривается шестиногий шагающий робот (гексапод) с шестью идентичными ногами, расположенными симметрично по три с каждой стороны корпуса. Каждая нога оснащена тремя сервоприводами (тазобедренный, коленный, голеностопный) и может находиться в одном из двух режимов: опора (stance) — нога в контакте с поверхностью и несёт нагрузку, или перенос (swing) — нога поднята и перемещается вперёд.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При триподной походке ноги разделены на две группы: группа A (ноги 1, 3, 5) и группа B (ноги 2, 4, 6). Группы работают в противофазе: пока одна группа переносится, другая опирается. Критическое ограничение: в любой момент времени не менее трёх ног должны быть в контакте с поверхностью для обеспечения статической устойчивости [2].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3.2. Структура сети Петри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Каждая группа ног проходит три фазы в цикле: ожидание (готовность к переносу), перенос (ноги в воздухе), приземление (установка контакта с поверхностью). Координация обеспечивается токеном-мьютексом, моделирующим ограничение устойчивости.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Позиции модели: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— p₁ («Готовность A») — группа A в опоре, готова к переносу;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— p₂ («Перенос A») — группа A в воздухе, ноги перемещаются;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— p₃ («Приземление A») — группа A устанавливает контакт;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— p₄ («Готовность B») — группа B в опоре, готова к переносу;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— p₅ («Перенос B») — группа B в воздухе;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— p₆ («Приземление B») — группа B устанавливает контакт;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— p₇ («Устойчивость») — мьютекс, гарантирующий, что не более одной группы находится в переносе одновременно.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Переходы модели: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— t₁ («Отрыв A»): p₁ + p₇ → p₂ — группа A начинает перенос, захватывая токен устойчивости;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— t₂ («Перенос A завершён»): p₂ → p₃ — ноги группы A достигли целевых позиций;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— t₃ («Контакт A»): p₃ → p₁ + p₇ — группа A установила контакт, токен устойчивости освобождён;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— t₄ («Отрыв B»): p₄ + p₇ → p₅;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— t₅ («Перенос B завершён»): p₅ → p₆;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— t₆ («Контакт B»): p₆ → p₄ + p₇.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Начальная маркировка: M₀ = (1, 0, 0, 1, 0, 0, 1). Один токен в p₁ (группа A готова), один в p₄ (группа B готова), один в p₇ (устойчивость обеспечена). Из начального состояния разрешены переходы t₁ и t₄, но при срабатывании одного из них токен p₇ изымается, и второй переход блокируется до его возврата.</w:t>
      </w:r>
    </w:p>
    <w:p>
      <w:pPr>
        <w:spacing w:after="120" w:before="120"/>
        <w:ind w:firstLine="0"/>
        <w:jc w:val="center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/>
          <w:sz w:val="24"/>
        </w:rPr>
        <w:t>[Рис. 1. Сеть Петри координации триподной походки гексапода]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4. Структурный анализ модели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4.1. Матрица инцидентности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Матрица инцидентности C размером 7 × 6 построена по формуле (3). Строки соответствуют позициям p₁—p₇, столбцы — переходам t₁—t₆.</w:t>
      </w:r>
    </w:p>
    <w:p>
      <w:pPr>
        <w:spacing w:after="80" w:before="120"/>
        <w:ind w:firstLine="0"/>
        <w:jc w:val="center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/>
          <w:sz w:val="24"/>
        </w:rPr>
        <w:t>Табл. 1. Матрица инцидентности 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0"/>
              </w:rPr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0"/>
              </w:rPr>
              <w:t>t₁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0"/>
              </w:rPr>
              <w:t>t₂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0"/>
              </w:rPr>
              <w:t>t₃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0"/>
              </w:rPr>
              <w:t>t₄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0"/>
              </w:rPr>
              <w:t>t₅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0"/>
              </w:rPr>
              <w:t>t₆</w:t>
            </w:r>
          </w:p>
        </w:tc>
      </w:tr>
      <w:tr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p₁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−1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p₂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−1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p₃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−1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p₄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−1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1</w:t>
            </w:r>
          </w:p>
        </w:tc>
      </w:tr>
      <w:tr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p₅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−1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p₆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−1</w:t>
            </w:r>
          </w:p>
        </w:tc>
      </w:tr>
      <w:tr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p₇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−1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−1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417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1</w:t>
            </w:r>
          </w:p>
        </w:tc>
      </w:tr>
    </w:tbl>
    <w:p>
      <w:pPr>
        <w:spacing w:after="12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4.2. Вычисление S-инвариантов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Решая однородную систему xᵀ · C = 0 методом Гаусса, получаем три линейно независимых S-инварианта:</w:t>
      </w:r>
    </w:p>
    <w:p>
      <w:pPr>
        <w:ind w:firstLine="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x₁ = (1, 1, 1, 0, 0, 0, 0)ᵀ</m:t>
          </m:r>
        </m:oMath>
      </m:oMathPara>
      <w:r>
        <w:rPr>
          <w:rFonts w:ascii="Times New Roman" w:hAnsi="Times New Roman" w:cs="Times New Roman" w:eastAsia="Times New Roman"/>
          <w:rFonts w:ascii="Times New Roman" w:hAnsi="Times New Roman"/>
          <w:sz w:val="24"/>
        </w:rPr>
        <w:tab/>
        <w:t>(6)</w:t>
      </w:r>
    </w:p>
    <w:p>
      <w:pPr>
        <w:ind w:firstLine="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x₂ = (0, 0, 0, 1, 1, 1, 0)ᵀ</m:t>
          </m:r>
        </m:oMath>
      </m:oMathPara>
      <w:r>
        <w:rPr>
          <w:rFonts w:ascii="Times New Roman" w:hAnsi="Times New Roman" w:cs="Times New Roman" w:eastAsia="Times New Roman"/>
          <w:rFonts w:ascii="Times New Roman" w:hAnsi="Times New Roman"/>
          <w:sz w:val="24"/>
        </w:rPr>
        <w:tab/>
        <w:t>(7)</w:t>
      </w:r>
    </w:p>
    <w:p>
      <w:pPr>
        <w:ind w:firstLine="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x₃ = (0, 1, 1, 0, 1, 1, 1)ᵀ</m:t>
          </m:r>
        </m:oMath>
      </m:oMathPara>
      <w:r>
        <w:rPr>
          <w:rFonts w:ascii="Times New Roman" w:hAnsi="Times New Roman" w:cs="Times New Roman" w:eastAsia="Times New Roman"/>
          <w:rFonts w:ascii="Times New Roman" w:hAnsi="Times New Roman"/>
          <w:sz w:val="24"/>
        </w:rPr>
        <w:tab/>
        <w:t>(8)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Множество позиций, охваченных инвариантами, покрывает все позиции сети (объединение носителей x₁, x₂, x₃ равно P). Это означает, что сеть является консервативной — ни один токен не создаётся и не уничтожается [6].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4.3. Интерпретация инвариантов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Инвариант x₁ охватывает позиции группы A (p₁, p₂, p₃). Применяя формулу (5):</w:t>
      </w:r>
    </w:p>
    <w:p>
      <w:pPr>
        <w:ind w:firstLine="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M(p₁) + M(p₂) + M(p₃) = 1</m:t>
          </m:r>
        </m:oMath>
      </m:oMathPara>
      <w:r>
        <w:rPr>
          <w:rFonts w:ascii="Times New Roman" w:hAnsi="Times New Roman" w:cs="Times New Roman" w:eastAsia="Times New Roman"/>
          <w:rFonts w:ascii="Times New Roman" w:hAnsi="Times New Roman"/>
          <w:sz w:val="24"/>
        </w:rPr>
        <w:tab/>
        <w:t>(9)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Это означает, что группа A всегда находится ровно в одной из трёх фаз — процесс не может «раздвоиться» (появление лишнего токена) или «исчезнуть» (потеря управления). Аналогичное свойство гарантирует инвариант x₂ для группы B:</w:t>
      </w:r>
    </w:p>
    <w:p>
      <w:pPr>
        <w:ind w:firstLine="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M(p₄) + M(p₅) + M(p₆) = 1</m:t>
          </m:r>
        </m:oMath>
      </m:oMathPara>
      <w:r>
        <w:rPr>
          <w:rFonts w:ascii="Times New Roman" w:hAnsi="Times New Roman" w:cs="Times New Roman" w:eastAsia="Times New Roman"/>
          <w:rFonts w:ascii="Times New Roman" w:hAnsi="Times New Roman"/>
          <w:sz w:val="24"/>
        </w:rPr>
        <w:tab/>
        <w:t>(10)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4.4. Доказательство статической устойчивости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Инвариант x₃ — центральный результат анализа. Он связывает позиции переноса обеих групп (p₂, p₃, p₅, p₆) и мьютекс устойчивости (p₇):</w:t>
      </w:r>
    </w:p>
    <w:p>
      <w:pPr>
        <w:ind w:firstLine="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M(p₂) + M(p₃) + M(p₅) + M(p₆) + M(p₇) = 1</m:t>
          </m:r>
        </m:oMath>
      </m:oMathPara>
      <w:r>
        <w:rPr>
          <w:rFonts w:ascii="Times New Roman" w:hAnsi="Times New Roman" w:cs="Times New Roman" w:eastAsia="Times New Roman"/>
          <w:rFonts w:ascii="Times New Roman" w:hAnsi="Times New Roman"/>
          <w:sz w:val="24"/>
        </w:rPr>
        <w:tab/>
        <w:t>(11)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Поскольку маркировка неотрицательна, из (11) следует:</w:t>
      </w:r>
    </w:p>
    <w:p>
      <w:pPr>
        <w:ind w:firstLine="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M(p₂) + M(p₅) ≤ 1</m:t>
          </m:r>
        </m:oMath>
      </m:oMathPara>
      <w:r>
        <w:rPr>
          <w:rFonts w:ascii="Times New Roman" w:hAnsi="Times New Roman" w:cs="Times New Roman" w:eastAsia="Times New Roman"/>
          <w:rFonts w:ascii="Times New Roman" w:hAnsi="Times New Roman"/>
          <w:sz w:val="24"/>
        </w:rPr>
        <w:tab/>
        <w:t>(12)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Неравенство (12) формально доказывает взаимное исключение: невозможна ситуация, при которой обе группы ног одновременно находятся в фазе переноса (M(p₂) = 1 и M(p₅) = 1). В физическом смысле это означает, что в каждый момент времени не менее трёх ног остаются в контакте с поверхностью, что гарантирует статическую устойчивость робота.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Данное доказательство получено без перебора достижимых маркировок — оно следует из структуры сети и справедливо для любой последовательности срабатываний. Это преимущество метода инвариантов перед анализом дерева достижимости [7].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4.5. Отсутствие тупиковых ситуаций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Покажем, что сеть является живой (live). Из произвольной достижимой маркировки рассмотрим возможные случаи: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1) Токен в p₁, токен в p₄, токен в p₇ — разрешены t₁ и t₄. Конфликт разрешается недетерминированно, но не приводит к блокировке.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2) Токен в p₂ (группа A переносится) — разрешён t₂. После срабатывания t₂ токен перейдёт в p₃, далее разрешён t₃, который вернёт токен в p₁ и p₇.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3) Токен в p₃ — разрешён t₃. Срабатывание возвращает систему в состояние, откуда возможен новый цикл.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Симметричные рассуждения справедливы для группы B. Поскольку каждый цикл (t₁→t₂→t₃ или t₄→t₅→t₆) гарантированно завершается и возвращает токен мьютекса, тупиковая ситуация невозможна. Сеть является живой и 1-ограниченной (безопасной).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4.6. Пошаговая трассировка маркировок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Для наглядности приведём первые шаги выполнения сети, начиная с M₀ = (1, 0, 0, 1, 0, 0, 1).</w:t>
      </w:r>
    </w:p>
    <w:p>
      <w:pPr>
        <w:spacing w:after="80" w:before="120"/>
        <w:ind w:firstLine="0"/>
        <w:jc w:val="center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/>
          <w:sz w:val="24"/>
        </w:rPr>
        <w:t>Табл. 2. Трассировка маркировок при последовательном срабатывании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2"/>
        <w:gridCol w:w="992"/>
        <w:gridCol w:w="992"/>
        <w:gridCol w:w="992"/>
        <w:gridCol w:w="992"/>
        <w:gridCol w:w="992"/>
        <w:gridCol w:w="992"/>
        <w:gridCol w:w="992"/>
        <w:gridCol w:w="992"/>
        <w:gridCol w:w="992"/>
      </w:tblGrid>
      <w:tr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0"/>
              </w:rPr>
              <w:t>Шаг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0"/>
              </w:rPr>
              <w:t>Переход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0"/>
              </w:rPr>
              <w:t>p₁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0"/>
              </w:rPr>
              <w:t>p₂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0"/>
              </w:rPr>
              <w:t>p₃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0"/>
              </w:rPr>
              <w:t>p₄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0"/>
              </w:rPr>
              <w:t>p₅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0"/>
              </w:rPr>
              <w:t>p₆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0"/>
              </w:rPr>
              <w:t>p₇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0"/>
              </w:rPr>
              <w:t>Комментарий</w:t>
            </w:r>
          </w:p>
        </w:tc>
      </w:tr>
      <w:tr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Начальное состояние</w:t>
            </w:r>
          </w:p>
        </w:tc>
      </w:tr>
      <w:tr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t₁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Группа A оторвалась</w:t>
            </w:r>
          </w:p>
        </w:tc>
      </w:tr>
      <w:tr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t₂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A перенесена</w:t>
            </w:r>
          </w:p>
        </w:tc>
      </w:tr>
      <w:tr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t₃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A приземлилась</w:t>
            </w:r>
          </w:p>
        </w:tc>
      </w:tr>
      <w:tr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t₄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Группа B оторвалась</w:t>
            </w:r>
          </w:p>
        </w:tc>
      </w:tr>
      <w:tr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t₅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B перенесена</w:t>
            </w:r>
          </w:p>
        </w:tc>
      </w:tr>
      <w:tr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t₆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992"/>
          </w:tcPr>
          <w:p>
            <w:pPr>
              <w:spacing w:after="0" w:before="0"/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sz w:val="20"/>
              </w:rPr>
              <w:t>B приземлилась = M₀</w:t>
            </w:r>
          </w:p>
        </w:tc>
      </w:tr>
    </w:tbl>
    <w:p>
      <w:pPr>
        <w:spacing w:after="8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Из таблицы видно, что после шага 6 система возвращается в начальную маркировку M₀ — цикл замкнулся. На протяжении всей трассировки M(p₂) + M(p₅) ≤ 1, что подтверждает аналитическое доказательство (12).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5. Темпоральный анализ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5.1. Назначение задержек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Для количественной оценки производительности системы присвоим переходам детерминированные задержки, соответствующие реальным временам фаз походки гексапода массой 2 кг с сервоприводами класса 25 кг·см [8]: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— d(t₁) = 50 мс (отрыв группы A: подъём трёх ног);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— d(t₂) = 200 мс (перенос: перемещение ног вперёд на 60 мм);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— d(t₃) = 50 мс (приземление: установка контакта, стабилизация);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— d(t₄) = 50 мс (отрыв группы B);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— d(t₅) = 200 мс (перенос B);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— d(t₆) = 50 мс (приземление B).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5.2. Время цикла и скорость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Полный цикл группы A: d(t₁) + d(t₂) + d(t₃) = 50 + 200 + 50 = 300 мс. Аналогично для группы B: 300 мс. Поскольку группы работают последовательно (мьютекс запрещает параллельный перенос), полный период походки:</w:t>
      </w:r>
    </w:p>
    <w:p>
      <w:pPr>
        <w:ind w:firstLine="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T = T_A + T_B = 300 + 300 = 600 мс</m:t>
          </m:r>
        </m:oMath>
      </m:oMathPara>
      <w:r>
        <w:rPr>
          <w:rFonts w:ascii="Times New Roman" w:hAnsi="Times New Roman" w:cs="Times New Roman" w:eastAsia="Times New Roman"/>
          <w:rFonts w:ascii="Times New Roman" w:hAnsi="Times New Roman"/>
          <w:sz w:val="24"/>
        </w:rPr>
        <w:tab/>
        <w:t>(13)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За один период робот совершает два шага (по одному на группу), каждый длиной l = 60 мм. Скорость перемещения:</w:t>
      </w:r>
    </w:p>
    <w:p>
      <w:pPr>
        <w:ind w:firstLine="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V = 2l / T = 2 × 60 / 600 = 200 мм/с</m:t>
          </m:r>
        </m:oMath>
      </m:oMathPara>
      <w:r>
        <w:rPr>
          <w:rFonts w:ascii="Times New Roman" w:hAnsi="Times New Roman" w:cs="Times New Roman" w:eastAsia="Times New Roman"/>
          <w:rFonts w:ascii="Times New Roman" w:hAnsi="Times New Roman"/>
          <w:sz w:val="24"/>
        </w:rPr>
        <w:tab/>
        <w:t>(14)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Это согласуется с типичными значениями для гексаподов данного класса: 150—300 мм/с при триподной походке [9].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5.3. Узкое место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Фаза переноса (t₂ и t₅) занимает 200 мс из 300 мс полуцикла — 67 % времени. Фазы отрыва и приземления (по 50 мс каждая) суммарно составляют 100 мс. Таким образом, узким местом является именно перенос ног — скорость работы сервоприводов при перемещении ног на заданное расстояние.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Это соответствует инженерной интуиции: для увеличения скорости походки в первую очередь следует сокращать время переноса (более быстрые сервоприводы или меньшая амплитуда шага), а не время отрыва и приземления.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5.4. Оценка эффекта модернизации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Рассмотрим замену сервоприводов на более быстрые, сокращающие время переноса на 25 %: d(t₂) = d(t₅) = 150 мс вместо 200 мс. Новый период походки:</w:t>
      </w:r>
    </w:p>
    <w:p>
      <w:pPr>
        <w:ind w:firstLine="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T' = 2 × (50 + 150 + 50) = 500 мс</m:t>
          </m:r>
        </m:oMath>
      </m:oMathPara>
      <w:r>
        <w:rPr>
          <w:rFonts w:ascii="Times New Roman" w:hAnsi="Times New Roman" w:cs="Times New Roman" w:eastAsia="Times New Roman"/>
          <w:rFonts w:ascii="Times New Roman" w:hAnsi="Times New Roman"/>
          <w:sz w:val="24"/>
        </w:rPr>
        <w:tab/>
        <w:t>(15)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Новая скорость:</w:t>
      </w:r>
    </w:p>
    <w:p>
      <w:pPr>
        <w:ind w:firstLine="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V' = 2 × 60 / 500 = 240 мм/с</m:t>
          </m:r>
        </m:oMath>
      </m:oMathPara>
      <w:r>
        <w:rPr>
          <w:rFonts w:ascii="Times New Roman" w:hAnsi="Times New Roman" w:cs="Times New Roman" w:eastAsia="Times New Roman"/>
          <w:rFonts w:ascii="Times New Roman" w:hAnsi="Times New Roman"/>
          <w:sz w:val="24"/>
        </w:rPr>
        <w:tab/>
        <w:t>(16)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Ускорение составляет 240/200 = 1,2, то есть прирост скорости на 20 %. При этом затрачено на 25 % меньше времени на перенос, но итоговое ускорение — лишь 20 %, поскольку фиксированные фазы отрыва и приземления «разбавляют» эффект. Подобные количественные оценки позволяют обоснованно выбирать компоненты на этапе проектирования, не прибегая к физическому прототипированию.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6. Заключение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В работе построена формальная модель координации триподной походки шестиногого робота на основе аппарата сетей Петри. Модель включает семь позиций и шесть переходов, описывающих чередование фаз переноса и опоры двух групп ног с ограничением статической устойчивости.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Основные результаты: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1) Методом S-инвариантов формально доказано свойство взаимного исключения: обе группы ног не могут одновременно находиться в фазе переноса (неравенство 12), что гарантирует статическую устойчивость робота — не менее трёх ног в контакте с поверхностью в любой момент времени.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2) Показана живость и 1-ограниченность сети, что исключает тупиковые ситуации и гарантирует корректную работу алгоритма при любой последовательности событий.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3) Темпоральный анализ позволил определить период триподной походки (600 мс), скорость перемещения (200 мм/с) и узкое место (фаза переноса — 67 % времени цикла). Оценка модернизации показала, что замена сервоприводов с сокращением времени переноса на 25 % даёт прирост скорости на 20 %.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Предложенный подход может быть расширен на другие типы походок (волновая, рысь) путём изменения структуры сети и перераспределения токенов мьютекса. Направлением дальнейшей работы является применение стохастических сетей Петри для учёта вариативности времени срабатывания сервоприводов и неровностей поверхности [10].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Список литературы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1. Siciliano B., Khatib O. (eds.) Springer Handbook of Robotics. — 2nd ed. — Springer, 2016. — 2228 p.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2. Belter D., Skrzypczyński P. A biologically inspired approach to feasible gait learning for a hexapod robot // Applied Mathematics and Computer Science. — 2010. — Vol. 20, No. 1. — P. 69—84.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3. Lee E.A., Seshia S.A. Introduction to Embedded Systems: A Cyber-Physical Systems Approach. — 2nd ed. — MIT Press, 2017. — 568 p.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4. Hopcroft J.E., Motwani R., Ullman J.D. Introduction to Automata Theory, Languages, and Computation. — 3rd ed. — Pearson, 2006. — 535 p.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5. Petri C.A. Kommunikation mit Automaten: Dissertation. — Universität Bonn, 1962. — 128 S.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6. Murata T. Petri Nets: Properties, Analysis and Applications // Proceedings of the IEEE. — 1989. — Vol. 77, No. 4. — P. 541—580.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7. Silva M., Teruel E., Colom J.M. Linear Algebraic and Linear Programming Techniques for the Analysis of Place/Transition Net Systems // Lectures on Petri Nets I: Basic Models. — Springer, 1998. — P. 309—373.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8. Ramchandani C. Analysis of Asynchronous Concurrent Systems by Timed Petri Nets: Technical Report MAC-TR-120. — MIT, 1974. — 106 p.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9. Спирин Н.А., Лавров В.В. Управление движением многоногих шагающих роботов // Мехатроника, автоматизация, управление. — 2019. — Т. 20, № 7. — С. 430—438.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10. Marsan M.A., Balbo G., Conte G. et al. Modelling with Generalized Stochastic Petri Nets. — John Wiley &amp; Sons, 1995. — 316 p.</w:t>
      </w:r>
    </w:p>
    <w:p>
      <w:pPr>
        <w:spacing w:after="24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FORMAL VERIFICATION OF HEXAPOD ROBOT</w:t>
        <w:br/>
        <w:t>GAIT COORDINATION USING PETRI NETS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V.P. Romanov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/>
          <w:sz w:val="24"/>
        </w:rPr>
        <w:t>romanov.vp@student.bmstu.ru</w:t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/>
          <w:sz w:val="24"/>
        </w:rPr>
        <w:t>Bauman Moscow State Technical University, Moscow, Russian Federation</w:t>
      </w:r>
    </w:p>
    <w:p>
      <w:pPr>
        <w:spacing w:after="12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 xml:space="preserve">Abstract. </w:t>
      </w: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The paper addresses formal verification of the tripod gait coordination algorithm for a hexapod walking robot using Petri nets. The robot's six legs are divided into two groups of three, alternating between swing and stance phases. A Petri net model is constructed that enforces static stability: at least three legs must maintain ground contact at all times. Using S-invariants, mutual exclusion of swing phases is formally proven (simultaneous lift-off of both groups is impossible), and the absence of deadlocks is demonstrated. Temporal analysis with deterministic delays determines the gait cycle time (600 ms), maximum locomotion speed (200 mm/s), and the bottleneck (swing phase accounts for 67% of cycle time). It is shown that replacing servos to reduce swing time by 25% yields a 20% speed improvement. The results are applicable to the design of autonomous legged robot control systems.</w:t>
      </w:r>
    </w:p>
    <w:p>
      <w:pPr>
        <w:spacing w:after="24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 xml:space="preserve">Keywords: </w:t>
      </w: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Petri nets, walking robot, hexapod, tripod gait, formal verification, S-invariants, gait coordination, static stability, temporal analysis, mutual exclusion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Сведения об авторе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Романов Владимир Павлович — студент кафедры «Прикладная робототехника», факультет «Специальное машиностроение», МГТУ им. Н.Э. Баумана (Москва, Российская Федерация). E-mail: romanov.vp@student.bmstu.ru</w:t>
      </w:r>
    </w:p>
    <w:p>
      <w:pPr>
        <w:spacing w:after="12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</w:r>
    </w:p>
    <w:p>
      <w:pPr>
        <w:spacing w:after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 xml:space="preserve">Научный руководитель: </w:t>
      </w: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Шевченко Максим Юрьевич, МГТУ им. Н.Э. Баумана (Москва, Российская Федерация).</w:t>
      </w:r>
    </w:p>
    <w:p>
      <w:pPr>
        <w:spacing w:after="120" w:before="240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>About the author</w:t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Romanov Vladimir P. — student, Department of Applied Robotics, Faculty of Special Mechanical Engineering, Bauman Moscow State Technical University (Moscow, Russian Federation). E-mail: romanov.vp@student.bmstu.ru</w:t>
      </w:r>
    </w:p>
    <w:p>
      <w:pPr>
        <w:spacing w:after="12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</w:r>
    </w:p>
    <w:p>
      <w:pPr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i w:val="0"/>
          <w:sz w:val="24"/>
        </w:rPr>
        <w:t xml:space="preserve">Scientific advisor: </w:t>
      </w:r>
      <w:r>
        <w:rPr>
          <w:rFonts w:ascii="Times New Roman" w:hAnsi="Times New Roman" w:cs="Times New Roman" w:eastAsia="Times New Roman"/>
          <w:rFonts w:ascii="Times New Roman" w:hAnsi="Times New Roman"/>
          <w:b w:val="0"/>
          <w:i w:val="0"/>
          <w:sz w:val="24"/>
        </w:rPr>
        <w:t>Shevchenko Maxim Yu., Bauman Moscow State Technical University (Moscow, Russian Federation).</w:t>
      </w:r>
    </w:p>
    <w:sectPr w:rsidR="00FC693F" w:rsidRPr="0006063C" w:rsidSect="00034616">
      <w:footerReference w:type="default" r:id="rId9"/>
      <w:pgSz w:w="11906" w:h="16838"/>
      <w:pgMar w:top="1134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397"/>
    </w:pPr>
    <w:rPr>
      <w:rFonts w:ascii="Times New Roman" w:hAnsi="Times New Roman"/>
      <w:color w:val="000000"/>
      <w:sz w:val="24"/>
      <w:rFonts w:ascii="Times New Roman" w:hAnsi="Times New Roman" w:cs="Times New Roman" w:eastAsia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