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Design Document (SDD)</w:t>
      </w:r>
    </w:p>
    <w:p>
      <w:pPr>
        <w:pStyle w:val="Subtitle"/>
        <w:jc w:val="center"/>
      </w:pPr>
      <w:r>
        <w:rPr>
          <w:rFonts w:ascii="Aptos" w:hAnsi="Aptos"/>
          <w:color w:val="666666"/>
          <w:sz w:val="22"/>
        </w:rPr>
        <w:t>Unified Payment Collection and Receipt Management App</w:t>
      </w:r>
    </w:p>
    <w:p>
      <w:pPr>
        <w:jc w:val="center"/>
      </w:pPr>
      <w:r>
        <w:rPr>
          <w:color w:val="666666"/>
          <w:sz w:val="20"/>
        </w:rPr>
        <w:t>v1.0 | Prepared for project planning and implementation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1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174EA6"/>
                <w:sz w:val="20"/>
              </w:rPr>
              <w:t>Project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Unified Payment Collection and Receipt Management App</w:t>
            </w:r>
          </w:p>
        </w:tc>
      </w:tr>
      <w:tr>
        <w:tc>
          <w:tcPr>
            <w:tcW w:type="dxa" w:w="4968"/>
            <w:shd w:fill="EAF1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174EA6"/>
                <w:sz w:val="20"/>
              </w:rPr>
              <w:t>Document Type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Software Design Document (SDD)</w:t>
            </w:r>
          </w:p>
        </w:tc>
      </w:tr>
      <w:tr>
        <w:tc>
          <w:tcPr>
            <w:tcW w:type="dxa" w:w="4968"/>
            <w:shd w:fill="EAF1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174EA6"/>
                <w:sz w:val="20"/>
              </w:rPr>
              <w:t>Scope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MVP to scalable SaaS platform</w:t>
            </w:r>
          </w:p>
        </w:tc>
      </w:tr>
      <w:tr>
        <w:tc>
          <w:tcPr>
            <w:tcW w:type="dxa" w:w="4968"/>
            <w:shd w:fill="EAF1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174EA6"/>
                <w:sz w:val="20"/>
              </w:rPr>
              <w:t>Target Market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Businesses operating with digital payment apps, with Israeli service compatibility in scope</w:t>
            </w:r>
          </w:p>
        </w:tc>
      </w:tr>
    </w:tbl>
    <w:p>
      <w:r>
        <w:br w:type="page"/>
      </w:r>
    </w:p>
    <w:p>
      <w:pPr>
        <w:pStyle w:val="Heading1"/>
      </w:pPr>
      <w:r>
        <w:t>1. Design goals</w:t>
      </w:r>
    </w:p>
    <w:p>
      <w:pPr>
        <w:pStyle w:val="ListBullet"/>
      </w:pPr>
      <w:r>
        <w:t>Create a modular integration-first platform that can unify transactions from heterogeneous payment providers.</w:t>
      </w:r>
    </w:p>
    <w:p>
      <w:pPr>
        <w:pStyle w:val="ListBullet"/>
      </w:pPr>
      <w:r>
        <w:t>Separate provider adapters, core transaction domain logic, and document issuance workflows.</w:t>
      </w:r>
    </w:p>
    <w:p>
      <w:pPr>
        <w:pStyle w:val="ListBullet"/>
      </w:pPr>
      <w:r>
        <w:t>Guarantee idempotent ingestion and duplicate-safe receipt issuance.</w:t>
      </w:r>
    </w:p>
    <w:p>
      <w:pPr>
        <w:pStyle w:val="ListBullet"/>
      </w:pPr>
      <w:r>
        <w:t>Support multi-tenant business accounts with strong isolation, auditing, and role-based access control.</w:t>
      </w:r>
    </w:p>
    <w:p>
      <w:pPr>
        <w:pStyle w:val="ListBullet"/>
      </w:pPr>
      <w:r>
        <w:t>Remain flexible enough to onboard Israeli-relevant invoicing and payment ecosystems.</w:t>
      </w:r>
    </w:p>
    <w:p>
      <w:pPr>
        <w:pStyle w:val="Heading1"/>
      </w:pPr>
      <w:r>
        <w:t>2. Proposed architecture</w:t>
      </w:r>
    </w:p>
    <w:p>
      <w:pPr/>
      <w:r>
        <w:t>The recommended architecture is a service-oriented web platform centered on a canonical transaction domain. Provider-specific integrations remain isolated behind adapter interfaces. A queue-backed workflow engine handles synchronization, normalization, deduplication, and receipt/document jobs.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Layer</w:t>
            </w:r>
          </w:p>
        </w:tc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Responsibilities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Presentation layer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Business dashboard, transaction review screens, settings, integration management, reporting, and support tooling.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Application layer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Use cases for sync, transaction search, customer mapping, tagging, document issuance, and retries.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Domain layer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Canonical transaction model, deduplication rules, state machine, business validation, and audit logic.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Integration layer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Adapters for payment providers, invoicing platforms, messaging/email services, and secret-backed credential flows.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Data layer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Relational operational database, object storage for raw payload snapshots/documents, job queue, and observability store.</w:t>
            </w:r>
          </w:p>
        </w:tc>
      </w:tr>
    </w:tbl>
    <w:p/>
    <w:p>
      <w:pPr>
        <w:pStyle w:val="Heading1"/>
      </w:pPr>
      <w:r>
        <w:t>3. Logical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Component</w:t>
            </w:r>
          </w:p>
        </w:tc>
        <w:tc>
          <w:tcPr>
            <w:tcW w:type="dxa" w:w="3312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Purpose</w:t>
            </w:r>
          </w:p>
        </w:tc>
        <w:tc>
          <w:tcPr>
            <w:tcW w:type="dxa" w:w="3312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Key notes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Auth &amp; Access Service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User authentication and role enforcement.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Supports owner, finance, support, and admin roles.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Integration Manager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Stores provider configurations and health state.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Owns credential references and connection validation.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Sync Orchestrator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Schedules and triggers provider sync jobs.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Supports polling and webhook-driven ingestion.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Provider Adapter SDK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Standard interface for payment-source connectors.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Encapsulates mapping, pagination, retries, and provider quirks.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Normalization Engine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Transforms raw provider records into canonical transaction schema.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Produces traceable field mapping metadata.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Deduplication Service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Prevents duplicate transactions and duplicate issue jobs.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Uses provider IDs, hashes, and business rules.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Transaction Service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Reads, writes, searches, and updates transaction states.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Backs the main dashboard and APIs.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Customer Service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Links transactions to customers and manages tags.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Supports manual and rule-based enrichment.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Receipt Workflow Service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Creates and tracks receipt/document issuance jobs.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Idempotent per business transaction and document type.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Document Provider Adapter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Connects to Invoice4U, Line, and future providers.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Maps canonical issue request to provider-specific payload.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Notification Service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Sends delivery notices and internal alerts.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Email, messaging link, webhook, or in-app notifications.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Audit &amp; Monitoring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Persists business-critical actions and system health signals.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Feeds support views and operational dashboards.</w:t>
            </w:r>
          </w:p>
        </w:tc>
      </w:tr>
    </w:tbl>
    <w:p/>
    <w:p>
      <w:pPr>
        <w:pStyle w:val="Heading1"/>
      </w:pPr>
      <w:r>
        <w:t>4. Deployment view</w:t>
      </w:r>
    </w:p>
    <w:p>
      <w:pPr>
        <w:pStyle w:val="ListBullet"/>
      </w:pPr>
      <w:r>
        <w:t>Frontend web application for dashboard users.</w:t>
      </w:r>
    </w:p>
    <w:p>
      <w:pPr>
        <w:pStyle w:val="ListBullet"/>
      </w:pPr>
      <w:r>
        <w:t>Backend API service exposing authenticated business operations.</w:t>
      </w:r>
    </w:p>
    <w:p>
      <w:pPr>
        <w:pStyle w:val="ListBullet"/>
      </w:pPr>
      <w:r>
        <w:t>Webhook ingestion endpoint for payment and invoicing callbacks.</w:t>
      </w:r>
    </w:p>
    <w:p>
      <w:pPr>
        <w:pStyle w:val="ListBullet"/>
      </w:pPr>
      <w:r>
        <w:t>Worker processes for scheduled sync, retries, export jobs, and receipt issuance.</w:t>
      </w:r>
    </w:p>
    <w:p>
      <w:pPr>
        <w:pStyle w:val="ListBullet"/>
      </w:pPr>
      <w:r>
        <w:t>Relational database for operational entities and state transitions.</w:t>
      </w:r>
    </w:p>
    <w:p>
      <w:pPr>
        <w:pStyle w:val="ListBullet"/>
      </w:pPr>
      <w:r>
        <w:t>Object storage for raw payloads, generated document references, and evidence logs.</w:t>
      </w:r>
    </w:p>
    <w:p>
      <w:pPr>
        <w:pStyle w:val="ListBullet"/>
      </w:pPr>
      <w:r>
        <w:t>Secret manager for provider credentials and signing keys.</w:t>
      </w:r>
    </w:p>
    <w:p>
      <w:pPr>
        <w:pStyle w:val="ListBullet"/>
      </w:pPr>
      <w:r>
        <w:t>Monitoring stack for logs, metrics, traces, and alert routing.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4EA6"/>
              </w:rPr>
              <w:t xml:space="preserve">Note: </w:t>
            </w:r>
            <w:r>
              <w:rPr>
                <w:sz w:val="20"/>
              </w:rPr>
              <w:t>A monolith-plus-workers deployment can be used for MVP, provided that provider adapters and workflows are coded as clear internal modules. This keeps initial complexity reasonable while preserving a future path to service decomposition.</w:t>
            </w:r>
          </w:p>
        </w:tc>
      </w:tr>
    </w:tbl>
    <w:p/>
    <w:p>
      <w:pPr>
        <w:pStyle w:val="Heading1"/>
      </w:pPr>
      <w:r>
        <w:t>5. Core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Entity</w:t>
            </w:r>
          </w:p>
        </w:tc>
        <w:tc>
          <w:tcPr>
            <w:tcW w:type="dxa" w:w="3312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Important fields</w:t>
            </w:r>
          </w:p>
        </w:tc>
        <w:tc>
          <w:tcPr>
            <w:tcW w:type="dxa" w:w="3312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Notes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Business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id, legal_name, display_name, logo_url, timezone, currency, tax_profile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Tenant boundary for most records.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User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id, business_id, role, status, auth_subject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Linked to audit actor and permissions.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IntegrationConfig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id, business_id, provider, mode, credentials_ref, enabled, health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One per provider/business combination.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ExternalTransactionRaw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id, integration_id, provider_record_id, payload_ref, fetched_at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Immutable source snapshot for traceability.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Transaction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id, business_id, provider, provider_txn_id, amount, currency, payer data, normalized_status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Canonical ledger item exposed to UI.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Customer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id, business_id, name, email, phone, tags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Optional relationship until matched.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ReceiptIssueJob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id, transaction_id, doc_type, external_provider, idempotency_key, state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Tracks document issuance lifecycle.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IssuedDocument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id, transaction_id, external_doc_id, document_number, issued_at, delivery_state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Reference object for receipt/invoice results.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AuditEvent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id, actor_id, event_type, entity_type, entity_id, metadata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Append-only log for critical actions.</w:t>
            </w:r>
          </w:p>
        </w:tc>
      </w:tr>
    </w:tbl>
    <w:p/>
    <w:p>
      <w:pPr>
        <w:pStyle w:val="Heading1"/>
      </w:pPr>
      <w:r>
        <w:t>6. Canonical transaction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Field</w:t>
            </w:r>
          </w:p>
        </w:tc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Description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transaction_id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Internal UUID for the canonical transaction.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business_id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Owning tenant/business.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provider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Payment source identifier, such as bit or paybox adapter type.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provider_txn_id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Original provider transaction identifier, if available.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amount / currency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Normalized monetary value.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occurred_at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Timestamp of the payment event at source.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payer_name / payer_contact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Available sender/customer information from source.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normalized_status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Canonical status such as new, settled, failed, refunded.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raw_record_ref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Pointer to immutable raw payload snapshot.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dedupe_fingerprint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Derived key used by deduplication logic.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customer_id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Optional link to customer entity.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tags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Business-defined categorization labels.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receipt_state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none, pending, sent, failed, canceled.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created_at / updated_at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Operational timestamps.</w:t>
            </w:r>
          </w:p>
        </w:tc>
      </w:tr>
    </w:tbl>
    <w:p/>
    <w:p>
      <w:pPr>
        <w:pStyle w:val="Heading1"/>
      </w:pPr>
      <w:r>
        <w:t>7. Workflow design</w:t>
      </w:r>
    </w:p>
    <w:p>
      <w:pPr>
        <w:pStyle w:val="Heading2"/>
      </w:pPr>
      <w:r>
        <w:t>7.1 Payment synchronization workflow</w:t>
      </w:r>
    </w:p>
    <w:p>
      <w:pPr>
        <w:pStyle w:val="ListNumber"/>
      </w:pPr>
      <w:r>
        <w:t>Scheduler or webhook gateway triggers a sync event for a provider integration.</w:t>
      </w:r>
    </w:p>
    <w:p>
      <w:pPr>
        <w:pStyle w:val="ListNumber"/>
      </w:pPr>
      <w:r>
        <w:t>Sync Orchestrator loads IntegrationConfig and acquires a business/provider lock.</w:t>
      </w:r>
    </w:p>
    <w:p>
      <w:pPr>
        <w:pStyle w:val="ListNumber"/>
      </w:pPr>
      <w:r>
        <w:t>Provider Adapter fetches new or changed records using last cursor, page token, or event payload.</w:t>
      </w:r>
    </w:p>
    <w:p>
      <w:pPr>
        <w:pStyle w:val="ListNumber"/>
      </w:pPr>
      <w:r>
        <w:t>Raw payload is stored immutably for troubleshooting and audit.</w:t>
      </w:r>
    </w:p>
    <w:p>
      <w:pPr>
        <w:pStyle w:val="ListNumber"/>
      </w:pPr>
      <w:r>
        <w:t>Normalization Engine transforms raw records into canonical transaction candidates.</w:t>
      </w:r>
    </w:p>
    <w:p>
      <w:pPr>
        <w:pStyle w:val="ListNumber"/>
      </w:pPr>
      <w:r>
        <w:t>Deduplication Service checks provider_txn_id, idempotency key, fingerprint, and business-specific heuristics.</w:t>
      </w:r>
    </w:p>
    <w:p>
      <w:pPr>
        <w:pStyle w:val="ListNumber"/>
      </w:pPr>
      <w:r>
        <w:t>Transaction Service upserts eligible records and emits audit and notification events.</w:t>
      </w:r>
    </w:p>
    <w:p>
      <w:pPr>
        <w:pStyle w:val="Heading2"/>
      </w:pPr>
      <w:r>
        <w:t>7.2 Receipt issuance workflow</w:t>
      </w:r>
    </w:p>
    <w:p>
      <w:pPr>
        <w:pStyle w:val="ListNumber"/>
      </w:pPr>
      <w:r>
        <w:t>User selects a transaction and chooses receipt or payment-confirmation issuance.</w:t>
      </w:r>
    </w:p>
    <w:p>
      <w:pPr>
        <w:pStyle w:val="ListNumber"/>
      </w:pPr>
      <w:r>
        <w:t>Transaction eligibility is validated: settled state, required customer data, no conflicting issued document.</w:t>
      </w:r>
    </w:p>
    <w:p>
      <w:pPr>
        <w:pStyle w:val="ListNumber"/>
      </w:pPr>
      <w:r>
        <w:t>Receipt Workflow Service creates or reuses an idempotent issue job.</w:t>
      </w:r>
    </w:p>
    <w:p>
      <w:pPr>
        <w:pStyle w:val="ListNumber"/>
      </w:pPr>
      <w:r>
        <w:t>Document Provider Adapter maps canonical fields to target provider payload.</w:t>
      </w:r>
    </w:p>
    <w:p>
      <w:pPr>
        <w:pStyle w:val="ListNumber"/>
      </w:pPr>
      <w:r>
        <w:t>External provider response is stored, transaction receipt_state is updated, and issued document reference is created.</w:t>
      </w:r>
    </w:p>
    <w:p>
      <w:pPr>
        <w:pStyle w:val="ListNumber"/>
      </w:pPr>
      <w:r>
        <w:t>Notification Service sends or exposes the document through configured delivery channels.</w:t>
      </w:r>
    </w:p>
    <w:p>
      <w:pPr>
        <w:pStyle w:val="ListNumber"/>
      </w:pPr>
      <w:r>
        <w:t>Audit and monitoring events are emitted for success or failure.</w:t>
      </w:r>
    </w:p>
    <w:p>
      <w:pPr>
        <w:pStyle w:val="Heading1"/>
      </w:pPr>
      <w:r>
        <w:t>8. State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Object</w:t>
            </w:r>
          </w:p>
        </w:tc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States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Integration health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pending_setup -&gt; active -&gt; degraded -&gt; disabled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Transaction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new -&gt; matched -&gt; receipt_pending -&gt; receipt_sent | failed | refunded | archived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Receipt issue job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queued -&gt; processing -&gt; succeeded | failed | canceled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Delivery state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not_sent -&gt; sent -&gt; delivered | bounced | unknown</w:t>
            </w:r>
          </w:p>
        </w:tc>
      </w:tr>
    </w:tbl>
    <w:p/>
    <w:p>
      <w:pPr>
        <w:pStyle w:val="Heading1"/>
      </w:pPr>
      <w:r>
        <w:t>9. API design outline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Endpoint group</w:t>
            </w:r>
          </w:p>
        </w:tc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Examples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Auth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/auth/login, /auth/session, /auth/logout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Integrations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/integrations, /integrations/{id}/test, /integrations/{id}/sync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Transactions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/transactions, /transactions/{id}, /transactions/export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Customers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/customers, /customers/{id}, /customers/match-suggestions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Receipts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/transactions/{id}/issue-document, /receipt-jobs/{id}, /documents/{id}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Settings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/business-profile, /branding, /notification-settings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Webhooks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/webhooks/payments/{provider}, /webhooks/documents/{provider}</w:t>
            </w:r>
          </w:p>
        </w:tc>
      </w:tr>
    </w:tbl>
    <w:p/>
    <w:p>
      <w:pPr>
        <w:pStyle w:val="Small"/>
      </w:pPr>
      <w:r>
        <w:t>API responses should include stable identifiers, business-scoped authorization checks, standardized error objects, and request correlation IDs.</w:t>
      </w:r>
    </w:p>
    <w:p>
      <w:pPr>
        <w:pStyle w:val="Heading1"/>
      </w:pPr>
      <w:r>
        <w:t>10. Security design</w:t>
      </w:r>
    </w:p>
    <w:p>
      <w:pPr>
        <w:pStyle w:val="ListBullet"/>
      </w:pPr>
      <w:r>
        <w:t>All external and internal traffic should use TLS.</w:t>
      </w:r>
    </w:p>
    <w:p>
      <w:pPr>
        <w:pStyle w:val="ListBullet"/>
      </w:pPr>
      <w:r>
        <w:t>Secrets must be stored outside source code in a dedicated secret manager.</w:t>
      </w:r>
    </w:p>
    <w:p>
      <w:pPr>
        <w:pStyle w:val="ListBullet"/>
      </w:pPr>
      <w:r>
        <w:t>Webhook endpoints should verify signatures or trusted source constraints where supported.</w:t>
      </w:r>
    </w:p>
    <w:p>
      <w:pPr>
        <w:pStyle w:val="ListBullet"/>
      </w:pPr>
      <w:r>
        <w:t>Sensitive payload snapshots should be access-controlled and retention-managed.</w:t>
      </w:r>
    </w:p>
    <w:p>
      <w:pPr>
        <w:pStyle w:val="ListBullet"/>
      </w:pPr>
      <w:r>
        <w:t>RBAC must separate owner/admin actions from day-to-day finance operations.</w:t>
      </w:r>
    </w:p>
    <w:p>
      <w:pPr>
        <w:pStyle w:val="ListBullet"/>
      </w:pPr>
      <w:r>
        <w:t>Document issuance actions should be explicitly auditable with actor identity and request payload summary.</w:t>
      </w:r>
    </w:p>
    <w:p>
      <w:pPr>
        <w:pStyle w:val="Heading1"/>
      </w:pPr>
      <w:r>
        <w:t>11. Reliability and observability design</w:t>
      </w:r>
    </w:p>
    <w:p>
      <w:pPr>
        <w:pStyle w:val="ListBullet"/>
      </w:pPr>
      <w:r>
        <w:t>Use durable queues for sync jobs, receipt issuance, and retries.</w:t>
      </w:r>
    </w:p>
    <w:p>
      <w:pPr>
        <w:pStyle w:val="ListBullet"/>
      </w:pPr>
      <w:r>
        <w:t>Each job should carry an idempotency key and correlation ID.</w:t>
      </w:r>
    </w:p>
    <w:p>
      <w:pPr>
        <w:pStyle w:val="ListBullet"/>
      </w:pPr>
      <w:r>
        <w:t>Dead-letter handling should isolate permanently failing provider events for operator review.</w:t>
      </w:r>
    </w:p>
    <w:p>
      <w:pPr>
        <w:pStyle w:val="ListBullet"/>
      </w:pPr>
      <w:r>
        <w:t>Metrics should include sync success rate, duplicate suppressions, receipt issue success rate, queue latency, and provider error counts.</w:t>
      </w:r>
    </w:p>
    <w:p>
      <w:pPr>
        <w:pStyle w:val="ListBullet"/>
      </w:pPr>
      <w:r>
        <w:t>Structured logs should include business_id, provider, transaction_id, and job_id for traceability.</w:t>
      </w:r>
    </w:p>
    <w:p>
      <w:pPr>
        <w:pStyle w:val="Heading1"/>
      </w:pPr>
      <w:r>
        <w:t>12. Suggested technology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Concern</w:t>
            </w:r>
          </w:p>
        </w:tc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Suggested option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React or Next.js dashboard with a component library and data-table support.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Backend API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Node.js/TypeScript, Python, or another web framework suitable for integration-heavy workflows.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Database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PostgreSQL or equivalent relational database for operational consistency.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Queue / jobs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Redis-backed queue, cloud task system, or message queue service.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Storage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Cloud object storage for raw payloads and document references.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Secrets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Cloud secret manager or equivalent secure credential vault.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Monitoring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Centralized logs plus metrics/alerts via cloud-native or open-source tooling.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4EA6"/>
              </w:rPr>
              <w:t xml:space="preserve">Note: </w:t>
            </w:r>
            <w:r>
              <w:rPr>
                <w:sz w:val="20"/>
              </w:rPr>
              <w:t>Exact technology selection can follow team preference. The structural requirement is modular adapters, durable workflows, and secure tenant isolation—not a specific language stack.</w:t>
            </w:r>
          </w:p>
        </w:tc>
      </w:tr>
    </w:tbl>
    <w:p/>
    <w:p>
      <w:pPr>
        <w:pStyle w:val="Heading1"/>
      </w:pPr>
      <w:r>
        <w:t>13. MVP implementation sequence</w:t>
      </w:r>
    </w:p>
    <w:p>
      <w:pPr>
        <w:pStyle w:val="ListNumber"/>
      </w:pPr>
      <w:r>
        <w:t>Implement authentication, tenant model, and business profile/branding settings.</w:t>
      </w:r>
    </w:p>
    <w:p>
      <w:pPr>
        <w:pStyle w:val="ListNumber"/>
      </w:pPr>
      <w:r>
        <w:t>Implement integration manager and one payment-provider adapter abstraction.</w:t>
      </w:r>
    </w:p>
    <w:p>
      <w:pPr>
        <w:pStyle w:val="ListNumber"/>
      </w:pPr>
      <w:r>
        <w:t>Build transaction ingestion, canonical schema, and deduplication pipeline.</w:t>
      </w:r>
    </w:p>
    <w:p>
      <w:pPr>
        <w:pStyle w:val="ListNumber"/>
      </w:pPr>
      <w:r>
        <w:t>Build transaction dashboard with search, sort, filters, and detail view.</w:t>
      </w:r>
    </w:p>
    <w:p>
      <w:pPr>
        <w:pStyle w:val="ListNumber"/>
      </w:pPr>
      <w:r>
        <w:t>Implement one invoicing/document adapter and receipt issuance job flow.</w:t>
      </w:r>
    </w:p>
    <w:p>
      <w:pPr>
        <w:pStyle w:val="ListNumber"/>
      </w:pPr>
      <w:r>
        <w:t>Add audit log, exports, notifications, and operator retry tooling.</w:t>
      </w:r>
    </w:p>
    <w:p>
      <w:pPr>
        <w:pStyle w:val="ListNumber"/>
      </w:pPr>
      <w:r>
        <w:t>Harden observability, security, and integration health monitoring.</w:t>
      </w:r>
    </w:p>
    <w:p>
      <w:pPr>
        <w:pStyle w:val="Heading1"/>
      </w:pPr>
      <w:r>
        <w:t>14. Open design questions</w:t>
      </w:r>
    </w:p>
    <w:p>
      <w:pPr>
        <w:pStyle w:val="ListBullet"/>
      </w:pPr>
      <w:r>
        <w:t>Which target providers offer production-usable APIs versus only user-facing apps?</w:t>
      </w:r>
    </w:p>
    <w:p>
      <w:pPr>
        <w:pStyle w:val="ListBullet"/>
      </w:pPr>
      <w:r>
        <w:t>Should the first release focus on webhook-first providers or polling-compatible providers?</w:t>
      </w:r>
    </w:p>
    <w:p>
      <w:pPr>
        <w:pStyle w:val="ListBullet"/>
      </w:pPr>
      <w:r>
        <w:t>What exact document types are required in MVP: receipt, payment confirmation, invoice receipt, or all three?</w:t>
      </w:r>
    </w:p>
    <w:p>
      <w:pPr>
        <w:pStyle w:val="ListBullet"/>
      </w:pPr>
      <w:r>
        <w:t>Which channels are approved for document delivery in the target businesses?</w:t>
      </w:r>
    </w:p>
    <w:p>
      <w:pPr>
        <w:pStyle w:val="ListBullet"/>
      </w:pPr>
      <w:r>
        <w:t>What retention period should apply to raw payment payloads and document metadata?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4EA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74E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74E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4EA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Aptos" w:hAnsi="Aptos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