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Requirements Specification (SRS)</w:t>
      </w:r>
    </w:p>
    <w:p>
      <w:pPr>
        <w:pStyle w:val="Subtitle"/>
        <w:jc w:val="center"/>
      </w:pPr>
      <w:r>
        <w:rPr>
          <w:rFonts w:ascii="Aptos" w:hAnsi="Aptos"/>
          <w:color w:val="666666"/>
          <w:sz w:val="22"/>
        </w:rPr>
        <w:t>Unified Payment Collection and Receipt Management App</w:t>
      </w:r>
    </w:p>
    <w:p>
      <w:pPr>
        <w:jc w:val="center"/>
      </w:pPr>
      <w:r>
        <w:rPr>
          <w:color w:val="666666"/>
          <w:sz w:val="20"/>
        </w:rPr>
        <w:t>v1.0 | Prepared for project planning and implementation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1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b/>
                <w:color w:val="174EA6"/>
                <w:sz w:val="20"/>
              </w:rPr>
              <w:t>Project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20"/>
              </w:rPr>
              <w:t>Unified Payment Collection and Receipt Management App</w:t>
            </w:r>
          </w:p>
        </w:tc>
      </w:tr>
      <w:tr>
        <w:tc>
          <w:tcPr>
            <w:tcW w:type="dxa" w:w="4968"/>
            <w:shd w:fill="EAF1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b/>
                <w:color w:val="174EA6"/>
                <w:sz w:val="20"/>
              </w:rPr>
              <w:t>Document Type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20"/>
              </w:rPr>
              <w:t>Software Requirements Specification (SRS)</w:t>
            </w:r>
          </w:p>
        </w:tc>
      </w:tr>
      <w:tr>
        <w:tc>
          <w:tcPr>
            <w:tcW w:type="dxa" w:w="4968"/>
            <w:shd w:fill="EAF1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b/>
                <w:color w:val="174EA6"/>
                <w:sz w:val="20"/>
              </w:rPr>
              <w:t>Scope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20"/>
              </w:rPr>
              <w:t>MVP to scalable SaaS platform</w:t>
            </w:r>
          </w:p>
        </w:tc>
      </w:tr>
      <w:tr>
        <w:tc>
          <w:tcPr>
            <w:tcW w:type="dxa" w:w="4968"/>
            <w:shd w:fill="EAF1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b/>
                <w:color w:val="174EA6"/>
                <w:sz w:val="20"/>
              </w:rPr>
              <w:t>Target Market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20"/>
              </w:rPr>
              <w:t>Businesses operating with digital payment apps, with Israeli service compatibility in scope</w:t>
            </w:r>
          </w:p>
        </w:tc>
      </w:tr>
    </w:tbl>
    <w:p>
      <w:r>
        <w:br w:type="page"/>
      </w:r>
    </w:p>
    <w:p>
      <w:pPr>
        <w:pStyle w:val="Heading1"/>
      </w:pPr>
      <w:r>
        <w:t>1. Introduction</w:t>
      </w:r>
    </w:p>
    <w:p>
      <w:pPr/>
      <w:r>
        <w:t>This Software Requirements Specification defines the functional and non-functional requirements for a centralized application that aggregates incoming payment transactions from multiple third-party payment platforms and supports receipt or payment-confirmation workflows through invoicing partners.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4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74EA6"/>
              </w:rPr>
              <w:t>Area</w:t>
            </w:r>
          </w:p>
        </w:tc>
        <w:tc>
          <w:tcPr>
            <w:tcW w:type="dxa" w:w="4968"/>
            <w:shd w:fill="D9E4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74EA6"/>
              </w:rPr>
              <w:t>Definition</w:t>
            </w:r>
          </w:p>
        </w:tc>
      </w:tr>
      <w:tr>
        <w:tc>
          <w:tcPr>
            <w:tcW w:type="dxa" w:w="4968"/>
            <w:shd w:fill="EAF1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20"/>
              </w:rPr>
              <w:t>Purpose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20"/>
              </w:rPr>
              <w:t>Provide a clear, implementation-ready baseline for product scope, business flows, integrations, quality targets, and release planning.</w:t>
            </w:r>
          </w:p>
        </w:tc>
      </w:tr>
      <w:tr>
        <w:tc>
          <w:tcPr>
            <w:tcW w:type="dxa" w:w="4968"/>
            <w:shd w:fill="EAF1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20"/>
              </w:rPr>
              <w:t>Primary users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20"/>
              </w:rPr>
              <w:t>Small businesses, freelancers, service providers, finance/admin staff, and platform administrators.</w:t>
            </w:r>
          </w:p>
        </w:tc>
      </w:tr>
      <w:tr>
        <w:tc>
          <w:tcPr>
            <w:tcW w:type="dxa" w:w="4968"/>
            <w:shd w:fill="EAF1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20"/>
              </w:rPr>
              <w:t>Problem statement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20"/>
              </w:rPr>
              <w:t>Businesses receive payments from multiple apps and then manually reconcile, categorize, and issue receipts through separate systems.</w:t>
            </w:r>
          </w:p>
        </w:tc>
      </w:tr>
      <w:tr>
        <w:tc>
          <w:tcPr>
            <w:tcW w:type="dxa" w:w="4968"/>
            <w:shd w:fill="EAF1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20"/>
              </w:rPr>
              <w:t>Product vision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20"/>
              </w:rPr>
              <w:t>A single operational hub for payment visibility, duplicate-safe synchronization, customer mapping, and branded receipt/document workflows.</w:t>
            </w:r>
          </w:p>
        </w:tc>
      </w:tr>
    </w:tbl>
    <w:p/>
    <w:p>
      <w:pPr>
        <w:pStyle w:val="Heading2"/>
      </w:pPr>
      <w:r>
        <w:t>1.1 Scope</w:t>
      </w:r>
    </w:p>
    <w:p>
      <w:pPr>
        <w:pStyle w:val="ListBullet"/>
      </w:pPr>
      <w:r>
        <w:t>Connect multiple payment providers and ingest transaction records into a unified transaction ledger.</w:t>
      </w:r>
    </w:p>
    <w:p>
      <w:pPr>
        <w:pStyle w:val="ListBullet"/>
      </w:pPr>
      <w:r>
        <w:t>Normalize provider-specific fields into a common transaction model.</w:t>
      </w:r>
    </w:p>
    <w:p>
      <w:pPr>
        <w:pStyle w:val="ListBullet"/>
      </w:pPr>
      <w:r>
        <w:t>Allow search, sorting, filtering, tagging, and status tracking of payments.</w:t>
      </w:r>
    </w:p>
    <w:p>
      <w:pPr>
        <w:pStyle w:val="ListBullet"/>
      </w:pPr>
      <w:r>
        <w:t>Trigger receipt, invoice, or payment confirmation workflows through authorized invoicing integrations.</w:t>
      </w:r>
    </w:p>
    <w:p>
      <w:pPr>
        <w:pStyle w:val="ListBullet"/>
      </w:pPr>
      <w:r>
        <w:t>Support business branding, user roles, audit logs, and operational controls.</w:t>
      </w:r>
    </w:p>
    <w:p>
      <w:pPr>
        <w:pStyle w:val="ListBullet"/>
      </w:pPr>
      <w:r>
        <w:t>Keep Israeli-relevant payment and invoicing services in consideration during design and vendor selection.</w:t>
      </w:r>
    </w:p>
    <w:p>
      <w:pPr>
        <w:pStyle w:val="Heading2"/>
      </w:pPr>
      <w:r>
        <w:t>1.2 Assumptions and constraints</w:t>
      </w:r>
    </w:p>
    <w:p>
      <w:pPr>
        <w:pStyle w:val="ListBullet"/>
      </w:pPr>
      <w:r>
        <w:t>Availability of provider APIs, webhooks, or export mechanisms varies by vendor and may differ between production and sandbox environments.</w:t>
      </w:r>
    </w:p>
    <w:p>
      <w:pPr>
        <w:pStyle w:val="ListBullet"/>
      </w:pPr>
      <w:r>
        <w:t>Official tax invoices and legal receipt documents are expected to be issued by compliant external invoicing providers rather than generated natively by the MVP.</w:t>
      </w:r>
    </w:p>
    <w:p>
      <w:pPr>
        <w:pStyle w:val="ListBullet"/>
      </w:pPr>
      <w:r>
        <w:t>Payment aggregation does not imply funds movement; the system is primarily an orchestration, visibility, and post-payment workflow platform.</w:t>
      </w:r>
    </w:p>
    <w:p>
      <w:pPr>
        <w:pStyle w:val="ListBullet"/>
      </w:pPr>
      <w:r>
        <w:t>Some providers may support polling only, while others support both polling and webhook synchronization.</w:t>
      </w:r>
    </w:p>
    <w:p>
      <w:pPr>
        <w:pStyle w:val="ListBullet"/>
      </w:pPr>
      <w:r>
        <w:t>The system must be designed to prevent duplicate ingestion and duplicate receipt issuance.</w:t>
      </w:r>
    </w:p>
    <w:p>
      <w:pPr>
        <w:pStyle w:val="Heading1"/>
      </w:pPr>
      <w:r>
        <w:t>2. Stakeholders and user classes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4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74EA6"/>
              </w:rPr>
              <w:t>User class</w:t>
            </w:r>
          </w:p>
        </w:tc>
        <w:tc>
          <w:tcPr>
            <w:tcW w:type="dxa" w:w="3312"/>
            <w:shd w:fill="D9E4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74EA6"/>
              </w:rPr>
              <w:t>Description</w:t>
            </w:r>
          </w:p>
        </w:tc>
        <w:tc>
          <w:tcPr>
            <w:tcW w:type="dxa" w:w="3312"/>
            <w:shd w:fill="D9E4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74EA6"/>
              </w:rPr>
              <w:t>Primary needs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Business Owner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Owns the account and branding configuration.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Visibility, reconciliation, customer trust, controls, reporting.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Finance / Operations User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Monitors transactions and sends receipts.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Accurate transaction state, filtering, document sending, auditability.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Support / Back Office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Handles exceptions and customer disputes.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Traceability, logs, retry tools, clear status history.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System Administrator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Maintains tenant-wide configuration and security.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Access control, monitoring, incident response, provider configuration.</w:t>
            </w:r>
          </w:p>
        </w:tc>
      </w:tr>
    </w:tbl>
    <w:p/>
    <w:p>
      <w:pPr>
        <w:pStyle w:val="Heading1"/>
      </w:pPr>
      <w:r>
        <w:t>3. Product overview</w:t>
      </w:r>
    </w:p>
    <w:p>
      <w:pPr/>
      <w:r>
        <w:t>The platform acts as a transaction aggregation and workflow orchestration layer. It receives payment events or fetches transaction records from external services, converts them into a canonical internal format, matches them to customers or tags, and allows authorized users to send receipts or confirmations using integrated invoicing systems.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9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74EA6"/>
              </w:rPr>
              <w:t xml:space="preserve">Note: </w:t>
            </w:r>
            <w:r>
              <w:rPr>
                <w:sz w:val="20"/>
              </w:rPr>
              <w:t>For legal and compliance reasons, the final format and authority of receipts or invoices depend on the connected invoicing provider and the business configuration in that provider.</w:t>
            </w:r>
          </w:p>
        </w:tc>
      </w:tr>
    </w:tbl>
    <w:p/>
    <w:p>
      <w:pPr>
        <w:pStyle w:val="Heading1"/>
      </w:pPr>
      <w:r>
        <w:t>4.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4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74EA6"/>
              </w:rPr>
              <w:t>ID</w:t>
            </w:r>
          </w:p>
        </w:tc>
        <w:tc>
          <w:tcPr>
            <w:tcW w:type="dxa" w:w="3312"/>
            <w:shd w:fill="D9E4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74EA6"/>
              </w:rPr>
              <w:t>Requirement</w:t>
            </w:r>
          </w:p>
        </w:tc>
        <w:tc>
          <w:tcPr>
            <w:tcW w:type="dxa" w:w="3312"/>
            <w:shd w:fill="D9E4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74EA6"/>
              </w:rPr>
              <w:t>Description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FR-01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Provider connection management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The system shall allow an authorized user to connect, enable, disable, and validate payment platform integrations per business account.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FR-02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Transaction ingestion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The system shall ingest transactions from supported providers through webhooks, polling, scheduled sync, or file import where applicable.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FR-03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Normalization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The system shall map provider-specific transaction fields into a standardized internal schema.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FR-04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Deduplication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The system shall detect and prevent duplicate transaction creation using provider transaction IDs, idempotency keys, hashes, and time-window checks.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FR-05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Unified dashboard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The system shall display all ingested transactions in a single interface.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FR-06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Search and filtering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The system shall allow filtering by date, amount, currency, sender, customer, provider, status, tag, and free-text search.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FR-07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Sorting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The system shall allow ascending or descending sort by date, amount, provider, sender/customer, status, and creation time.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FR-08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Transaction detail view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The system shall provide a detailed transaction screen including raw provider metadata, normalized fields, receipt history, and audit events.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FR-09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Customer mapping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The system shall allow linking a transaction to an existing customer or creating a new customer record.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FR-10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Tagging and categorization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The system shall allow manual and rule-based tagging of transactions and customers.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FR-11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Receipt initiation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The system shall allow authorized users to generate a receipt or payment confirmation from a transaction record.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FR-12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Invoicing integration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The system shall send required data to an external invoicing provider and store the returned document reference and delivery status.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FR-13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Branding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The system shall allow configuration of business name, logo, contact details, and branding-related output fields supported by the invoicing provider.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FR-14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Document delivery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The system shall support sending the generated document to the customer by email, messaging link, or provider-supported delivery channel.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FR-15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Permissions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The system shall enforce role-based access control for integration management, transaction review, document issuance, and settings.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FR-16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Audit trail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The system shall record critical actions such as sync events, status changes, receipt issuance, retries, failures, and user actions.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FR-17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Reconciliation support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The system shall support transaction status transitions such as new, matched, receipt_pending, receipt_sent, failed, refunded, and archived.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FR-18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Notifications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The system shall notify users of sync failures, failed document issuance, duplicate conflicts, and integration health issues.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FR-19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Exports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The system shall support exporting filtered transaction data to CSV and other admin-friendly formats.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FR-20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Manual retry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The system shall allow authorized users to retry failed sync or receipt workflows without creating duplicates.</w:t>
            </w:r>
          </w:p>
        </w:tc>
      </w:tr>
    </w:tbl>
    <w:p/>
    <w:p>
      <w:pPr>
        <w:pStyle w:val="Heading1"/>
      </w:pPr>
      <w:r>
        <w:t>5. External interface requirements</w:t>
      </w:r>
    </w:p>
    <w:p>
      <w:pPr>
        <w:pStyle w:val="Heading2"/>
      </w:pPr>
      <w:r>
        <w:t>5.1 User interface</w:t>
      </w:r>
    </w:p>
    <w:p>
      <w:pPr>
        <w:pStyle w:val="ListBullet"/>
      </w:pPr>
      <w:r>
        <w:t>Responsive web dashboard for business and operations users.</w:t>
      </w:r>
    </w:p>
    <w:p>
      <w:pPr>
        <w:pStyle w:val="ListBullet"/>
      </w:pPr>
      <w:r>
        <w:t>Dashboard sections should include overview metrics, transaction table, transaction detail drawer/page, customers, integrations, settings, and audit log.</w:t>
      </w:r>
    </w:p>
    <w:p>
      <w:pPr>
        <w:pStyle w:val="ListBullet"/>
      </w:pPr>
      <w:r>
        <w:t>Bulk actions should be available for tagging, exporting, and retrying workflows.</w:t>
      </w:r>
    </w:p>
    <w:p>
      <w:pPr>
        <w:pStyle w:val="ListBullet"/>
      </w:pPr>
      <w:r>
        <w:t>Failed states and pending actions should be clearly highlighted.</w:t>
      </w:r>
    </w:p>
    <w:p>
      <w:pPr>
        <w:pStyle w:val="Heading2"/>
      </w:pPr>
      <w:r>
        <w:t>5.2 API integrations</w:t>
      </w:r>
    </w:p>
    <w:p>
      <w:pPr>
        <w:pStyle w:val="ListBullet"/>
      </w:pPr>
      <w:r>
        <w:t>Payment-provider APIs or webhook endpoints for transaction retrieval and status events.</w:t>
      </w:r>
    </w:p>
    <w:p>
      <w:pPr>
        <w:pStyle w:val="ListBullet"/>
      </w:pPr>
      <w:r>
        <w:t>Invoicing/receipt provider APIs for issuing official receipts, invoices, or payment confirmations.</w:t>
      </w:r>
    </w:p>
    <w:p>
      <w:pPr>
        <w:pStyle w:val="ListBullet"/>
      </w:pPr>
      <w:r>
        <w:t>Email or messaging delivery services for sending documents to customers when supported.</w:t>
      </w:r>
    </w:p>
    <w:p>
      <w:pPr>
        <w:pStyle w:val="Heading2"/>
      </w:pPr>
      <w:r>
        <w:t>5.3 Authentication and authorization</w:t>
      </w:r>
    </w:p>
    <w:p>
      <w:pPr>
        <w:pStyle w:val="ListBullet"/>
      </w:pPr>
      <w:r>
        <w:t>Support secure sign-in and session management for business users.</w:t>
      </w:r>
    </w:p>
    <w:p>
      <w:pPr>
        <w:pStyle w:val="ListBullet"/>
      </w:pPr>
      <w:r>
        <w:t>Use least-privilege access for internal roles and provider credentials.</w:t>
      </w:r>
    </w:p>
    <w:p>
      <w:pPr>
        <w:pStyle w:val="ListBullet"/>
      </w:pPr>
      <w:r>
        <w:t>Provider access tokens and API secrets must be stored securely and rotated when required.</w:t>
      </w:r>
    </w:p>
    <w:p>
      <w:pPr>
        <w:pStyle w:val="Heading1"/>
      </w:pPr>
      <w:r>
        <w:t>6. Data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4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74EA6"/>
              </w:rPr>
              <w:t>Entity</w:t>
            </w:r>
          </w:p>
        </w:tc>
        <w:tc>
          <w:tcPr>
            <w:tcW w:type="dxa" w:w="4968"/>
            <w:shd w:fill="D9E4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74EA6"/>
              </w:rPr>
              <w:t>Key fields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Business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business_id, legal_name, display_name, logo_url, tax identifiers, contact_details, timezone, currency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User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user_id, business_id, role, name, email, auth_provider_id, status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Integration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integration_id, business_id, provider_type, credentials_ref, sync_mode, status, last_sync_at, last_error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Transaction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transaction_id, business_id, provider_txn_id, provider, amount, currency, occurred_at, payer_name, payer_ref, normalized_status, raw_payload_ref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Customer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customer_id, business_id, full_name, phone, email, external_refs, tags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Receipt job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receipt_job_id, transaction_id, provider, requested_by, state, external_doc_id, delivery_status, error_reason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Audit event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event_id, business_id, actor, event_type, entity_type, entity_id, occurred_at, payload_ref</w:t>
            </w:r>
          </w:p>
        </w:tc>
      </w:tr>
    </w:tbl>
    <w:p/>
    <w:p>
      <w:pPr>
        <w:pStyle w:val="Heading1"/>
      </w:pPr>
      <w:r>
        <w:t>7.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4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74EA6"/>
              </w:rPr>
              <w:t>ID</w:t>
            </w:r>
          </w:p>
        </w:tc>
        <w:tc>
          <w:tcPr>
            <w:tcW w:type="dxa" w:w="4968"/>
            <w:shd w:fill="D9E4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74EA6"/>
              </w:rPr>
              <w:t>Requirement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NFR-01 Availability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The production system should target high availability for dashboard access and scheduled synchronization workflows.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NFR-02 Performance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The transaction list should return common filtered results within acceptable operational response times under expected SMB workloads.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NFR-03 Scalability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The system should scale from a single business account to multi-tenant usage with isolated data and rate-limited provider access.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NFR-04 Security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Sensitive credentials and customer data must be protected in transit and at rest, with access logging and secure secret storage.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NFR-05 Auditability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Critical financial and document-related operations must be traceable by timestamp, actor, and outcome.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NFR-06 Reliability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Sync and receipt workflows must be idempotent and resilient to retries, partial failures, and provider downtime.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NFR-07 Observability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The system should expose structured logs, metrics, and alerts for integration health, queue backlogs, and document failures.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NFR-08 Usability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Operational screens should be understandable to non-technical business staff and reduce manual bookkeeping effort.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NFR-09 Compliance readiness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The architecture should allow future adaptation to jurisdiction-specific accounting, retention, and privacy obligations.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NFR-10 Maintainability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9"/>
              </w:rPr>
              <w:t>Provider adapters and document-provider connectors should be modular and replaceable without core system rewrites.</w:t>
            </w:r>
          </w:p>
        </w:tc>
      </w:tr>
    </w:tbl>
    <w:p/>
    <w:p>
      <w:pPr>
        <w:pStyle w:val="Heading1"/>
      </w:pPr>
      <w:r>
        <w:t>8. Core business workflows</w:t>
      </w:r>
    </w:p>
    <w:p>
      <w:pPr>
        <w:pStyle w:val="ListNumber"/>
      </w:pPr>
      <w:r>
        <w:t>Business connects one or more payment providers and validates credentials.</w:t>
      </w:r>
    </w:p>
    <w:p>
      <w:pPr>
        <w:pStyle w:val="ListNumber"/>
      </w:pPr>
      <w:r>
        <w:t>Sync engine receives webhook events or polls providers for new transactions.</w:t>
      </w:r>
    </w:p>
    <w:p>
      <w:pPr>
        <w:pStyle w:val="ListNumber"/>
      </w:pPr>
      <w:r>
        <w:t>Normalization and deduplication pipeline stores a canonical transaction record.</w:t>
      </w:r>
    </w:p>
    <w:p>
      <w:pPr>
        <w:pStyle w:val="ListNumber"/>
      </w:pPr>
      <w:r>
        <w:t>User reviews the transaction, links it to a customer, and optionally applies tags.</w:t>
      </w:r>
    </w:p>
    <w:p>
      <w:pPr>
        <w:pStyle w:val="ListNumber"/>
      </w:pPr>
      <w:r>
        <w:t>User triggers receipt/document issuance for an eligible transaction.</w:t>
      </w:r>
    </w:p>
    <w:p>
      <w:pPr>
        <w:pStyle w:val="ListNumber"/>
      </w:pPr>
      <w:r>
        <w:t>System sends data to the invoicing provider, stores the result, and marks the transaction state accordingly.</w:t>
      </w:r>
    </w:p>
    <w:p>
      <w:pPr>
        <w:pStyle w:val="ListNumber"/>
      </w:pPr>
      <w:r>
        <w:t>Document is delivered to the customer and the full action is logged for audit.</w:t>
      </w:r>
    </w:p>
    <w:p>
      <w:pPr>
        <w:pStyle w:val="Heading1"/>
      </w:pPr>
      <w:r>
        <w:t>9. Acceptance criteria for MVP</w:t>
      </w:r>
    </w:p>
    <w:p>
      <w:pPr>
        <w:pStyle w:val="ListBullet"/>
      </w:pPr>
      <w:r>
        <w:t>At least two payment-source integrations can be connected and synchronized into a unified ledger.</w:t>
      </w:r>
    </w:p>
    <w:p>
      <w:pPr>
        <w:pStyle w:val="ListBullet"/>
      </w:pPr>
      <w:r>
        <w:t>Transaction deduplication prevents repeated creation during retries or repeated sync windows.</w:t>
      </w:r>
    </w:p>
    <w:p>
      <w:pPr>
        <w:pStyle w:val="ListBullet"/>
      </w:pPr>
      <w:r>
        <w:t>Users can search, sort, and filter transactions using all listed MVP dimensions.</w:t>
      </w:r>
    </w:p>
    <w:p>
      <w:pPr>
        <w:pStyle w:val="ListBullet"/>
      </w:pPr>
      <w:r>
        <w:t>A user can issue and deliver a receipt or payment confirmation through at least one invoicing integration.</w:t>
      </w:r>
    </w:p>
    <w:p>
      <w:pPr>
        <w:pStyle w:val="ListBullet"/>
      </w:pPr>
      <w:r>
        <w:t>Branding fields are configurable at the business level and are reflected in supported document output.</w:t>
      </w:r>
    </w:p>
    <w:p>
      <w:pPr>
        <w:pStyle w:val="ListBullet"/>
      </w:pPr>
      <w:r>
        <w:t>All issuance and sync actions are logged and visible to authorized users.</w:t>
      </w:r>
    </w:p>
    <w:p>
      <w:pPr>
        <w:pStyle w:val="Heading1"/>
      </w:pPr>
      <w:r>
        <w:t>10. Risks and open questions</w:t>
      </w:r>
    </w:p>
    <w:p>
      <w:pPr>
        <w:pStyle w:val="ListBullet"/>
      </w:pPr>
      <w:r>
        <w:t>Provider ecosystem fragmentation: not all payment apps may expose APIs suitable for direct integration.</w:t>
      </w:r>
    </w:p>
    <w:p>
      <w:pPr>
        <w:pStyle w:val="ListBullet"/>
      </w:pPr>
      <w:r>
        <w:t>Legal/document responsibility: exact receipt and invoice validity depends on connected provider and business tax configuration.</w:t>
      </w:r>
    </w:p>
    <w:p>
      <w:pPr>
        <w:pStyle w:val="ListBullet"/>
      </w:pPr>
      <w:r>
        <w:t>Identity matching may require manual review when payer details are incomplete or inconsistent across providers.</w:t>
      </w:r>
    </w:p>
    <w:p>
      <w:pPr>
        <w:pStyle w:val="ListBullet"/>
      </w:pPr>
      <w:r>
        <w:t>Messaging-based document delivery may depend on third-party tools and customer consent.</w:t>
      </w:r>
    </w:p>
    <w:p>
      <w:pPr>
        <w:pStyle w:val="Small"/>
      </w:pPr>
      <w:r>
        <w:t>Recommended next step: validate real integration feasibility for Bit, PayBox, and target invoicing providers before freezing the MVP backlog.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fldSimple w:instr="PAGE">
      <w:r/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174EA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174EA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" w:hAnsi="Aptos"/>
      <w:b/>
      <w:bCs/>
      <w:color w:val="174E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4EA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/>
    </w:pPr>
    <w:rPr>
      <w:rFonts w:asciiTheme="majorHAnsi" w:eastAsiaTheme="majorEastAsia" w:hAnsiTheme="majorHAnsi" w:cstheme="majorBidi" w:ascii="Aptos" w:hAnsi="Aptos"/>
      <w:b w:val="0"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spacing w:after="60"/>
    </w:pPr>
    <w:rPr>
      <w:rFonts w:ascii="Aptos" w:hAnsi="Aptos"/>
      <w:color w:val="6666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