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Document</w:t>
      </w:r>
    </w:p>
    <w:p>
      <w:pPr>
        <w:jc w:val="center"/>
      </w:pPr>
      <w:r>
        <w:rPr>
          <w:b/>
          <w:color w:val="23384D"/>
          <w:sz w:val="32"/>
        </w:rPr>
        <w:t>Polymarket Scanner, Paper Trader, and Live Execution Bot</w:t>
      </w:r>
    </w:p>
    <w:p>
      <w:pPr>
        <w:pStyle w:val="Subtitle"/>
        <w:jc w:val="center"/>
      </w:pPr>
      <w:r>
        <w:t>Production-style SDD for a Python MVP</w:t>
      </w:r>
    </w:p>
    <w:p/>
    <w:tbl>
      <w:tblPr>
        <w:tblStyle w:val="TableGrid"/>
        <w:tblW w:type="auto" w:w="0"/>
        <w:jc w:val="center"/>
        <w:tblLook w:firstColumn="1" w:firstRow="1" w:lastColumn="0" w:lastRow="0" w:noHBand="0" w:noVBand="1" w:val="04A0"/>
      </w:tblPr>
      <w:tblGrid>
        <w:gridCol w:w="4968"/>
        <w:gridCol w:w="4968"/>
      </w:tblGrid>
      <w:tr>
        <w:tc>
          <w:tcPr>
            <w:tcW w:type="dxa" w:w="4968"/>
            <w:tcMar>
              <w:top w:w="90" w:type="dxa"/>
              <w:start w:w="120" w:type="dxa"/>
              <w:bottom w:w="90" w:type="dxa"/>
              <w:end w:w="120" w:type="dxa"/>
            </w:tcMar>
            <w:vAlign w:val="center"/>
            <w:shd w:fill="D9E7F5"/>
          </w:tcPr>
          <w:p>
            <w:r>
              <w:rPr>
                <w:sz w:val="20"/>
              </w:rPr>
              <w:t>Prepared for</w:t>
            </w:r>
          </w:p>
        </w:tc>
        <w:tc>
          <w:tcPr>
            <w:tcW w:type="dxa" w:w="4968"/>
            <w:tcMar>
              <w:top w:w="90" w:type="dxa"/>
              <w:start w:w="120" w:type="dxa"/>
              <w:bottom w:w="90" w:type="dxa"/>
              <w:end w:w="120" w:type="dxa"/>
            </w:tcMar>
            <w:vAlign w:val="center"/>
          </w:tcPr>
          <w:p>
            <w:r>
              <w:rPr>
                <w:sz w:val="20"/>
              </w:rPr>
              <w:t>Omer Portnoy</w:t>
            </w:r>
          </w:p>
        </w:tc>
      </w:tr>
      <w:tr>
        <w:tc>
          <w:tcPr>
            <w:tcW w:type="dxa" w:w="4968"/>
            <w:tcMar>
              <w:top w:w="90" w:type="dxa"/>
              <w:start w:w="120" w:type="dxa"/>
              <w:bottom w:w="90" w:type="dxa"/>
              <w:end w:w="120" w:type="dxa"/>
            </w:tcMar>
            <w:vAlign w:val="center"/>
            <w:shd w:fill="D9E7F5"/>
          </w:tcPr>
          <w:p>
            <w:r>
              <w:rPr>
                <w:sz w:val="20"/>
              </w:rPr>
              <w:t>System name</w:t>
            </w:r>
          </w:p>
        </w:tc>
        <w:tc>
          <w:tcPr>
            <w:tcW w:type="dxa" w:w="4968"/>
            <w:tcMar>
              <w:top w:w="90" w:type="dxa"/>
              <w:start w:w="120" w:type="dxa"/>
              <w:bottom w:w="90" w:type="dxa"/>
              <w:end w:w="120" w:type="dxa"/>
            </w:tcMar>
            <w:vAlign w:val="center"/>
          </w:tcPr>
          <w:p>
            <w:r>
              <w:rPr>
                <w:sz w:val="20"/>
              </w:rPr>
              <w:t>Polymarket Bot</w:t>
            </w:r>
          </w:p>
        </w:tc>
      </w:tr>
      <w:tr>
        <w:tc>
          <w:tcPr>
            <w:tcW w:type="dxa" w:w="4968"/>
            <w:tcMar>
              <w:top w:w="90" w:type="dxa"/>
              <w:start w:w="120" w:type="dxa"/>
              <w:bottom w:w="90" w:type="dxa"/>
              <w:end w:w="120" w:type="dxa"/>
            </w:tcMar>
            <w:vAlign w:val="center"/>
            <w:shd w:fill="D9E7F5"/>
          </w:tcPr>
          <w:p>
            <w:r>
              <w:rPr>
                <w:sz w:val="20"/>
              </w:rPr>
              <w:t>Version</w:t>
            </w:r>
          </w:p>
        </w:tc>
        <w:tc>
          <w:tcPr>
            <w:tcW w:type="dxa" w:w="4968"/>
            <w:tcMar>
              <w:top w:w="90" w:type="dxa"/>
              <w:start w:w="120" w:type="dxa"/>
              <w:bottom w:w="90" w:type="dxa"/>
              <w:end w:w="120" w:type="dxa"/>
            </w:tcMar>
            <w:vAlign w:val="center"/>
          </w:tcPr>
          <w:p>
            <w:r>
              <w:rPr>
                <w:sz w:val="20"/>
              </w:rPr>
              <w:t>1.0</w:t>
            </w:r>
          </w:p>
        </w:tc>
      </w:tr>
      <w:tr>
        <w:tc>
          <w:tcPr>
            <w:tcW w:type="dxa" w:w="4968"/>
            <w:tcMar>
              <w:top w:w="90" w:type="dxa"/>
              <w:start w:w="120" w:type="dxa"/>
              <w:bottom w:w="90" w:type="dxa"/>
              <w:end w:w="120" w:type="dxa"/>
            </w:tcMar>
            <w:vAlign w:val="center"/>
            <w:shd w:fill="D9E7F5"/>
          </w:tcPr>
          <w:p>
            <w:r>
              <w:rPr>
                <w:sz w:val="20"/>
              </w:rPr>
              <w:t>Date</w:t>
            </w:r>
          </w:p>
        </w:tc>
        <w:tc>
          <w:tcPr>
            <w:tcW w:type="dxa" w:w="4968"/>
            <w:tcMar>
              <w:top w:w="90" w:type="dxa"/>
              <w:start w:w="120" w:type="dxa"/>
              <w:bottom w:w="90" w:type="dxa"/>
              <w:end w:w="120" w:type="dxa"/>
            </w:tcMar>
            <w:vAlign w:val="center"/>
          </w:tcPr>
          <w:p>
            <w:r>
              <w:rPr>
                <w:sz w:val="20"/>
              </w:rPr>
              <w:t>2026-03-16</w:t>
            </w:r>
          </w:p>
        </w:tc>
      </w:tr>
    </w:tbl>
    <w:p/>
    <w:tbl>
      <w:tblPr>
        <w:tblW w:type="auto" w:w="0"/>
        <w:tblLook w:firstColumn="1" w:firstRow="1" w:lastColumn="0" w:lastRow="0" w:noHBand="0" w:noVBand="1" w:val="04A0"/>
      </w:tblPr>
      <w:tblGrid>
        <w:gridCol w:w="9936"/>
      </w:tblGrid>
      <w:tr>
        <w:tc>
          <w:tcPr>
            <w:tcW w:type="dxa" w:w="9936"/>
            <w:shd w:fill="EEF4FA"/>
            <w:tcMar>
              <w:top w:w="140" w:type="dxa"/>
              <w:start w:w="140" w:type="dxa"/>
              <w:bottom w:w="140" w:type="dxa"/>
              <w:end w:w="140" w:type="dxa"/>
            </w:tcMar>
          </w:tcPr>
          <w:p>
            <w:r>
              <w:rPr>
                <w:sz w:val="21"/>
              </w:rPr>
              <w:t>Purpose: design a controlled, auditable system that discovers promising Polymarket binary markets, scores them with a model, paper-trades them first, and only then enables tightly constrained live execution. The architecture is intentionally risk-first and treats real trading as a later rollout stage.</w:t>
            </w:r>
          </w:p>
        </w:tc>
      </w:tr>
    </w:tbl>
    <w:p>
      <w:pPr>
        <w:pStyle w:val="Heading1"/>
      </w:pPr>
      <w:r>
        <w:t>1. System overview</w:t>
      </w:r>
    </w:p>
    <w:p>
      <w:pPr>
        <w:spacing w:after="80"/>
      </w:pPr>
      <w:r>
        <w:t>The system is a multi-service Python application that continuously ingests market data, computes signals, simulates trades, and optionally routes approved signals to a live execution service. The design separates market-data collection from trading authority so that public scanning can scale without exposing credentials.</w:t>
      </w:r>
    </w:p>
    <w:p>
      <w:pPr>
        <w:spacing w:after="80"/>
      </w:pPr>
      <w:r>
        <w:t>The target use case is short-duration binary markets such as “ETH up or down in 15 minutes.” The first release is intentionally narrow: one market family, one strategy, one risk manager, and one paper-trading path before live rollout.</w:t>
      </w:r>
    </w:p>
    <w:p>
      <w:pPr>
        <w:pStyle w:val="Heading1"/>
      </w:pPr>
      <w:r>
        <w:t>2. Goals and non-goals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F4E79"/>
            <w:tcMar>
              <w:top w:w="90" w:type="dxa"/>
              <w:start w:w="120" w:type="dxa"/>
              <w:bottom w:w="90" w:type="dxa"/>
              <w:end w:w="120" w:type="dxa"/>
            </w:tcMar>
            <w:vAlign w:val="center"/>
          </w:tcPr>
          <w:p>
            <w:pPr>
              <w:jc w:val="center"/>
            </w:pPr>
            <w:r>
              <w:rPr>
                <w:b/>
                <w:color w:val="FFFFFF"/>
                <w:sz w:val="19"/>
              </w:rPr>
              <w:t>Area</w:t>
            </w:r>
          </w:p>
        </w:tc>
        <w:tc>
          <w:tcPr>
            <w:tcW w:type="dxa" w:w="4752"/>
            <w:shd w:fill="1F4E79"/>
            <w:tcMar>
              <w:top w:w="90" w:type="dxa"/>
              <w:start w:w="120" w:type="dxa"/>
              <w:bottom w:w="90" w:type="dxa"/>
              <w:end w:w="120" w:type="dxa"/>
            </w:tcMar>
            <w:vAlign w:val="center"/>
          </w:tcPr>
          <w:p>
            <w:pPr>
              <w:jc w:val="center"/>
            </w:pPr>
            <w:r>
              <w:rPr>
                <w:b/>
                <w:color w:val="FFFFFF"/>
                <w:sz w:val="19"/>
              </w:rPr>
              <w:t>In scope</w:t>
            </w:r>
          </w:p>
        </w:tc>
        <w:tc>
          <w:tcPr>
            <w:tcW w:type="dxa" w:w="3456"/>
            <w:shd w:fill="1F4E79"/>
            <w:tcMar>
              <w:top w:w="90" w:type="dxa"/>
              <w:start w:w="120" w:type="dxa"/>
              <w:bottom w:w="90" w:type="dxa"/>
              <w:end w:w="120" w:type="dxa"/>
            </w:tcMar>
            <w:vAlign w:val="center"/>
          </w:tcPr>
          <w:p>
            <w:pPr>
              <w:jc w:val="center"/>
            </w:pPr>
            <w:r>
              <w:rPr>
                <w:b/>
                <w:color w:val="FFFFFF"/>
                <w:sz w:val="19"/>
              </w:rPr>
              <w:t>Out of scope for MVP</w:t>
            </w:r>
          </w:p>
        </w:tc>
      </w:tr>
      <w:tr>
        <w:tc>
          <w:tcPr>
            <w:tcW w:type="dxa" w:w="2160"/>
            <w:tcMar>
              <w:top w:w="90" w:type="dxa"/>
              <w:start w:w="120" w:type="dxa"/>
              <w:bottom w:w="90" w:type="dxa"/>
              <w:end w:w="120" w:type="dxa"/>
            </w:tcMar>
            <w:vAlign w:val="center"/>
          </w:tcPr>
          <w:p>
            <w:pPr>
              <w:jc w:val="left"/>
            </w:pPr>
            <w:r>
              <w:rPr>
                <w:sz w:val="19"/>
              </w:rPr>
              <w:t>Trading workflow</w:t>
            </w:r>
          </w:p>
        </w:tc>
        <w:tc>
          <w:tcPr>
            <w:tcW w:type="dxa" w:w="4752"/>
            <w:tcMar>
              <w:top w:w="90" w:type="dxa"/>
              <w:start w:w="120" w:type="dxa"/>
              <w:bottom w:w="90" w:type="dxa"/>
              <w:end w:w="120" w:type="dxa"/>
            </w:tcMar>
            <w:vAlign w:val="center"/>
          </w:tcPr>
          <w:p>
            <w:pPr>
              <w:jc w:val="left"/>
            </w:pPr>
            <w:r>
              <w:rPr>
                <w:sz w:val="19"/>
              </w:rPr>
              <w:t>Scanner, signals, paper trader, live executor skeleton</w:t>
            </w:r>
          </w:p>
        </w:tc>
        <w:tc>
          <w:tcPr>
            <w:tcW w:type="dxa" w:w="3456"/>
            <w:tcMar>
              <w:top w:w="90" w:type="dxa"/>
              <w:start w:w="120" w:type="dxa"/>
              <w:bottom w:w="90" w:type="dxa"/>
              <w:end w:w="120" w:type="dxa"/>
            </w:tcMar>
            <w:vAlign w:val="center"/>
          </w:tcPr>
          <w:p>
            <w:pPr>
              <w:jc w:val="left"/>
            </w:pPr>
            <w:r>
              <w:rPr>
                <w:sz w:val="19"/>
              </w:rPr>
              <w:t>Aggressive multi-strategy portfolio manager</w:t>
            </w:r>
          </w:p>
        </w:tc>
      </w:tr>
      <w:tr>
        <w:tc>
          <w:tcPr>
            <w:tcW w:type="dxa" w:w="2160"/>
            <w:tcMar>
              <w:top w:w="90" w:type="dxa"/>
              <w:start w:w="120" w:type="dxa"/>
              <w:bottom w:w="90" w:type="dxa"/>
              <w:end w:w="120" w:type="dxa"/>
            </w:tcMar>
            <w:vAlign w:val="center"/>
          </w:tcPr>
          <w:p>
            <w:pPr>
              <w:jc w:val="left"/>
            </w:pPr>
            <w:r>
              <w:rPr>
                <w:sz w:val="19"/>
              </w:rPr>
              <w:t>Data</w:t>
            </w:r>
          </w:p>
        </w:tc>
        <w:tc>
          <w:tcPr>
            <w:tcW w:type="dxa" w:w="4752"/>
            <w:tcMar>
              <w:top w:w="90" w:type="dxa"/>
              <w:start w:w="120" w:type="dxa"/>
              <w:bottom w:w="90" w:type="dxa"/>
              <w:end w:w="120" w:type="dxa"/>
            </w:tcMar>
            <w:vAlign w:val="center"/>
          </w:tcPr>
          <w:p>
            <w:pPr>
              <w:jc w:val="left"/>
            </w:pPr>
            <w:r>
              <w:rPr>
                <w:sz w:val="19"/>
              </w:rPr>
              <w:t>Public REST + WebSocket market data, normalized snapshots</w:t>
            </w:r>
          </w:p>
        </w:tc>
        <w:tc>
          <w:tcPr>
            <w:tcW w:type="dxa" w:w="3456"/>
            <w:tcMar>
              <w:top w:w="90" w:type="dxa"/>
              <w:start w:w="120" w:type="dxa"/>
              <w:bottom w:w="90" w:type="dxa"/>
              <w:end w:w="120" w:type="dxa"/>
            </w:tcMar>
            <w:vAlign w:val="center"/>
          </w:tcPr>
          <w:p>
            <w:pPr>
              <w:jc w:val="left"/>
            </w:pPr>
            <w:r>
              <w:rPr>
                <w:sz w:val="19"/>
              </w:rPr>
              <w:t>Massive historical warehousing and full research platform</w:t>
            </w:r>
          </w:p>
        </w:tc>
      </w:tr>
      <w:tr>
        <w:tc>
          <w:tcPr>
            <w:tcW w:type="dxa" w:w="2160"/>
            <w:tcMar>
              <w:top w:w="90" w:type="dxa"/>
              <w:start w:w="120" w:type="dxa"/>
              <w:bottom w:w="90" w:type="dxa"/>
              <w:end w:w="120" w:type="dxa"/>
            </w:tcMar>
            <w:vAlign w:val="center"/>
          </w:tcPr>
          <w:p>
            <w:pPr>
              <w:jc w:val="left"/>
            </w:pPr>
            <w:r>
              <w:rPr>
                <w:sz w:val="19"/>
              </w:rPr>
              <w:t>Execution</w:t>
            </w:r>
          </w:p>
        </w:tc>
        <w:tc>
          <w:tcPr>
            <w:tcW w:type="dxa" w:w="4752"/>
            <w:tcMar>
              <w:top w:w="90" w:type="dxa"/>
              <w:start w:w="120" w:type="dxa"/>
              <w:bottom w:w="90" w:type="dxa"/>
              <w:end w:w="120" w:type="dxa"/>
            </w:tcMar>
            <w:vAlign w:val="center"/>
          </w:tcPr>
          <w:p>
            <w:pPr>
              <w:jc w:val="left"/>
            </w:pPr>
            <w:r>
              <w:rPr>
                <w:sz w:val="19"/>
              </w:rPr>
              <w:t>Limit-order oriented submission path with guardrails</w:t>
            </w:r>
          </w:p>
        </w:tc>
        <w:tc>
          <w:tcPr>
            <w:tcW w:type="dxa" w:w="3456"/>
            <w:tcMar>
              <w:top w:w="90" w:type="dxa"/>
              <w:start w:w="120" w:type="dxa"/>
              <w:bottom w:w="90" w:type="dxa"/>
              <w:end w:w="120" w:type="dxa"/>
            </w:tcMar>
            <w:vAlign w:val="center"/>
          </w:tcPr>
          <w:p>
            <w:pPr>
              <w:jc w:val="left"/>
            </w:pPr>
            <w:r>
              <w:rPr>
                <w:sz w:val="19"/>
              </w:rPr>
              <w:t>High-frequency latency arbitrage</w:t>
            </w:r>
          </w:p>
        </w:tc>
      </w:tr>
      <w:tr>
        <w:tc>
          <w:tcPr>
            <w:tcW w:type="dxa" w:w="2160"/>
            <w:tcMar>
              <w:top w:w="90" w:type="dxa"/>
              <w:start w:w="120" w:type="dxa"/>
              <w:bottom w:w="90" w:type="dxa"/>
              <w:end w:w="120" w:type="dxa"/>
            </w:tcMar>
            <w:vAlign w:val="center"/>
          </w:tcPr>
          <w:p>
            <w:pPr>
              <w:jc w:val="left"/>
            </w:pPr>
            <w:r>
              <w:rPr>
                <w:sz w:val="19"/>
              </w:rPr>
              <w:t>Operations</w:t>
            </w:r>
          </w:p>
        </w:tc>
        <w:tc>
          <w:tcPr>
            <w:tcW w:type="dxa" w:w="4752"/>
            <w:tcMar>
              <w:top w:w="90" w:type="dxa"/>
              <w:start w:w="120" w:type="dxa"/>
              <w:bottom w:w="90" w:type="dxa"/>
              <w:end w:w="120" w:type="dxa"/>
            </w:tcMar>
            <w:vAlign w:val="center"/>
          </w:tcPr>
          <w:p>
            <w:pPr>
              <w:jc w:val="left"/>
            </w:pPr>
            <w:r>
              <w:rPr>
                <w:sz w:val="19"/>
              </w:rPr>
              <w:t>Auditability, health endpoints, risk controls</w:t>
            </w:r>
          </w:p>
        </w:tc>
        <w:tc>
          <w:tcPr>
            <w:tcW w:type="dxa" w:w="3456"/>
            <w:tcMar>
              <w:top w:w="90" w:type="dxa"/>
              <w:start w:w="120" w:type="dxa"/>
              <w:bottom w:w="90" w:type="dxa"/>
              <w:end w:w="120" w:type="dxa"/>
            </w:tcMar>
            <w:vAlign w:val="center"/>
          </w:tcPr>
          <w:p>
            <w:pPr>
              <w:jc w:val="left"/>
            </w:pPr>
            <w:r>
              <w:rPr>
                <w:sz w:val="19"/>
              </w:rPr>
              <w:t>Rich frontend dashboards or mobile app</w:t>
            </w:r>
          </w:p>
        </w:tc>
      </w:tr>
    </w:tbl>
    <w:p/>
    <w:p>
      <w:pPr>
        <w:pStyle w:val="Heading1"/>
      </w:pPr>
      <w:r>
        <w:t>3. Architectural principles</w:t>
      </w:r>
    </w:p>
    <w:p>
      <w:pPr>
        <w:spacing w:after="80"/>
      </w:pPr>
      <w:r>
        <w:t>Safety-first: live trading stays disabled by default, with paper mode enabled first.</w:t>
      </w:r>
    </w:p>
    <w:p>
      <w:pPr>
        <w:spacing w:after="80"/>
      </w:pPr>
      <w:r>
        <w:t>Single-writer execution: only the execution service may handle private keys and authenticated order placement.</w:t>
      </w:r>
    </w:p>
    <w:p>
      <w:pPr>
        <w:spacing w:after="80"/>
      </w:pPr>
      <w:r>
        <w:t>Observable state: every signal, risk decision, order, and fill should be persisted or logged.</w:t>
      </w:r>
    </w:p>
    <w:p>
      <w:pPr>
        <w:spacing w:after="80"/>
      </w:pPr>
      <w:r>
        <w:t>Composable strategy engine: each strategy consumes the same normalized market snapshot contract.</w:t>
      </w:r>
    </w:p>
    <w:p>
      <w:pPr>
        <w:spacing w:after="80"/>
      </w:pPr>
      <w:r>
        <w:t>Narrow first release: one exchange, one market family, one strategy, one report.</w:t>
      </w:r>
    </w:p>
    <w:p>
      <w:pPr>
        <w:pStyle w:val="Heading1"/>
      </w:pPr>
      <w:r>
        <w:t>4. High-level component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Mar>
              <w:top w:w="90" w:type="dxa"/>
              <w:start w:w="120" w:type="dxa"/>
              <w:bottom w:w="90" w:type="dxa"/>
              <w:end w:w="120" w:type="dxa"/>
            </w:tcMar>
            <w:vAlign w:val="center"/>
          </w:tcPr>
          <w:p>
            <w:pPr>
              <w:jc w:val="center"/>
            </w:pPr>
            <w:r>
              <w:rPr>
                <w:b/>
                <w:color w:val="FFFFFF"/>
                <w:sz w:val="19"/>
              </w:rPr>
              <w:t>Component</w:t>
            </w:r>
          </w:p>
        </w:tc>
        <w:tc>
          <w:tcPr>
            <w:tcW w:type="dxa" w:w="5328"/>
            <w:shd w:fill="1F4E79"/>
            <w:tcMar>
              <w:top w:w="90" w:type="dxa"/>
              <w:start w:w="120" w:type="dxa"/>
              <w:bottom w:w="90" w:type="dxa"/>
              <w:end w:w="120" w:type="dxa"/>
            </w:tcMar>
            <w:vAlign w:val="center"/>
          </w:tcPr>
          <w:p>
            <w:pPr>
              <w:jc w:val="center"/>
            </w:pPr>
            <w:r>
              <w:rPr>
                <w:b/>
                <w:color w:val="FFFFFF"/>
                <w:sz w:val="19"/>
              </w:rPr>
              <w:t>Primary responsibility</w:t>
            </w:r>
          </w:p>
        </w:tc>
        <w:tc>
          <w:tcPr>
            <w:tcW w:type="dxa" w:w="2592"/>
            <w:shd w:fill="1F4E79"/>
            <w:tcMar>
              <w:top w:w="90" w:type="dxa"/>
              <w:start w:w="120" w:type="dxa"/>
              <w:bottom w:w="90" w:type="dxa"/>
              <w:end w:w="120" w:type="dxa"/>
            </w:tcMar>
            <w:vAlign w:val="center"/>
          </w:tcPr>
          <w:p>
            <w:pPr>
              <w:jc w:val="center"/>
            </w:pPr>
            <w:r>
              <w:rPr>
                <w:b/>
                <w:color w:val="FFFFFF"/>
                <w:sz w:val="19"/>
              </w:rPr>
              <w:t>Key outputs</w:t>
            </w:r>
          </w:p>
        </w:tc>
      </w:tr>
      <w:tr>
        <w:tc>
          <w:tcPr>
            <w:tcW w:type="dxa" w:w="2304"/>
            <w:tcMar>
              <w:top w:w="90" w:type="dxa"/>
              <w:start w:w="120" w:type="dxa"/>
              <w:bottom w:w="90" w:type="dxa"/>
              <w:end w:w="120" w:type="dxa"/>
            </w:tcMar>
            <w:vAlign w:val="center"/>
          </w:tcPr>
          <w:p>
            <w:pPr>
              <w:jc w:val="left"/>
            </w:pPr>
            <w:r>
              <w:rPr>
                <w:sz w:val="19"/>
              </w:rPr>
              <w:t>Market Scanner</w:t>
            </w:r>
          </w:p>
        </w:tc>
        <w:tc>
          <w:tcPr>
            <w:tcW w:type="dxa" w:w="5328"/>
            <w:tcMar>
              <w:top w:w="90" w:type="dxa"/>
              <w:start w:w="120" w:type="dxa"/>
              <w:bottom w:w="90" w:type="dxa"/>
              <w:end w:w="120" w:type="dxa"/>
            </w:tcMar>
            <w:vAlign w:val="center"/>
          </w:tcPr>
          <w:p>
            <w:pPr>
              <w:jc w:val="left"/>
            </w:pPr>
            <w:r>
              <w:rPr>
                <w:sz w:val="19"/>
              </w:rPr>
              <w:t>Discover active markets, fetch order-book data, maintain fresh snapshots</w:t>
            </w:r>
          </w:p>
        </w:tc>
        <w:tc>
          <w:tcPr>
            <w:tcW w:type="dxa" w:w="2592"/>
            <w:tcMar>
              <w:top w:w="90" w:type="dxa"/>
              <w:start w:w="120" w:type="dxa"/>
              <w:bottom w:w="90" w:type="dxa"/>
              <w:end w:w="120" w:type="dxa"/>
            </w:tcMar>
            <w:vAlign w:val="center"/>
          </w:tcPr>
          <w:p>
            <w:pPr>
              <w:jc w:val="left"/>
            </w:pPr>
            <w:r>
              <w:rPr>
                <w:sz w:val="19"/>
              </w:rPr>
              <w:t>Normalized market snapshots</w:t>
            </w:r>
          </w:p>
        </w:tc>
      </w:tr>
      <w:tr>
        <w:tc>
          <w:tcPr>
            <w:tcW w:type="dxa" w:w="2304"/>
            <w:tcMar>
              <w:top w:w="90" w:type="dxa"/>
              <w:start w:w="120" w:type="dxa"/>
              <w:bottom w:w="90" w:type="dxa"/>
              <w:end w:w="120" w:type="dxa"/>
            </w:tcMar>
            <w:vAlign w:val="center"/>
          </w:tcPr>
          <w:p>
            <w:pPr>
              <w:jc w:val="left"/>
            </w:pPr>
            <w:r>
              <w:rPr>
                <w:sz w:val="19"/>
              </w:rPr>
              <w:t>Strategy Engine</w:t>
            </w:r>
          </w:p>
        </w:tc>
        <w:tc>
          <w:tcPr>
            <w:tcW w:type="dxa" w:w="5328"/>
            <w:tcMar>
              <w:top w:w="90" w:type="dxa"/>
              <w:start w:w="120" w:type="dxa"/>
              <w:bottom w:w="90" w:type="dxa"/>
              <w:end w:w="120" w:type="dxa"/>
            </w:tcMar>
            <w:vAlign w:val="center"/>
          </w:tcPr>
          <w:p>
            <w:pPr>
              <w:jc w:val="left"/>
            </w:pPr>
            <w:r>
              <w:rPr>
                <w:sz w:val="19"/>
              </w:rPr>
              <w:t>Estimate fair probability and compute tradable edge</w:t>
            </w:r>
          </w:p>
        </w:tc>
        <w:tc>
          <w:tcPr>
            <w:tcW w:type="dxa" w:w="2592"/>
            <w:tcMar>
              <w:top w:w="90" w:type="dxa"/>
              <w:start w:w="120" w:type="dxa"/>
              <w:bottom w:w="90" w:type="dxa"/>
              <w:end w:w="120" w:type="dxa"/>
            </w:tcMar>
            <w:vAlign w:val="center"/>
          </w:tcPr>
          <w:p>
            <w:pPr>
              <w:jc w:val="left"/>
            </w:pPr>
            <w:r>
              <w:rPr>
                <w:sz w:val="19"/>
              </w:rPr>
              <w:t>Trade signals</w:t>
            </w:r>
          </w:p>
        </w:tc>
      </w:tr>
      <w:tr>
        <w:tc>
          <w:tcPr>
            <w:tcW w:type="dxa" w:w="2304"/>
            <w:tcMar>
              <w:top w:w="90" w:type="dxa"/>
              <w:start w:w="120" w:type="dxa"/>
              <w:bottom w:w="90" w:type="dxa"/>
              <w:end w:w="120" w:type="dxa"/>
            </w:tcMar>
            <w:vAlign w:val="center"/>
          </w:tcPr>
          <w:p>
            <w:pPr>
              <w:jc w:val="left"/>
            </w:pPr>
            <w:r>
              <w:rPr>
                <w:sz w:val="19"/>
              </w:rPr>
              <w:t>Risk Manager</w:t>
            </w:r>
          </w:p>
        </w:tc>
        <w:tc>
          <w:tcPr>
            <w:tcW w:type="dxa" w:w="5328"/>
            <w:tcMar>
              <w:top w:w="90" w:type="dxa"/>
              <w:start w:w="120" w:type="dxa"/>
              <w:bottom w:w="90" w:type="dxa"/>
              <w:end w:w="120" w:type="dxa"/>
            </w:tcMar>
            <w:vAlign w:val="center"/>
          </w:tcPr>
          <w:p>
            <w:pPr>
              <w:jc w:val="left"/>
            </w:pPr>
            <w:r>
              <w:rPr>
                <w:sz w:val="19"/>
              </w:rPr>
              <w:t>Apply hard and soft checks before an order can exist</w:t>
            </w:r>
          </w:p>
        </w:tc>
        <w:tc>
          <w:tcPr>
            <w:tcW w:type="dxa" w:w="2592"/>
            <w:tcMar>
              <w:top w:w="90" w:type="dxa"/>
              <w:start w:w="120" w:type="dxa"/>
              <w:bottom w:w="90" w:type="dxa"/>
              <w:end w:w="120" w:type="dxa"/>
            </w:tcMar>
            <w:vAlign w:val="center"/>
          </w:tcPr>
          <w:p>
            <w:pPr>
              <w:jc w:val="left"/>
            </w:pPr>
            <w:r>
              <w:rPr>
                <w:sz w:val="19"/>
              </w:rPr>
              <w:t>Approved / rejected decisions</w:t>
            </w:r>
          </w:p>
        </w:tc>
      </w:tr>
      <w:tr>
        <w:tc>
          <w:tcPr>
            <w:tcW w:type="dxa" w:w="2304"/>
            <w:tcMar>
              <w:top w:w="90" w:type="dxa"/>
              <w:start w:w="120" w:type="dxa"/>
              <w:bottom w:w="90" w:type="dxa"/>
              <w:end w:w="120" w:type="dxa"/>
            </w:tcMar>
            <w:vAlign w:val="center"/>
          </w:tcPr>
          <w:p>
            <w:pPr>
              <w:jc w:val="left"/>
            </w:pPr>
            <w:r>
              <w:rPr>
                <w:sz w:val="19"/>
              </w:rPr>
              <w:t>Paper Trader</w:t>
            </w:r>
          </w:p>
        </w:tc>
        <w:tc>
          <w:tcPr>
            <w:tcW w:type="dxa" w:w="5328"/>
            <w:tcMar>
              <w:top w:w="90" w:type="dxa"/>
              <w:start w:w="120" w:type="dxa"/>
              <w:bottom w:w="90" w:type="dxa"/>
              <w:end w:w="120" w:type="dxa"/>
            </w:tcMar>
            <w:vAlign w:val="center"/>
          </w:tcPr>
          <w:p>
            <w:pPr>
              <w:jc w:val="left"/>
            </w:pPr>
            <w:r>
              <w:rPr>
                <w:sz w:val="19"/>
              </w:rPr>
              <w:t>Simulate order placement and fills with conservative assumptions</w:t>
            </w:r>
          </w:p>
        </w:tc>
        <w:tc>
          <w:tcPr>
            <w:tcW w:type="dxa" w:w="2592"/>
            <w:tcMar>
              <w:top w:w="90" w:type="dxa"/>
              <w:start w:w="120" w:type="dxa"/>
              <w:bottom w:w="90" w:type="dxa"/>
              <w:end w:w="120" w:type="dxa"/>
            </w:tcMar>
            <w:vAlign w:val="center"/>
          </w:tcPr>
          <w:p>
            <w:pPr>
              <w:jc w:val="left"/>
            </w:pPr>
            <w:r>
              <w:rPr>
                <w:sz w:val="19"/>
              </w:rPr>
              <w:t>Paper orders, positions, PnL</w:t>
            </w:r>
          </w:p>
        </w:tc>
      </w:tr>
      <w:tr>
        <w:tc>
          <w:tcPr>
            <w:tcW w:type="dxa" w:w="2304"/>
            <w:tcMar>
              <w:top w:w="90" w:type="dxa"/>
              <w:start w:w="120" w:type="dxa"/>
              <w:bottom w:w="90" w:type="dxa"/>
              <w:end w:w="120" w:type="dxa"/>
            </w:tcMar>
            <w:vAlign w:val="center"/>
          </w:tcPr>
          <w:p>
            <w:pPr>
              <w:jc w:val="left"/>
            </w:pPr>
            <w:r>
              <w:rPr>
                <w:sz w:val="19"/>
              </w:rPr>
              <w:t>Live Executor</w:t>
            </w:r>
          </w:p>
        </w:tc>
        <w:tc>
          <w:tcPr>
            <w:tcW w:type="dxa" w:w="5328"/>
            <w:tcMar>
              <w:top w:w="90" w:type="dxa"/>
              <w:start w:w="120" w:type="dxa"/>
              <w:bottom w:w="90" w:type="dxa"/>
              <w:end w:w="120" w:type="dxa"/>
            </w:tcMar>
            <w:vAlign w:val="center"/>
          </w:tcPr>
          <w:p>
            <w:pPr>
              <w:jc w:val="left"/>
            </w:pPr>
            <w:r>
              <w:rPr>
                <w:sz w:val="19"/>
              </w:rPr>
              <w:t>Submit real orders through authenticated APIs</w:t>
            </w:r>
          </w:p>
        </w:tc>
        <w:tc>
          <w:tcPr>
            <w:tcW w:type="dxa" w:w="2592"/>
            <w:tcMar>
              <w:top w:w="90" w:type="dxa"/>
              <w:start w:w="120" w:type="dxa"/>
              <w:bottom w:w="90" w:type="dxa"/>
              <w:end w:w="120" w:type="dxa"/>
            </w:tcMar>
            <w:vAlign w:val="center"/>
          </w:tcPr>
          <w:p>
            <w:pPr>
              <w:jc w:val="left"/>
            </w:pPr>
            <w:r>
              <w:rPr>
                <w:sz w:val="19"/>
              </w:rPr>
              <w:t>Live order events and fills</w:t>
            </w:r>
          </w:p>
        </w:tc>
      </w:tr>
      <w:tr>
        <w:tc>
          <w:tcPr>
            <w:tcW w:type="dxa" w:w="2304"/>
            <w:tcMar>
              <w:top w:w="90" w:type="dxa"/>
              <w:start w:w="120" w:type="dxa"/>
              <w:bottom w:w="90" w:type="dxa"/>
              <w:end w:w="120" w:type="dxa"/>
            </w:tcMar>
            <w:vAlign w:val="center"/>
          </w:tcPr>
          <w:p>
            <w:pPr>
              <w:jc w:val="left"/>
            </w:pPr>
            <w:r>
              <w:rPr>
                <w:sz w:val="19"/>
              </w:rPr>
              <w:t>Portfolio Service</w:t>
            </w:r>
          </w:p>
        </w:tc>
        <w:tc>
          <w:tcPr>
            <w:tcW w:type="dxa" w:w="5328"/>
            <w:tcMar>
              <w:top w:w="90" w:type="dxa"/>
              <w:start w:w="120" w:type="dxa"/>
              <w:bottom w:w="90" w:type="dxa"/>
              <w:end w:w="120" w:type="dxa"/>
            </w:tcMar>
            <w:vAlign w:val="center"/>
          </w:tcPr>
          <w:p>
            <w:pPr>
              <w:jc w:val="left"/>
            </w:pPr>
            <w:r>
              <w:rPr>
                <w:sz w:val="19"/>
              </w:rPr>
              <w:t>Track exposure, average cost, and realized/unrealized PnL</w:t>
            </w:r>
          </w:p>
        </w:tc>
        <w:tc>
          <w:tcPr>
            <w:tcW w:type="dxa" w:w="2592"/>
            <w:tcMar>
              <w:top w:w="90" w:type="dxa"/>
              <w:start w:w="120" w:type="dxa"/>
              <w:bottom w:w="90" w:type="dxa"/>
              <w:end w:w="120" w:type="dxa"/>
            </w:tcMar>
            <w:vAlign w:val="center"/>
          </w:tcPr>
          <w:p>
            <w:pPr>
              <w:jc w:val="left"/>
            </w:pPr>
            <w:r>
              <w:rPr>
                <w:sz w:val="19"/>
              </w:rPr>
              <w:t>Position state</w:t>
            </w:r>
          </w:p>
        </w:tc>
      </w:tr>
      <w:tr>
        <w:tc>
          <w:tcPr>
            <w:tcW w:type="dxa" w:w="2304"/>
            <w:tcMar>
              <w:top w:w="90" w:type="dxa"/>
              <w:start w:w="120" w:type="dxa"/>
              <w:bottom w:w="90" w:type="dxa"/>
              <w:end w:w="120" w:type="dxa"/>
            </w:tcMar>
            <w:vAlign w:val="center"/>
          </w:tcPr>
          <w:p>
            <w:pPr>
              <w:jc w:val="left"/>
            </w:pPr>
            <w:r>
              <w:rPr>
                <w:sz w:val="19"/>
              </w:rPr>
              <w:t>Control API</w:t>
            </w:r>
          </w:p>
        </w:tc>
        <w:tc>
          <w:tcPr>
            <w:tcW w:type="dxa" w:w="5328"/>
            <w:tcMar>
              <w:top w:w="90" w:type="dxa"/>
              <w:start w:w="120" w:type="dxa"/>
              <w:bottom w:w="90" w:type="dxa"/>
              <w:end w:w="120" w:type="dxa"/>
            </w:tcMar>
            <w:vAlign w:val="center"/>
          </w:tcPr>
          <w:p>
            <w:pPr>
              <w:jc w:val="left"/>
            </w:pPr>
            <w:r>
              <w:rPr>
                <w:sz w:val="19"/>
              </w:rPr>
              <w:t>Expose health, config, preview, and operator actions</w:t>
            </w:r>
          </w:p>
        </w:tc>
        <w:tc>
          <w:tcPr>
            <w:tcW w:type="dxa" w:w="2592"/>
            <w:tcMar>
              <w:top w:w="90" w:type="dxa"/>
              <w:start w:w="120" w:type="dxa"/>
              <w:bottom w:w="90" w:type="dxa"/>
              <w:end w:w="120" w:type="dxa"/>
            </w:tcMar>
            <w:vAlign w:val="center"/>
          </w:tcPr>
          <w:p>
            <w:pPr>
              <w:jc w:val="left"/>
            </w:pPr>
            <w:r>
              <w:rPr>
                <w:sz w:val="19"/>
              </w:rPr>
              <w:t>Operational endpoints</w:t>
            </w:r>
          </w:p>
        </w:tc>
      </w:tr>
    </w:tbl>
    <w:p/>
    <w:p>
      <w:pPr>
        <w:pStyle w:val="Heading1"/>
      </w:pPr>
      <w:r>
        <w:t>5. Logical flow</w:t>
      </w:r>
    </w:p>
    <w:p>
      <w:pPr>
        <w:spacing w:after="80"/>
      </w:pPr>
      <w:r>
        <w:t>1. Scanner fetches active target markets and updates local snapshot state.</w:t>
      </w:r>
    </w:p>
    <w:p>
      <w:pPr>
        <w:spacing w:after="80"/>
      </w:pPr>
      <w:r>
        <w:t>2. Strategy engine reads a fresh snapshot and computes model probability versus market probability.</w:t>
      </w:r>
    </w:p>
    <w:p>
      <w:pPr>
        <w:spacing w:after="80"/>
      </w:pPr>
      <w:r>
        <w:t>3. Risk manager validates spread, depth, edge, size, panic-stop state, and configuration limits.</w:t>
      </w:r>
    </w:p>
    <w:p>
      <w:pPr>
        <w:spacing w:after="80"/>
      </w:pPr>
      <w:r>
        <w:t>4. Paper trader or live executor consumes only approved signals.</w:t>
      </w:r>
    </w:p>
    <w:p>
      <w:pPr>
        <w:spacing w:after="80"/>
      </w:pPr>
      <w:r>
        <w:t>5. Portfolio and analytics services update state and publish operator-visible metrics.</w:t>
      </w:r>
    </w:p>
    <w:p>
      <w:pPr>
        <w:pStyle w:val="Heading1"/>
      </w:pPr>
      <w:r>
        <w:t>6. Deployment view</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F4E79"/>
            <w:tcMar>
              <w:top w:w="90" w:type="dxa"/>
              <w:start w:w="120" w:type="dxa"/>
              <w:bottom w:w="90" w:type="dxa"/>
              <w:end w:w="120" w:type="dxa"/>
            </w:tcMar>
            <w:vAlign w:val="center"/>
          </w:tcPr>
          <w:p>
            <w:pPr>
              <w:jc w:val="center"/>
            </w:pPr>
            <w:r>
              <w:rPr>
                <w:b/>
                <w:color w:val="FFFFFF"/>
                <w:sz w:val="19"/>
              </w:rPr>
              <w:t>Deployment unit</w:t>
            </w:r>
          </w:p>
        </w:tc>
        <w:tc>
          <w:tcPr>
            <w:tcW w:type="dxa" w:w="2880"/>
            <w:shd w:fill="1F4E79"/>
            <w:tcMar>
              <w:top w:w="90" w:type="dxa"/>
              <w:start w:w="120" w:type="dxa"/>
              <w:bottom w:w="90" w:type="dxa"/>
              <w:end w:w="120" w:type="dxa"/>
            </w:tcMar>
            <w:vAlign w:val="center"/>
          </w:tcPr>
          <w:p>
            <w:pPr>
              <w:jc w:val="center"/>
            </w:pPr>
            <w:r>
              <w:rPr>
                <w:b/>
                <w:color w:val="FFFFFF"/>
                <w:sz w:val="19"/>
              </w:rPr>
              <w:t>Technology</w:t>
            </w:r>
          </w:p>
        </w:tc>
        <w:tc>
          <w:tcPr>
            <w:tcW w:type="dxa" w:w="5040"/>
            <w:shd w:fill="1F4E79"/>
            <w:tcMar>
              <w:top w:w="90" w:type="dxa"/>
              <w:start w:w="120" w:type="dxa"/>
              <w:bottom w:w="90" w:type="dxa"/>
              <w:end w:w="120" w:type="dxa"/>
            </w:tcMar>
            <w:vAlign w:val="center"/>
          </w:tcPr>
          <w:p>
            <w:pPr>
              <w:jc w:val="center"/>
            </w:pPr>
            <w:r>
              <w:rPr>
                <w:b/>
                <w:color w:val="FFFFFF"/>
                <w:sz w:val="19"/>
              </w:rPr>
              <w:t>Notes</w:t>
            </w:r>
          </w:p>
        </w:tc>
      </w:tr>
      <w:tr>
        <w:tc>
          <w:tcPr>
            <w:tcW w:type="dxa" w:w="2304"/>
            <w:tcMar>
              <w:top w:w="90" w:type="dxa"/>
              <w:start w:w="120" w:type="dxa"/>
              <w:bottom w:w="90" w:type="dxa"/>
              <w:end w:w="120" w:type="dxa"/>
            </w:tcMar>
            <w:vAlign w:val="center"/>
          </w:tcPr>
          <w:p>
            <w:pPr>
              <w:jc w:val="left"/>
            </w:pPr>
            <w:r>
              <w:rPr>
                <w:sz w:val="19"/>
              </w:rPr>
              <w:t>API service</w:t>
            </w:r>
          </w:p>
        </w:tc>
        <w:tc>
          <w:tcPr>
            <w:tcW w:type="dxa" w:w="2880"/>
            <w:tcMar>
              <w:top w:w="90" w:type="dxa"/>
              <w:start w:w="120" w:type="dxa"/>
              <w:bottom w:w="90" w:type="dxa"/>
              <w:end w:w="120" w:type="dxa"/>
            </w:tcMar>
            <w:vAlign w:val="center"/>
          </w:tcPr>
          <w:p>
            <w:pPr>
              <w:jc w:val="left"/>
            </w:pPr>
            <w:r>
              <w:rPr>
                <w:sz w:val="19"/>
              </w:rPr>
              <w:t>FastAPI + Uvicorn</w:t>
            </w:r>
          </w:p>
        </w:tc>
        <w:tc>
          <w:tcPr>
            <w:tcW w:type="dxa" w:w="5040"/>
            <w:tcMar>
              <w:top w:w="90" w:type="dxa"/>
              <w:start w:w="120" w:type="dxa"/>
              <w:bottom w:w="90" w:type="dxa"/>
              <w:end w:w="120" w:type="dxa"/>
            </w:tcMar>
            <w:vAlign w:val="center"/>
          </w:tcPr>
          <w:p>
            <w:pPr>
              <w:jc w:val="left"/>
            </w:pPr>
            <w:r>
              <w:rPr>
                <w:sz w:val="19"/>
              </w:rPr>
              <w:t>Control plane; no private trading in the public route layer</w:t>
            </w:r>
          </w:p>
        </w:tc>
      </w:tr>
      <w:tr>
        <w:tc>
          <w:tcPr>
            <w:tcW w:type="dxa" w:w="2304"/>
            <w:tcMar>
              <w:top w:w="90" w:type="dxa"/>
              <w:start w:w="120" w:type="dxa"/>
              <w:bottom w:w="90" w:type="dxa"/>
              <w:end w:w="120" w:type="dxa"/>
            </w:tcMar>
            <w:vAlign w:val="center"/>
          </w:tcPr>
          <w:p>
            <w:pPr>
              <w:jc w:val="left"/>
            </w:pPr>
            <w:r>
              <w:rPr>
                <w:sz w:val="19"/>
              </w:rPr>
              <w:t>Scanner worker</w:t>
            </w:r>
          </w:p>
        </w:tc>
        <w:tc>
          <w:tcPr>
            <w:tcW w:type="dxa" w:w="2880"/>
            <w:tcMar>
              <w:top w:w="90" w:type="dxa"/>
              <w:start w:w="120" w:type="dxa"/>
              <w:bottom w:w="90" w:type="dxa"/>
              <w:end w:w="120" w:type="dxa"/>
            </w:tcMar>
            <w:vAlign w:val="center"/>
          </w:tcPr>
          <w:p>
            <w:pPr>
              <w:jc w:val="left"/>
            </w:pPr>
            <w:r>
              <w:rPr>
                <w:sz w:val="19"/>
              </w:rPr>
              <w:t>Async Python worker</w:t>
            </w:r>
          </w:p>
        </w:tc>
        <w:tc>
          <w:tcPr>
            <w:tcW w:type="dxa" w:w="5040"/>
            <w:tcMar>
              <w:top w:w="90" w:type="dxa"/>
              <w:start w:w="120" w:type="dxa"/>
              <w:bottom w:w="90" w:type="dxa"/>
              <w:end w:w="120" w:type="dxa"/>
            </w:tcMar>
            <w:vAlign w:val="center"/>
          </w:tcPr>
          <w:p>
            <w:pPr>
              <w:jc w:val="left"/>
            </w:pPr>
            <w:r>
              <w:rPr>
                <w:sz w:val="19"/>
              </w:rPr>
              <w:t>Periodic polling plus future WebSocket streaming</w:t>
            </w:r>
          </w:p>
        </w:tc>
      </w:tr>
      <w:tr>
        <w:tc>
          <w:tcPr>
            <w:tcW w:type="dxa" w:w="2304"/>
            <w:tcMar>
              <w:top w:w="90" w:type="dxa"/>
              <w:start w:w="120" w:type="dxa"/>
              <w:bottom w:w="90" w:type="dxa"/>
              <w:end w:w="120" w:type="dxa"/>
            </w:tcMar>
            <w:vAlign w:val="center"/>
          </w:tcPr>
          <w:p>
            <w:pPr>
              <w:jc w:val="left"/>
            </w:pPr>
            <w:r>
              <w:rPr>
                <w:sz w:val="19"/>
              </w:rPr>
              <w:t>Signal worker</w:t>
            </w:r>
          </w:p>
        </w:tc>
        <w:tc>
          <w:tcPr>
            <w:tcW w:type="dxa" w:w="2880"/>
            <w:tcMar>
              <w:top w:w="90" w:type="dxa"/>
              <w:start w:w="120" w:type="dxa"/>
              <w:bottom w:w="90" w:type="dxa"/>
              <w:end w:w="120" w:type="dxa"/>
            </w:tcMar>
            <w:vAlign w:val="center"/>
          </w:tcPr>
          <w:p>
            <w:pPr>
              <w:jc w:val="left"/>
            </w:pPr>
            <w:r>
              <w:rPr>
                <w:sz w:val="19"/>
              </w:rPr>
              <w:t>Async Python worker</w:t>
            </w:r>
          </w:p>
        </w:tc>
        <w:tc>
          <w:tcPr>
            <w:tcW w:type="dxa" w:w="5040"/>
            <w:tcMar>
              <w:top w:w="90" w:type="dxa"/>
              <w:start w:w="120" w:type="dxa"/>
              <w:bottom w:w="90" w:type="dxa"/>
              <w:end w:w="120" w:type="dxa"/>
            </w:tcMar>
            <w:vAlign w:val="center"/>
          </w:tcPr>
          <w:p>
            <w:pPr>
              <w:jc w:val="left"/>
            </w:pPr>
            <w:r>
              <w:rPr>
                <w:sz w:val="19"/>
              </w:rPr>
              <w:t>Runs strategy evaluation continuously</w:t>
            </w:r>
          </w:p>
        </w:tc>
      </w:tr>
      <w:tr>
        <w:tc>
          <w:tcPr>
            <w:tcW w:type="dxa" w:w="2304"/>
            <w:tcMar>
              <w:top w:w="90" w:type="dxa"/>
              <w:start w:w="120" w:type="dxa"/>
              <w:bottom w:w="90" w:type="dxa"/>
              <w:end w:w="120" w:type="dxa"/>
            </w:tcMar>
            <w:vAlign w:val="center"/>
          </w:tcPr>
          <w:p>
            <w:pPr>
              <w:jc w:val="left"/>
            </w:pPr>
            <w:r>
              <w:rPr>
                <w:sz w:val="19"/>
              </w:rPr>
              <w:t>Paper worker</w:t>
            </w:r>
          </w:p>
        </w:tc>
        <w:tc>
          <w:tcPr>
            <w:tcW w:type="dxa" w:w="2880"/>
            <w:tcMar>
              <w:top w:w="90" w:type="dxa"/>
              <w:start w:w="120" w:type="dxa"/>
              <w:bottom w:w="90" w:type="dxa"/>
              <w:end w:w="120" w:type="dxa"/>
            </w:tcMar>
            <w:vAlign w:val="center"/>
          </w:tcPr>
          <w:p>
            <w:pPr>
              <w:jc w:val="left"/>
            </w:pPr>
            <w:r>
              <w:rPr>
                <w:sz w:val="19"/>
              </w:rPr>
              <w:t>Async Python worker</w:t>
            </w:r>
          </w:p>
        </w:tc>
        <w:tc>
          <w:tcPr>
            <w:tcW w:type="dxa" w:w="5040"/>
            <w:tcMar>
              <w:top w:w="90" w:type="dxa"/>
              <w:start w:w="120" w:type="dxa"/>
              <w:bottom w:w="90" w:type="dxa"/>
              <w:end w:w="120" w:type="dxa"/>
            </w:tcMar>
            <w:vAlign w:val="center"/>
          </w:tcPr>
          <w:p>
            <w:pPr>
              <w:jc w:val="left"/>
            </w:pPr>
            <w:r>
              <w:rPr>
                <w:sz w:val="19"/>
              </w:rPr>
              <w:t>Default trading mode during validation</w:t>
            </w:r>
          </w:p>
        </w:tc>
      </w:tr>
      <w:tr>
        <w:tc>
          <w:tcPr>
            <w:tcW w:type="dxa" w:w="2304"/>
            <w:tcMar>
              <w:top w:w="90" w:type="dxa"/>
              <w:start w:w="120" w:type="dxa"/>
              <w:bottom w:w="90" w:type="dxa"/>
              <w:end w:w="120" w:type="dxa"/>
            </w:tcMar>
            <w:vAlign w:val="center"/>
          </w:tcPr>
          <w:p>
            <w:pPr>
              <w:jc w:val="left"/>
            </w:pPr>
            <w:r>
              <w:rPr>
                <w:sz w:val="19"/>
              </w:rPr>
              <w:t>Execution worker</w:t>
            </w:r>
          </w:p>
        </w:tc>
        <w:tc>
          <w:tcPr>
            <w:tcW w:type="dxa" w:w="2880"/>
            <w:tcMar>
              <w:top w:w="90" w:type="dxa"/>
              <w:start w:w="120" w:type="dxa"/>
              <w:bottom w:w="90" w:type="dxa"/>
              <w:end w:w="120" w:type="dxa"/>
            </w:tcMar>
            <w:vAlign w:val="center"/>
          </w:tcPr>
          <w:p>
            <w:pPr>
              <w:jc w:val="left"/>
            </w:pPr>
            <w:r>
              <w:rPr>
                <w:sz w:val="19"/>
              </w:rPr>
              <w:t>Async Python worker</w:t>
            </w:r>
          </w:p>
        </w:tc>
        <w:tc>
          <w:tcPr>
            <w:tcW w:type="dxa" w:w="5040"/>
            <w:tcMar>
              <w:top w:w="90" w:type="dxa"/>
              <w:start w:w="120" w:type="dxa"/>
              <w:bottom w:w="90" w:type="dxa"/>
              <w:end w:w="120" w:type="dxa"/>
            </w:tcMar>
            <w:vAlign w:val="center"/>
          </w:tcPr>
          <w:p>
            <w:pPr>
              <w:jc w:val="left"/>
            </w:pPr>
            <w:r>
              <w:rPr>
                <w:sz w:val="19"/>
              </w:rPr>
              <w:t>Server-side only; credential-restricted</w:t>
            </w:r>
          </w:p>
        </w:tc>
      </w:tr>
      <w:tr>
        <w:tc>
          <w:tcPr>
            <w:tcW w:type="dxa" w:w="2304"/>
            <w:tcMar>
              <w:top w:w="90" w:type="dxa"/>
              <w:start w:w="120" w:type="dxa"/>
              <w:bottom w:w="90" w:type="dxa"/>
              <w:end w:w="120" w:type="dxa"/>
            </w:tcMar>
            <w:vAlign w:val="center"/>
          </w:tcPr>
          <w:p>
            <w:pPr>
              <w:jc w:val="left"/>
            </w:pPr>
            <w:r>
              <w:rPr>
                <w:sz w:val="19"/>
              </w:rPr>
              <w:t>Database</w:t>
            </w:r>
          </w:p>
        </w:tc>
        <w:tc>
          <w:tcPr>
            <w:tcW w:type="dxa" w:w="2880"/>
            <w:tcMar>
              <w:top w:w="90" w:type="dxa"/>
              <w:start w:w="120" w:type="dxa"/>
              <w:bottom w:w="90" w:type="dxa"/>
              <w:end w:w="120" w:type="dxa"/>
            </w:tcMar>
            <w:vAlign w:val="center"/>
          </w:tcPr>
          <w:p>
            <w:pPr>
              <w:jc w:val="left"/>
            </w:pPr>
            <w:r>
              <w:rPr>
                <w:sz w:val="19"/>
              </w:rPr>
              <w:t>SQLite for scaffold / PostgreSQL in production</w:t>
            </w:r>
          </w:p>
        </w:tc>
        <w:tc>
          <w:tcPr>
            <w:tcW w:type="dxa" w:w="5040"/>
            <w:tcMar>
              <w:top w:w="90" w:type="dxa"/>
              <w:start w:w="120" w:type="dxa"/>
              <w:bottom w:w="90" w:type="dxa"/>
              <w:end w:w="120" w:type="dxa"/>
            </w:tcMar>
            <w:vAlign w:val="center"/>
          </w:tcPr>
          <w:p>
            <w:pPr>
              <w:jc w:val="left"/>
            </w:pPr>
            <w:r>
              <w:rPr>
                <w:sz w:val="19"/>
              </w:rPr>
              <w:t>SQLite is fine for local MVP; move to Postgres before serious usage</w:t>
            </w:r>
          </w:p>
        </w:tc>
      </w:tr>
      <w:tr>
        <w:tc>
          <w:tcPr>
            <w:tcW w:type="dxa" w:w="2304"/>
            <w:tcMar>
              <w:top w:w="90" w:type="dxa"/>
              <w:start w:w="120" w:type="dxa"/>
              <w:bottom w:w="90" w:type="dxa"/>
              <w:end w:w="120" w:type="dxa"/>
            </w:tcMar>
            <w:vAlign w:val="center"/>
          </w:tcPr>
          <w:p>
            <w:pPr>
              <w:jc w:val="left"/>
            </w:pPr>
            <w:r>
              <w:rPr>
                <w:sz w:val="19"/>
              </w:rPr>
              <w:t>Redis</w:t>
            </w:r>
          </w:p>
        </w:tc>
        <w:tc>
          <w:tcPr>
            <w:tcW w:type="dxa" w:w="2880"/>
            <w:tcMar>
              <w:top w:w="90" w:type="dxa"/>
              <w:start w:w="120" w:type="dxa"/>
              <w:bottom w:w="90" w:type="dxa"/>
              <w:end w:w="120" w:type="dxa"/>
            </w:tcMar>
            <w:vAlign w:val="center"/>
          </w:tcPr>
          <w:p>
            <w:pPr>
              <w:jc w:val="left"/>
            </w:pPr>
            <w:r>
              <w:rPr>
                <w:sz w:val="19"/>
              </w:rPr>
              <w:t>Optional queue / cache</w:t>
            </w:r>
          </w:p>
        </w:tc>
        <w:tc>
          <w:tcPr>
            <w:tcW w:type="dxa" w:w="5040"/>
            <w:tcMar>
              <w:top w:w="90" w:type="dxa"/>
              <w:start w:w="120" w:type="dxa"/>
              <w:bottom w:w="90" w:type="dxa"/>
              <w:end w:w="120" w:type="dxa"/>
            </w:tcMar>
            <w:vAlign w:val="center"/>
          </w:tcPr>
          <w:p>
            <w:pPr>
              <w:jc w:val="left"/>
            </w:pPr>
            <w:r>
              <w:rPr>
                <w:sz w:val="19"/>
              </w:rPr>
              <w:t>Useful once multiple workers need shared coordination</w:t>
            </w:r>
          </w:p>
        </w:tc>
      </w:tr>
    </w:tbl>
    <w:p/>
    <w:p>
      <w:pPr>
        <w:pStyle w:val="Heading1"/>
      </w:pPr>
      <w:r>
        <w:t>7. Service contracts</w:t>
      </w:r>
    </w:p>
    <w:p>
      <w:pPr>
        <w:pStyle w:val="Heading2"/>
      </w:pPr>
      <w:r>
        <w:t>7.1 Market snapshot</w:t>
      </w:r>
    </w:p>
    <w:p>
      <w:pPr>
        <w:spacing w:after="80"/>
      </w:pPr>
      <w:r>
        <w:t>A market snapshot is the canonical input to strategies. It must contain the latest best bid/ask, midpoint, spread, visible depth, market identifier, token identifier, time-to-expiry, and optional external reference features such as short-horizon return and realized volatility.</w:t>
      </w:r>
    </w:p>
    <w:p>
      <w:pPr>
        <w:pStyle w:val="Heading2"/>
      </w:pPr>
      <w:r>
        <w:t>7.2 Trade signal</w:t>
      </w:r>
    </w:p>
    <w:p>
      <w:pPr>
        <w:spacing w:after="80"/>
      </w:pPr>
      <w:r>
        <w:t>A trade signal is generated only by a strategy. It carries strategy name, side, market probability, model probability, edge, confidence, suggested price, suggested size, and a human-readable reason code. Downstream services must treat the signal as a proposal, not authority.</w:t>
      </w:r>
    </w:p>
    <w:p>
      <w:pPr>
        <w:pStyle w:val="Heading2"/>
      </w:pPr>
      <w:r>
        <w:t>7.3 Order intent</w:t>
      </w:r>
    </w:p>
    <w:p>
      <w:pPr>
        <w:spacing w:after="80"/>
      </w:pPr>
      <w:r>
        <w:t>An order intent is created only after risk approval. It is the smallest trade artifact that either the paper trader or live executor may act on.</w:t>
      </w:r>
    </w:p>
    <w:p>
      <w:pPr>
        <w:pStyle w:val="Heading1"/>
      </w:pPr>
      <w:r>
        <w:t>8. Risk model</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1F4E79"/>
            <w:tcMar>
              <w:top w:w="90" w:type="dxa"/>
              <w:start w:w="120" w:type="dxa"/>
              <w:bottom w:w="90" w:type="dxa"/>
              <w:end w:w="120" w:type="dxa"/>
            </w:tcMar>
            <w:vAlign w:val="center"/>
          </w:tcPr>
          <w:p>
            <w:pPr>
              <w:jc w:val="center"/>
            </w:pPr>
            <w:r>
              <w:rPr>
                <w:b/>
                <w:color w:val="FFFFFF"/>
                <w:sz w:val="19"/>
              </w:rPr>
              <w:t>Control</w:t>
            </w:r>
          </w:p>
        </w:tc>
        <w:tc>
          <w:tcPr>
            <w:tcW w:type="dxa" w:w="2592"/>
            <w:shd w:fill="1F4E79"/>
            <w:tcMar>
              <w:top w:w="90" w:type="dxa"/>
              <w:start w:w="120" w:type="dxa"/>
              <w:bottom w:w="90" w:type="dxa"/>
              <w:end w:w="120" w:type="dxa"/>
            </w:tcMar>
            <w:vAlign w:val="center"/>
          </w:tcPr>
          <w:p>
            <w:pPr>
              <w:jc w:val="center"/>
            </w:pPr>
            <w:r>
              <w:rPr>
                <w:b/>
                <w:color w:val="FFFFFF"/>
                <w:sz w:val="19"/>
              </w:rPr>
              <w:t>Default scaffold value</w:t>
            </w:r>
          </w:p>
        </w:tc>
        <w:tc>
          <w:tcPr>
            <w:tcW w:type="dxa" w:w="4320"/>
            <w:shd w:fill="1F4E79"/>
            <w:tcMar>
              <w:top w:w="90" w:type="dxa"/>
              <w:start w:w="120" w:type="dxa"/>
              <w:bottom w:w="90" w:type="dxa"/>
              <w:end w:w="120" w:type="dxa"/>
            </w:tcMar>
            <w:vAlign w:val="center"/>
          </w:tcPr>
          <w:p>
            <w:pPr>
              <w:jc w:val="center"/>
            </w:pPr>
            <w:r>
              <w:rPr>
                <w:b/>
                <w:color w:val="FFFFFF"/>
                <w:sz w:val="19"/>
              </w:rPr>
              <w:t>Reason</w:t>
            </w:r>
          </w:p>
        </w:tc>
      </w:tr>
      <w:tr>
        <w:tc>
          <w:tcPr>
            <w:tcW w:type="dxa" w:w="3168"/>
            <w:tcMar>
              <w:top w:w="90" w:type="dxa"/>
              <w:start w:w="120" w:type="dxa"/>
              <w:bottom w:w="90" w:type="dxa"/>
              <w:end w:w="120" w:type="dxa"/>
            </w:tcMar>
            <w:vAlign w:val="center"/>
          </w:tcPr>
          <w:p>
            <w:pPr>
              <w:jc w:val="left"/>
            </w:pPr>
            <w:r>
              <w:rPr>
                <w:sz w:val="19"/>
              </w:rPr>
              <w:t>Live trading enabled</w:t>
            </w:r>
          </w:p>
        </w:tc>
        <w:tc>
          <w:tcPr>
            <w:tcW w:type="dxa" w:w="2592"/>
            <w:tcMar>
              <w:top w:w="90" w:type="dxa"/>
              <w:start w:w="120" w:type="dxa"/>
              <w:bottom w:w="90" w:type="dxa"/>
              <w:end w:w="120" w:type="dxa"/>
            </w:tcMar>
            <w:vAlign w:val="center"/>
          </w:tcPr>
          <w:p>
            <w:pPr>
              <w:jc w:val="left"/>
            </w:pPr>
            <w:r>
              <w:rPr>
                <w:sz w:val="19"/>
              </w:rPr>
              <w:t>False</w:t>
            </w:r>
          </w:p>
        </w:tc>
        <w:tc>
          <w:tcPr>
            <w:tcW w:type="dxa" w:w="4320"/>
            <w:tcMar>
              <w:top w:w="90" w:type="dxa"/>
              <w:start w:w="120" w:type="dxa"/>
              <w:bottom w:w="90" w:type="dxa"/>
              <w:end w:w="120" w:type="dxa"/>
            </w:tcMar>
            <w:vAlign w:val="center"/>
          </w:tcPr>
          <w:p>
            <w:pPr>
              <w:jc w:val="left"/>
            </w:pPr>
            <w:r>
              <w:rPr>
                <w:sz w:val="19"/>
              </w:rPr>
              <w:t>Prevents accidental real orders</w:t>
            </w:r>
          </w:p>
        </w:tc>
      </w:tr>
      <w:tr>
        <w:tc>
          <w:tcPr>
            <w:tcW w:type="dxa" w:w="3168"/>
            <w:tcMar>
              <w:top w:w="90" w:type="dxa"/>
              <w:start w:w="120" w:type="dxa"/>
              <w:bottom w:w="90" w:type="dxa"/>
              <w:end w:w="120" w:type="dxa"/>
            </w:tcMar>
            <w:vAlign w:val="center"/>
          </w:tcPr>
          <w:p>
            <w:pPr>
              <w:jc w:val="left"/>
            </w:pPr>
            <w:r>
              <w:rPr>
                <w:sz w:val="19"/>
              </w:rPr>
              <w:t>Paper trading enabled</w:t>
            </w:r>
          </w:p>
        </w:tc>
        <w:tc>
          <w:tcPr>
            <w:tcW w:type="dxa" w:w="2592"/>
            <w:tcMar>
              <w:top w:w="90" w:type="dxa"/>
              <w:start w:w="120" w:type="dxa"/>
              <w:bottom w:w="90" w:type="dxa"/>
              <w:end w:w="120" w:type="dxa"/>
            </w:tcMar>
            <w:vAlign w:val="center"/>
          </w:tcPr>
          <w:p>
            <w:pPr>
              <w:jc w:val="left"/>
            </w:pPr>
            <w:r>
              <w:rPr>
                <w:sz w:val="19"/>
              </w:rPr>
              <w:t>True</w:t>
            </w:r>
          </w:p>
        </w:tc>
        <w:tc>
          <w:tcPr>
            <w:tcW w:type="dxa" w:w="4320"/>
            <w:tcMar>
              <w:top w:w="90" w:type="dxa"/>
              <w:start w:w="120" w:type="dxa"/>
              <w:bottom w:w="90" w:type="dxa"/>
              <w:end w:w="120" w:type="dxa"/>
            </w:tcMar>
            <w:vAlign w:val="center"/>
          </w:tcPr>
          <w:p>
            <w:pPr>
              <w:jc w:val="left"/>
            </w:pPr>
            <w:r>
              <w:rPr>
                <w:sz w:val="19"/>
              </w:rPr>
              <w:t>Supports early validation</w:t>
            </w:r>
          </w:p>
        </w:tc>
      </w:tr>
      <w:tr>
        <w:tc>
          <w:tcPr>
            <w:tcW w:type="dxa" w:w="3168"/>
            <w:tcMar>
              <w:top w:w="90" w:type="dxa"/>
              <w:start w:w="120" w:type="dxa"/>
              <w:bottom w:w="90" w:type="dxa"/>
              <w:end w:w="120" w:type="dxa"/>
            </w:tcMar>
            <w:vAlign w:val="center"/>
          </w:tcPr>
          <w:p>
            <w:pPr>
              <w:jc w:val="left"/>
            </w:pPr>
            <w:r>
              <w:rPr>
                <w:sz w:val="19"/>
              </w:rPr>
              <w:t>Max order size</w:t>
            </w:r>
          </w:p>
        </w:tc>
        <w:tc>
          <w:tcPr>
            <w:tcW w:type="dxa" w:w="2592"/>
            <w:tcMar>
              <w:top w:w="90" w:type="dxa"/>
              <w:start w:w="120" w:type="dxa"/>
              <w:bottom w:w="90" w:type="dxa"/>
              <w:end w:w="120" w:type="dxa"/>
            </w:tcMar>
            <w:vAlign w:val="center"/>
          </w:tcPr>
          <w:p>
            <w:pPr>
              <w:jc w:val="left"/>
            </w:pPr>
            <w:r>
              <w:rPr>
                <w:sz w:val="19"/>
              </w:rPr>
              <w:t>$10</w:t>
            </w:r>
          </w:p>
        </w:tc>
        <w:tc>
          <w:tcPr>
            <w:tcW w:type="dxa" w:w="4320"/>
            <w:tcMar>
              <w:top w:w="90" w:type="dxa"/>
              <w:start w:w="120" w:type="dxa"/>
              <w:bottom w:w="90" w:type="dxa"/>
              <w:end w:w="120" w:type="dxa"/>
            </w:tcMar>
            <w:vAlign w:val="center"/>
          </w:tcPr>
          <w:p>
            <w:pPr>
              <w:jc w:val="left"/>
            </w:pPr>
            <w:r>
              <w:rPr>
                <w:sz w:val="19"/>
              </w:rPr>
              <w:t>Caps single-trade damage</w:t>
            </w:r>
          </w:p>
        </w:tc>
      </w:tr>
      <w:tr>
        <w:tc>
          <w:tcPr>
            <w:tcW w:type="dxa" w:w="3168"/>
            <w:tcMar>
              <w:top w:w="90" w:type="dxa"/>
              <w:start w:w="120" w:type="dxa"/>
              <w:bottom w:w="90" w:type="dxa"/>
              <w:end w:w="120" w:type="dxa"/>
            </w:tcMar>
            <w:vAlign w:val="center"/>
          </w:tcPr>
          <w:p>
            <w:pPr>
              <w:jc w:val="left"/>
            </w:pPr>
            <w:r>
              <w:rPr>
                <w:sz w:val="19"/>
              </w:rPr>
              <w:t>Max spread</w:t>
            </w:r>
          </w:p>
        </w:tc>
        <w:tc>
          <w:tcPr>
            <w:tcW w:type="dxa" w:w="2592"/>
            <w:tcMar>
              <w:top w:w="90" w:type="dxa"/>
              <w:start w:w="120" w:type="dxa"/>
              <w:bottom w:w="90" w:type="dxa"/>
              <w:end w:w="120" w:type="dxa"/>
            </w:tcMar>
            <w:vAlign w:val="center"/>
          </w:tcPr>
          <w:p>
            <w:pPr>
              <w:jc w:val="left"/>
            </w:pPr>
            <w:r>
              <w:rPr>
                <w:sz w:val="19"/>
              </w:rPr>
              <w:t>0.02</w:t>
            </w:r>
          </w:p>
        </w:tc>
        <w:tc>
          <w:tcPr>
            <w:tcW w:type="dxa" w:w="4320"/>
            <w:tcMar>
              <w:top w:w="90" w:type="dxa"/>
              <w:start w:w="120" w:type="dxa"/>
              <w:bottom w:w="90" w:type="dxa"/>
              <w:end w:w="120" w:type="dxa"/>
            </w:tcMar>
            <w:vAlign w:val="center"/>
          </w:tcPr>
          <w:p>
            <w:pPr>
              <w:jc w:val="left"/>
            </w:pPr>
            <w:r>
              <w:rPr>
                <w:sz w:val="19"/>
              </w:rPr>
              <w:t>Avoids very inefficient quotes</w:t>
            </w:r>
          </w:p>
        </w:tc>
      </w:tr>
      <w:tr>
        <w:tc>
          <w:tcPr>
            <w:tcW w:type="dxa" w:w="3168"/>
            <w:tcMar>
              <w:top w:w="90" w:type="dxa"/>
              <w:start w:w="120" w:type="dxa"/>
              <w:bottom w:w="90" w:type="dxa"/>
              <w:end w:w="120" w:type="dxa"/>
            </w:tcMar>
            <w:vAlign w:val="center"/>
          </w:tcPr>
          <w:p>
            <w:pPr>
              <w:jc w:val="left"/>
            </w:pPr>
            <w:r>
              <w:rPr>
                <w:sz w:val="19"/>
              </w:rPr>
              <w:t>Min visible depth</w:t>
            </w:r>
          </w:p>
        </w:tc>
        <w:tc>
          <w:tcPr>
            <w:tcW w:type="dxa" w:w="2592"/>
            <w:tcMar>
              <w:top w:w="90" w:type="dxa"/>
              <w:start w:w="120" w:type="dxa"/>
              <w:bottom w:w="90" w:type="dxa"/>
              <w:end w:w="120" w:type="dxa"/>
            </w:tcMar>
            <w:vAlign w:val="center"/>
          </w:tcPr>
          <w:p>
            <w:pPr>
              <w:jc w:val="left"/>
            </w:pPr>
            <w:r>
              <w:rPr>
                <w:sz w:val="19"/>
              </w:rPr>
              <w:t>$50</w:t>
            </w:r>
          </w:p>
        </w:tc>
        <w:tc>
          <w:tcPr>
            <w:tcW w:type="dxa" w:w="4320"/>
            <w:tcMar>
              <w:top w:w="90" w:type="dxa"/>
              <w:start w:w="120" w:type="dxa"/>
              <w:bottom w:w="90" w:type="dxa"/>
              <w:end w:w="120" w:type="dxa"/>
            </w:tcMar>
            <w:vAlign w:val="center"/>
          </w:tcPr>
          <w:p>
            <w:pPr>
              <w:jc w:val="left"/>
            </w:pPr>
            <w:r>
              <w:rPr>
                <w:sz w:val="19"/>
              </w:rPr>
              <w:t>Avoids thin markets for even small size</w:t>
            </w:r>
          </w:p>
        </w:tc>
      </w:tr>
      <w:tr>
        <w:tc>
          <w:tcPr>
            <w:tcW w:type="dxa" w:w="3168"/>
            <w:tcMar>
              <w:top w:w="90" w:type="dxa"/>
              <w:start w:w="120" w:type="dxa"/>
              <w:bottom w:w="90" w:type="dxa"/>
              <w:end w:w="120" w:type="dxa"/>
            </w:tcMar>
            <w:vAlign w:val="center"/>
          </w:tcPr>
          <w:p>
            <w:pPr>
              <w:jc w:val="left"/>
            </w:pPr>
            <w:r>
              <w:rPr>
                <w:sz w:val="19"/>
              </w:rPr>
              <w:t>Min edge</w:t>
            </w:r>
          </w:p>
        </w:tc>
        <w:tc>
          <w:tcPr>
            <w:tcW w:type="dxa" w:w="2592"/>
            <w:tcMar>
              <w:top w:w="90" w:type="dxa"/>
              <w:start w:w="120" w:type="dxa"/>
              <w:bottom w:w="90" w:type="dxa"/>
              <w:end w:w="120" w:type="dxa"/>
            </w:tcMar>
            <w:vAlign w:val="center"/>
          </w:tcPr>
          <w:p>
            <w:pPr>
              <w:jc w:val="left"/>
            </w:pPr>
            <w:r>
              <w:rPr>
                <w:sz w:val="19"/>
              </w:rPr>
              <w:t>0.04</w:t>
            </w:r>
          </w:p>
        </w:tc>
        <w:tc>
          <w:tcPr>
            <w:tcW w:type="dxa" w:w="4320"/>
            <w:tcMar>
              <w:top w:w="90" w:type="dxa"/>
              <w:start w:w="120" w:type="dxa"/>
              <w:bottom w:w="90" w:type="dxa"/>
              <w:end w:w="120" w:type="dxa"/>
            </w:tcMar>
            <w:vAlign w:val="center"/>
          </w:tcPr>
          <w:p>
            <w:pPr>
              <w:jc w:val="left"/>
            </w:pPr>
            <w:r>
              <w:rPr>
                <w:sz w:val="19"/>
              </w:rPr>
              <w:t>Requires a positive modeled margin</w:t>
            </w:r>
          </w:p>
        </w:tc>
      </w:tr>
      <w:tr>
        <w:tc>
          <w:tcPr>
            <w:tcW w:type="dxa" w:w="3168"/>
            <w:tcMar>
              <w:top w:w="90" w:type="dxa"/>
              <w:start w:w="120" w:type="dxa"/>
              <w:bottom w:w="90" w:type="dxa"/>
              <w:end w:w="120" w:type="dxa"/>
            </w:tcMar>
            <w:vAlign w:val="center"/>
          </w:tcPr>
          <w:p>
            <w:pPr>
              <w:jc w:val="left"/>
            </w:pPr>
            <w:r>
              <w:rPr>
                <w:sz w:val="19"/>
              </w:rPr>
              <w:t>Panic stop</w:t>
            </w:r>
          </w:p>
        </w:tc>
        <w:tc>
          <w:tcPr>
            <w:tcW w:type="dxa" w:w="2592"/>
            <w:tcMar>
              <w:top w:w="90" w:type="dxa"/>
              <w:start w:w="120" w:type="dxa"/>
              <w:bottom w:w="90" w:type="dxa"/>
              <w:end w:w="120" w:type="dxa"/>
            </w:tcMar>
            <w:vAlign w:val="center"/>
          </w:tcPr>
          <w:p>
            <w:pPr>
              <w:jc w:val="left"/>
            </w:pPr>
            <w:r>
              <w:rPr>
                <w:sz w:val="19"/>
              </w:rPr>
              <w:t>False by default, operator-switchable</w:t>
            </w:r>
          </w:p>
        </w:tc>
        <w:tc>
          <w:tcPr>
            <w:tcW w:type="dxa" w:w="4320"/>
            <w:tcMar>
              <w:top w:w="90" w:type="dxa"/>
              <w:start w:w="120" w:type="dxa"/>
              <w:bottom w:w="90" w:type="dxa"/>
              <w:end w:w="120" w:type="dxa"/>
            </w:tcMar>
            <w:vAlign w:val="center"/>
          </w:tcPr>
          <w:p>
            <w:pPr>
              <w:jc w:val="left"/>
            </w:pPr>
            <w:r>
              <w:rPr>
                <w:sz w:val="19"/>
              </w:rPr>
              <w:t>Hard stop for all trading activity</w:t>
            </w:r>
          </w:p>
        </w:tc>
      </w:tr>
    </w:tbl>
    <w:p/>
    <w:p>
      <w:pPr>
        <w:pStyle w:val="Heading1"/>
      </w:pPr>
      <w:r>
        <w:t>9. Data model</w:t>
      </w:r>
    </w:p>
    <w:p>
      <w:pPr>
        <w:spacing w:after="80"/>
      </w:pPr>
      <w:r>
        <w:t>The production design uses a relational database with explicit tables for markets, signals, orders, fills, positions, risk events, and health checks. The scaffold ships with a simplified SQLAlchemy model layer for markets and signals so the project can start immediately while leaving room for Alembic migrations.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9"/>
            <w:tcMar>
              <w:top w:w="90" w:type="dxa"/>
              <w:start w:w="120" w:type="dxa"/>
              <w:bottom w:w="90" w:type="dxa"/>
              <w:end w:w="120" w:type="dxa"/>
            </w:tcMar>
            <w:vAlign w:val="center"/>
          </w:tcPr>
          <w:p>
            <w:pPr>
              <w:jc w:val="center"/>
            </w:pPr>
            <w:r>
              <w:rPr>
                <w:b/>
                <w:color w:val="FFFFFF"/>
                <w:sz w:val="19"/>
              </w:rPr>
              <w:t>Table</w:t>
            </w:r>
          </w:p>
        </w:tc>
        <w:tc>
          <w:tcPr>
            <w:tcW w:type="dxa" w:w="3744"/>
            <w:shd w:fill="1F4E79"/>
            <w:tcMar>
              <w:top w:w="90" w:type="dxa"/>
              <w:start w:w="120" w:type="dxa"/>
              <w:bottom w:w="90" w:type="dxa"/>
              <w:end w:w="120" w:type="dxa"/>
            </w:tcMar>
            <w:vAlign w:val="center"/>
          </w:tcPr>
          <w:p>
            <w:pPr>
              <w:jc w:val="center"/>
            </w:pPr>
            <w:r>
              <w:rPr>
                <w:b/>
                <w:color w:val="FFFFFF"/>
                <w:sz w:val="19"/>
              </w:rPr>
              <w:t>Purpose</w:t>
            </w:r>
          </w:p>
        </w:tc>
        <w:tc>
          <w:tcPr>
            <w:tcW w:type="dxa" w:w="3888"/>
            <w:shd w:fill="1F4E79"/>
            <w:tcMar>
              <w:top w:w="90" w:type="dxa"/>
              <w:start w:w="120" w:type="dxa"/>
              <w:bottom w:w="90" w:type="dxa"/>
              <w:end w:w="120" w:type="dxa"/>
            </w:tcMar>
            <w:vAlign w:val="center"/>
          </w:tcPr>
          <w:p>
            <w:pPr>
              <w:jc w:val="center"/>
            </w:pPr>
            <w:r>
              <w:rPr>
                <w:b/>
                <w:color w:val="FFFFFF"/>
                <w:sz w:val="19"/>
              </w:rPr>
              <w:t>Critical fields</w:t>
            </w:r>
          </w:p>
        </w:tc>
      </w:tr>
      <w:tr>
        <w:tc>
          <w:tcPr>
            <w:tcW w:type="dxa" w:w="2448"/>
            <w:tcMar>
              <w:top w:w="90" w:type="dxa"/>
              <w:start w:w="120" w:type="dxa"/>
              <w:bottom w:w="90" w:type="dxa"/>
              <w:end w:w="120" w:type="dxa"/>
            </w:tcMar>
            <w:vAlign w:val="center"/>
          </w:tcPr>
          <w:p>
            <w:pPr>
              <w:jc w:val="left"/>
            </w:pPr>
            <w:r>
              <w:rPr>
                <w:sz w:val="19"/>
              </w:rPr>
              <w:t>markets</w:t>
            </w:r>
          </w:p>
        </w:tc>
        <w:tc>
          <w:tcPr>
            <w:tcW w:type="dxa" w:w="3744"/>
            <w:tcMar>
              <w:top w:w="90" w:type="dxa"/>
              <w:start w:w="120" w:type="dxa"/>
              <w:bottom w:w="90" w:type="dxa"/>
              <w:end w:w="120" w:type="dxa"/>
            </w:tcMar>
            <w:vAlign w:val="center"/>
          </w:tcPr>
          <w:p>
            <w:pPr>
              <w:jc w:val="left"/>
            </w:pPr>
            <w:r>
              <w:rPr>
                <w:sz w:val="19"/>
              </w:rPr>
              <w:t>Canonical metadata for tradable markets</w:t>
            </w:r>
          </w:p>
        </w:tc>
        <w:tc>
          <w:tcPr>
            <w:tcW w:type="dxa" w:w="3888"/>
            <w:tcMar>
              <w:top w:w="90" w:type="dxa"/>
              <w:start w:w="120" w:type="dxa"/>
              <w:bottom w:w="90" w:type="dxa"/>
              <w:end w:w="120" w:type="dxa"/>
            </w:tcMar>
            <w:vAlign w:val="center"/>
          </w:tcPr>
          <w:p>
            <w:pPr>
              <w:jc w:val="left"/>
            </w:pPr>
            <w:r>
              <w:rPr>
                <w:sz w:val="19"/>
              </w:rPr>
              <w:t>id, condition_id, question, category, active, closed</w:t>
            </w:r>
          </w:p>
        </w:tc>
      </w:tr>
      <w:tr>
        <w:tc>
          <w:tcPr>
            <w:tcW w:type="dxa" w:w="2448"/>
            <w:tcMar>
              <w:top w:w="90" w:type="dxa"/>
              <w:start w:w="120" w:type="dxa"/>
              <w:bottom w:w="90" w:type="dxa"/>
              <w:end w:w="120" w:type="dxa"/>
            </w:tcMar>
            <w:vAlign w:val="center"/>
          </w:tcPr>
          <w:p>
            <w:pPr>
              <w:jc w:val="left"/>
            </w:pPr>
            <w:r>
              <w:rPr>
                <w:sz w:val="19"/>
              </w:rPr>
              <w:t>outcome_tokens</w:t>
            </w:r>
          </w:p>
        </w:tc>
        <w:tc>
          <w:tcPr>
            <w:tcW w:type="dxa" w:w="3744"/>
            <w:tcMar>
              <w:top w:w="90" w:type="dxa"/>
              <w:start w:w="120" w:type="dxa"/>
              <w:bottom w:w="90" w:type="dxa"/>
              <w:end w:w="120" w:type="dxa"/>
            </w:tcMar>
            <w:vAlign w:val="center"/>
          </w:tcPr>
          <w:p>
            <w:pPr>
              <w:jc w:val="left"/>
            </w:pPr>
            <w:r>
              <w:rPr>
                <w:sz w:val="19"/>
              </w:rPr>
              <w:t>Maps markets to YES/NO token IDs</w:t>
            </w:r>
          </w:p>
        </w:tc>
        <w:tc>
          <w:tcPr>
            <w:tcW w:type="dxa" w:w="3888"/>
            <w:tcMar>
              <w:top w:w="90" w:type="dxa"/>
              <w:start w:w="120" w:type="dxa"/>
              <w:bottom w:w="90" w:type="dxa"/>
              <w:end w:w="120" w:type="dxa"/>
            </w:tcMar>
            <w:vAlign w:val="center"/>
          </w:tcPr>
          <w:p>
            <w:pPr>
              <w:jc w:val="left"/>
            </w:pPr>
            <w:r>
              <w:rPr>
                <w:sz w:val="19"/>
              </w:rPr>
              <w:t>market_id, token_id, outcome_name</w:t>
            </w:r>
          </w:p>
        </w:tc>
      </w:tr>
      <w:tr>
        <w:tc>
          <w:tcPr>
            <w:tcW w:type="dxa" w:w="2448"/>
            <w:tcMar>
              <w:top w:w="90" w:type="dxa"/>
              <w:start w:w="120" w:type="dxa"/>
              <w:bottom w:w="90" w:type="dxa"/>
              <w:end w:w="120" w:type="dxa"/>
            </w:tcMar>
            <w:vAlign w:val="center"/>
          </w:tcPr>
          <w:p>
            <w:pPr>
              <w:jc w:val="left"/>
            </w:pPr>
            <w:r>
              <w:rPr>
                <w:sz w:val="19"/>
              </w:rPr>
              <w:t>market_snapshots</w:t>
            </w:r>
          </w:p>
        </w:tc>
        <w:tc>
          <w:tcPr>
            <w:tcW w:type="dxa" w:w="3744"/>
            <w:tcMar>
              <w:top w:w="90" w:type="dxa"/>
              <w:start w:w="120" w:type="dxa"/>
              <w:bottom w:w="90" w:type="dxa"/>
              <w:end w:w="120" w:type="dxa"/>
            </w:tcMar>
            <w:vAlign w:val="center"/>
          </w:tcPr>
          <w:p>
            <w:pPr>
              <w:jc w:val="left"/>
            </w:pPr>
            <w:r>
              <w:rPr>
                <w:sz w:val="19"/>
              </w:rPr>
              <w:t>Time-series view of top-of-book state</w:t>
            </w:r>
          </w:p>
        </w:tc>
        <w:tc>
          <w:tcPr>
            <w:tcW w:type="dxa" w:w="3888"/>
            <w:tcMar>
              <w:top w:w="90" w:type="dxa"/>
              <w:start w:w="120" w:type="dxa"/>
              <w:bottom w:w="90" w:type="dxa"/>
              <w:end w:w="120" w:type="dxa"/>
            </w:tcMar>
            <w:vAlign w:val="center"/>
          </w:tcPr>
          <w:p>
            <w:pPr>
              <w:jc w:val="left"/>
            </w:pPr>
            <w:r>
              <w:rPr>
                <w:sz w:val="19"/>
              </w:rPr>
              <w:t>best_bid, best_ask, midpoint, spread, depth, timestamp</w:t>
            </w:r>
          </w:p>
        </w:tc>
      </w:tr>
      <w:tr>
        <w:tc>
          <w:tcPr>
            <w:tcW w:type="dxa" w:w="2448"/>
            <w:tcMar>
              <w:top w:w="90" w:type="dxa"/>
              <w:start w:w="120" w:type="dxa"/>
              <w:bottom w:w="90" w:type="dxa"/>
              <w:end w:w="120" w:type="dxa"/>
            </w:tcMar>
            <w:vAlign w:val="center"/>
          </w:tcPr>
          <w:p>
            <w:pPr>
              <w:jc w:val="left"/>
            </w:pPr>
            <w:r>
              <w:rPr>
                <w:sz w:val="19"/>
              </w:rPr>
              <w:t>signals</w:t>
            </w:r>
          </w:p>
        </w:tc>
        <w:tc>
          <w:tcPr>
            <w:tcW w:type="dxa" w:w="3744"/>
            <w:tcMar>
              <w:top w:w="90" w:type="dxa"/>
              <w:start w:w="120" w:type="dxa"/>
              <w:bottom w:w="90" w:type="dxa"/>
              <w:end w:w="120" w:type="dxa"/>
            </w:tcMar>
            <w:vAlign w:val="center"/>
          </w:tcPr>
          <w:p>
            <w:pPr>
              <w:jc w:val="left"/>
            </w:pPr>
            <w:r>
              <w:rPr>
                <w:sz w:val="19"/>
              </w:rPr>
              <w:t>Persisted strategy outputs</w:t>
            </w:r>
          </w:p>
        </w:tc>
        <w:tc>
          <w:tcPr>
            <w:tcW w:type="dxa" w:w="3888"/>
            <w:tcMar>
              <w:top w:w="90" w:type="dxa"/>
              <w:start w:w="120" w:type="dxa"/>
              <w:bottom w:w="90" w:type="dxa"/>
              <w:end w:w="120" w:type="dxa"/>
            </w:tcMar>
            <w:vAlign w:val="center"/>
          </w:tcPr>
          <w:p>
            <w:pPr>
              <w:jc w:val="left"/>
            </w:pPr>
            <w:r>
              <w:rPr>
                <w:sz w:val="19"/>
              </w:rPr>
              <w:t>market_prob, model_prob, edge, side, suggested_size</w:t>
            </w:r>
          </w:p>
        </w:tc>
      </w:tr>
      <w:tr>
        <w:tc>
          <w:tcPr>
            <w:tcW w:type="dxa" w:w="2448"/>
            <w:tcMar>
              <w:top w:w="90" w:type="dxa"/>
              <w:start w:w="120" w:type="dxa"/>
              <w:bottom w:w="90" w:type="dxa"/>
              <w:end w:w="120" w:type="dxa"/>
            </w:tcMar>
            <w:vAlign w:val="center"/>
          </w:tcPr>
          <w:p>
            <w:pPr>
              <w:jc w:val="left"/>
            </w:pPr>
            <w:r>
              <w:rPr>
                <w:sz w:val="19"/>
              </w:rPr>
              <w:t>paper_orders / live_orders</w:t>
            </w:r>
          </w:p>
        </w:tc>
        <w:tc>
          <w:tcPr>
            <w:tcW w:type="dxa" w:w="3744"/>
            <w:tcMar>
              <w:top w:w="90" w:type="dxa"/>
              <w:start w:w="120" w:type="dxa"/>
              <w:bottom w:w="90" w:type="dxa"/>
              <w:end w:w="120" w:type="dxa"/>
            </w:tcMar>
            <w:vAlign w:val="center"/>
          </w:tcPr>
          <w:p>
            <w:pPr>
              <w:jc w:val="left"/>
            </w:pPr>
            <w:r>
              <w:rPr>
                <w:sz w:val="19"/>
              </w:rPr>
              <w:t>Order lifecycle</w:t>
            </w:r>
          </w:p>
        </w:tc>
        <w:tc>
          <w:tcPr>
            <w:tcW w:type="dxa" w:w="3888"/>
            <w:tcMar>
              <w:top w:w="90" w:type="dxa"/>
              <w:start w:w="120" w:type="dxa"/>
              <w:bottom w:w="90" w:type="dxa"/>
              <w:end w:w="120" w:type="dxa"/>
            </w:tcMar>
            <w:vAlign w:val="center"/>
          </w:tcPr>
          <w:p>
            <w:pPr>
              <w:jc w:val="left"/>
            </w:pPr>
            <w:r>
              <w:rPr>
                <w:sz w:val="19"/>
              </w:rPr>
              <w:t>status, price, size, timestamps, external order id</w:t>
            </w:r>
          </w:p>
        </w:tc>
      </w:tr>
      <w:tr>
        <w:tc>
          <w:tcPr>
            <w:tcW w:type="dxa" w:w="2448"/>
            <w:tcMar>
              <w:top w:w="90" w:type="dxa"/>
              <w:start w:w="120" w:type="dxa"/>
              <w:bottom w:w="90" w:type="dxa"/>
              <w:end w:w="120" w:type="dxa"/>
            </w:tcMar>
            <w:vAlign w:val="center"/>
          </w:tcPr>
          <w:p>
            <w:pPr>
              <w:jc w:val="left"/>
            </w:pPr>
            <w:r>
              <w:rPr>
                <w:sz w:val="19"/>
              </w:rPr>
              <w:t>fills</w:t>
            </w:r>
          </w:p>
        </w:tc>
        <w:tc>
          <w:tcPr>
            <w:tcW w:type="dxa" w:w="3744"/>
            <w:tcMar>
              <w:top w:w="90" w:type="dxa"/>
              <w:start w:w="120" w:type="dxa"/>
              <w:bottom w:w="90" w:type="dxa"/>
              <w:end w:w="120" w:type="dxa"/>
            </w:tcMar>
            <w:vAlign w:val="center"/>
          </w:tcPr>
          <w:p>
            <w:pPr>
              <w:jc w:val="left"/>
            </w:pPr>
            <w:r>
              <w:rPr>
                <w:sz w:val="19"/>
              </w:rPr>
              <w:t>Execution facts</w:t>
            </w:r>
          </w:p>
        </w:tc>
        <w:tc>
          <w:tcPr>
            <w:tcW w:type="dxa" w:w="3888"/>
            <w:tcMar>
              <w:top w:w="90" w:type="dxa"/>
              <w:start w:w="120" w:type="dxa"/>
              <w:bottom w:w="90" w:type="dxa"/>
              <w:end w:w="120" w:type="dxa"/>
            </w:tcMar>
            <w:vAlign w:val="center"/>
          </w:tcPr>
          <w:p>
            <w:pPr>
              <w:jc w:val="left"/>
            </w:pPr>
            <w:r>
              <w:rPr>
                <w:sz w:val="19"/>
              </w:rPr>
              <w:t>fill_ts, price, shares, fee</w:t>
            </w:r>
          </w:p>
        </w:tc>
      </w:tr>
      <w:tr>
        <w:tc>
          <w:tcPr>
            <w:tcW w:type="dxa" w:w="2448"/>
            <w:tcMar>
              <w:top w:w="90" w:type="dxa"/>
              <w:start w:w="120" w:type="dxa"/>
              <w:bottom w:w="90" w:type="dxa"/>
              <w:end w:w="120" w:type="dxa"/>
            </w:tcMar>
            <w:vAlign w:val="center"/>
          </w:tcPr>
          <w:p>
            <w:pPr>
              <w:jc w:val="left"/>
            </w:pPr>
            <w:r>
              <w:rPr>
                <w:sz w:val="19"/>
              </w:rPr>
              <w:t>positions</w:t>
            </w:r>
          </w:p>
        </w:tc>
        <w:tc>
          <w:tcPr>
            <w:tcW w:type="dxa" w:w="3744"/>
            <w:tcMar>
              <w:top w:w="90" w:type="dxa"/>
              <w:start w:w="120" w:type="dxa"/>
              <w:bottom w:w="90" w:type="dxa"/>
              <w:end w:w="120" w:type="dxa"/>
            </w:tcMar>
            <w:vAlign w:val="center"/>
          </w:tcPr>
          <w:p>
            <w:pPr>
              <w:jc w:val="left"/>
            </w:pPr>
            <w:r>
              <w:rPr>
                <w:sz w:val="19"/>
              </w:rPr>
              <w:t>Current exposure and realized PnL</w:t>
            </w:r>
          </w:p>
        </w:tc>
        <w:tc>
          <w:tcPr>
            <w:tcW w:type="dxa" w:w="3888"/>
            <w:tcMar>
              <w:top w:w="90" w:type="dxa"/>
              <w:start w:w="120" w:type="dxa"/>
              <w:bottom w:w="90" w:type="dxa"/>
              <w:end w:w="120" w:type="dxa"/>
            </w:tcMar>
            <w:vAlign w:val="center"/>
          </w:tcPr>
          <w:p>
            <w:pPr>
              <w:jc w:val="left"/>
            </w:pPr>
            <w:r>
              <w:rPr>
                <w:sz w:val="19"/>
              </w:rPr>
              <w:t>net_shares, avg_cost, realized_pnl</w:t>
            </w:r>
          </w:p>
        </w:tc>
      </w:tr>
    </w:tbl>
    <w:p/>
    <w:p>
      <w:pPr>
        <w:pStyle w:val="Heading1"/>
      </w:pPr>
      <w:r>
        <w:t>10. API surface</w:t>
      </w:r>
    </w:p>
    <w:tbl>
      <w:tblPr>
        <w:tblStyle w:val="TableGrid"/>
        <w:tblW w:type="auto" w:w="0"/>
        <w:jc w:val="center"/>
        <w:tblLook w:firstColumn="1" w:firstRow="1" w:lastColumn="0" w:lastRow="0" w:noHBand="0" w:noVBand="1" w:val="04A0"/>
      </w:tblPr>
      <w:tblGrid>
        <w:gridCol w:w="4968"/>
        <w:gridCol w:w="4968"/>
      </w:tblGrid>
      <w:tr>
        <w:tc>
          <w:tcPr>
            <w:tcW w:type="dxa" w:w="3024"/>
            <w:shd w:fill="1F4E79"/>
            <w:tcMar>
              <w:top w:w="90" w:type="dxa"/>
              <w:start w:w="120" w:type="dxa"/>
              <w:bottom w:w="90" w:type="dxa"/>
              <w:end w:w="120" w:type="dxa"/>
            </w:tcMar>
            <w:vAlign w:val="center"/>
          </w:tcPr>
          <w:p>
            <w:pPr>
              <w:jc w:val="center"/>
            </w:pPr>
            <w:r>
              <w:rPr>
                <w:b/>
                <w:color w:val="FFFFFF"/>
                <w:sz w:val="19"/>
              </w:rPr>
              <w:t>Endpoint</w:t>
            </w:r>
          </w:p>
        </w:tc>
        <w:tc>
          <w:tcPr>
            <w:tcW w:type="dxa" w:w="7056"/>
            <w:shd w:fill="1F4E79"/>
            <w:tcMar>
              <w:top w:w="90" w:type="dxa"/>
              <w:start w:w="120" w:type="dxa"/>
              <w:bottom w:w="90" w:type="dxa"/>
              <w:end w:w="120" w:type="dxa"/>
            </w:tcMar>
            <w:vAlign w:val="center"/>
          </w:tcPr>
          <w:p>
            <w:pPr>
              <w:jc w:val="center"/>
            </w:pPr>
            <w:r>
              <w:rPr>
                <w:b/>
                <w:color w:val="FFFFFF"/>
                <w:sz w:val="19"/>
              </w:rPr>
              <w:t>Purpose</w:t>
            </w:r>
          </w:p>
        </w:tc>
      </w:tr>
      <w:tr>
        <w:tc>
          <w:tcPr>
            <w:tcW w:type="dxa" w:w="3024"/>
            <w:tcMar>
              <w:top w:w="90" w:type="dxa"/>
              <w:start w:w="120" w:type="dxa"/>
              <w:bottom w:w="90" w:type="dxa"/>
              <w:end w:w="120" w:type="dxa"/>
            </w:tcMar>
            <w:vAlign w:val="center"/>
          </w:tcPr>
          <w:p>
            <w:pPr>
              <w:jc w:val="left"/>
            </w:pPr>
            <w:r>
              <w:rPr>
                <w:sz w:val="19"/>
              </w:rPr>
              <w:t>GET /health</w:t>
            </w:r>
          </w:p>
        </w:tc>
        <w:tc>
          <w:tcPr>
            <w:tcW w:type="dxa" w:w="7056"/>
            <w:tcMar>
              <w:top w:w="90" w:type="dxa"/>
              <w:start w:w="120" w:type="dxa"/>
              <w:bottom w:w="90" w:type="dxa"/>
              <w:end w:w="120" w:type="dxa"/>
            </w:tcMar>
            <w:vAlign w:val="center"/>
          </w:tcPr>
          <w:p>
            <w:pPr>
              <w:jc w:val="left"/>
            </w:pPr>
            <w:r>
              <w:rPr>
                <w:sz w:val="19"/>
              </w:rPr>
              <w:t>Service liveness and current safety toggles</w:t>
            </w:r>
          </w:p>
        </w:tc>
      </w:tr>
      <w:tr>
        <w:tc>
          <w:tcPr>
            <w:tcW w:type="dxa" w:w="3024"/>
            <w:tcMar>
              <w:top w:w="90" w:type="dxa"/>
              <w:start w:w="120" w:type="dxa"/>
              <w:bottom w:w="90" w:type="dxa"/>
              <w:end w:w="120" w:type="dxa"/>
            </w:tcMar>
            <w:vAlign w:val="center"/>
          </w:tcPr>
          <w:p>
            <w:pPr>
              <w:jc w:val="left"/>
            </w:pPr>
            <w:r>
              <w:rPr>
                <w:sz w:val="19"/>
              </w:rPr>
              <w:t>GET /markets</w:t>
            </w:r>
          </w:p>
        </w:tc>
        <w:tc>
          <w:tcPr>
            <w:tcW w:type="dxa" w:w="7056"/>
            <w:tcMar>
              <w:top w:w="90" w:type="dxa"/>
              <w:start w:w="120" w:type="dxa"/>
              <w:bottom w:w="90" w:type="dxa"/>
              <w:end w:w="120" w:type="dxa"/>
            </w:tcMar>
            <w:vAlign w:val="center"/>
          </w:tcPr>
          <w:p>
            <w:pPr>
              <w:jc w:val="left"/>
            </w:pPr>
            <w:r>
              <w:rPr>
                <w:sz w:val="19"/>
              </w:rPr>
              <w:t>Preview active markets from the scanner client</w:t>
            </w:r>
          </w:p>
        </w:tc>
      </w:tr>
      <w:tr>
        <w:tc>
          <w:tcPr>
            <w:tcW w:type="dxa" w:w="3024"/>
            <w:tcMar>
              <w:top w:w="90" w:type="dxa"/>
              <w:start w:w="120" w:type="dxa"/>
              <w:bottom w:w="90" w:type="dxa"/>
              <w:end w:w="120" w:type="dxa"/>
            </w:tcMar>
            <w:vAlign w:val="center"/>
          </w:tcPr>
          <w:p>
            <w:pPr>
              <w:jc w:val="left"/>
            </w:pPr>
            <w:r>
              <w:rPr>
                <w:sz w:val="19"/>
              </w:rPr>
              <w:t>GET /signals/preview</w:t>
            </w:r>
          </w:p>
        </w:tc>
        <w:tc>
          <w:tcPr>
            <w:tcW w:type="dxa" w:w="7056"/>
            <w:tcMar>
              <w:top w:w="90" w:type="dxa"/>
              <w:start w:w="120" w:type="dxa"/>
              <w:bottom w:w="90" w:type="dxa"/>
              <w:end w:w="120" w:type="dxa"/>
            </w:tcMar>
            <w:vAlign w:val="center"/>
          </w:tcPr>
          <w:p>
            <w:pPr>
              <w:jc w:val="left"/>
            </w:pPr>
            <w:r>
              <w:rPr>
                <w:sz w:val="19"/>
              </w:rPr>
              <w:t>Return a sample strategy decision using an example snapshot</w:t>
            </w:r>
          </w:p>
        </w:tc>
      </w:tr>
      <w:tr>
        <w:tc>
          <w:tcPr>
            <w:tcW w:type="dxa" w:w="3024"/>
            <w:tcMar>
              <w:top w:w="90" w:type="dxa"/>
              <w:start w:w="120" w:type="dxa"/>
              <w:bottom w:w="90" w:type="dxa"/>
              <w:end w:w="120" w:type="dxa"/>
            </w:tcMar>
            <w:vAlign w:val="center"/>
          </w:tcPr>
          <w:p>
            <w:pPr>
              <w:jc w:val="left"/>
            </w:pPr>
            <w:r>
              <w:rPr>
                <w:sz w:val="19"/>
              </w:rPr>
              <w:t>GET /positions</w:t>
            </w:r>
          </w:p>
        </w:tc>
        <w:tc>
          <w:tcPr>
            <w:tcW w:type="dxa" w:w="7056"/>
            <w:tcMar>
              <w:top w:w="90" w:type="dxa"/>
              <w:start w:w="120" w:type="dxa"/>
              <w:bottom w:w="90" w:type="dxa"/>
              <w:end w:w="120" w:type="dxa"/>
            </w:tcMar>
            <w:vAlign w:val="center"/>
          </w:tcPr>
          <w:p>
            <w:pPr>
              <w:jc w:val="left"/>
            </w:pPr>
            <w:r>
              <w:rPr>
                <w:sz w:val="19"/>
              </w:rPr>
              <w:t>Return current positions once wired to persistence</w:t>
            </w:r>
          </w:p>
        </w:tc>
      </w:tr>
      <w:tr>
        <w:tc>
          <w:tcPr>
            <w:tcW w:type="dxa" w:w="3024"/>
            <w:tcMar>
              <w:top w:w="90" w:type="dxa"/>
              <w:start w:w="120" w:type="dxa"/>
              <w:bottom w:w="90" w:type="dxa"/>
              <w:end w:w="120" w:type="dxa"/>
            </w:tcMar>
            <w:vAlign w:val="center"/>
          </w:tcPr>
          <w:p>
            <w:pPr>
              <w:jc w:val="left"/>
            </w:pPr>
            <w:r>
              <w:rPr>
                <w:sz w:val="19"/>
              </w:rPr>
              <w:t>GET /config</w:t>
            </w:r>
          </w:p>
        </w:tc>
        <w:tc>
          <w:tcPr>
            <w:tcW w:type="dxa" w:w="7056"/>
            <w:tcMar>
              <w:top w:w="90" w:type="dxa"/>
              <w:start w:w="120" w:type="dxa"/>
              <w:bottom w:w="90" w:type="dxa"/>
              <w:end w:w="120" w:type="dxa"/>
            </w:tcMar>
            <w:vAlign w:val="center"/>
          </w:tcPr>
          <w:p>
            <w:pPr>
              <w:jc w:val="left"/>
            </w:pPr>
            <w:r>
              <w:rPr>
                <w:sz w:val="19"/>
              </w:rPr>
              <w:t>Expose current runtime risk thresholds</w:t>
            </w:r>
          </w:p>
        </w:tc>
      </w:tr>
    </w:tbl>
    <w:p/>
    <w:p>
      <w:pPr>
        <w:pStyle w:val="Heading1"/>
      </w:pPr>
      <w:r>
        <w:t>11. Strategy design for MVP</w:t>
      </w:r>
    </w:p>
    <w:p>
      <w:pPr>
        <w:spacing w:after="80"/>
      </w:pPr>
      <w:r>
        <w:t>The first strategy is ETHDirection15mStrategy. It is intentionally simple and transparent. It converts a small set of short-horizon features into a directional probability and compares that estimate against the market midpoint. The starter implementation uses a logistic-style score derived from recent return and realized volatility. This is not production alpha; it is a safe placeholder that demonstrates the end-to-end contract.</w:t>
      </w:r>
    </w:p>
    <w:p>
      <w:pPr>
        <w:spacing w:after="80"/>
      </w:pPr>
      <w:r>
        <w:t>Success criteria for the first strategy are operational rather than financial: deterministic outputs, stable scoring, explainable decisions, and a working audit trail through signal generation and paper order creation.</w:t>
      </w:r>
    </w:p>
    <w:p>
      <w:pPr>
        <w:pStyle w:val="Heading1"/>
      </w:pPr>
      <w:r>
        <w:t>12. Failure modes and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1F4E79"/>
            <w:tcMar>
              <w:top w:w="90" w:type="dxa"/>
              <w:start w:w="120" w:type="dxa"/>
              <w:bottom w:w="90" w:type="dxa"/>
              <w:end w:w="120" w:type="dxa"/>
            </w:tcMar>
            <w:vAlign w:val="center"/>
          </w:tcPr>
          <w:p>
            <w:pPr>
              <w:jc w:val="center"/>
            </w:pPr>
            <w:r>
              <w:rPr>
                <w:b/>
                <w:color w:val="FFFFFF"/>
                <w:sz w:val="19"/>
              </w:rPr>
              <w:t>Failure mode</w:t>
            </w:r>
          </w:p>
        </w:tc>
        <w:tc>
          <w:tcPr>
            <w:tcW w:type="dxa" w:w="2880"/>
            <w:shd w:fill="1F4E79"/>
            <w:tcMar>
              <w:top w:w="90" w:type="dxa"/>
              <w:start w:w="120" w:type="dxa"/>
              <w:bottom w:w="90" w:type="dxa"/>
              <w:end w:w="120" w:type="dxa"/>
            </w:tcMar>
            <w:vAlign w:val="center"/>
          </w:tcPr>
          <w:p>
            <w:pPr>
              <w:jc w:val="center"/>
            </w:pPr>
            <w:r>
              <w:rPr>
                <w:b/>
                <w:color w:val="FFFFFF"/>
                <w:sz w:val="19"/>
              </w:rPr>
              <w:t>Impact</w:t>
            </w:r>
          </w:p>
        </w:tc>
        <w:tc>
          <w:tcPr>
            <w:tcW w:type="dxa" w:w="4320"/>
            <w:shd w:fill="1F4E79"/>
            <w:tcMar>
              <w:top w:w="90" w:type="dxa"/>
              <w:start w:w="120" w:type="dxa"/>
              <w:bottom w:w="90" w:type="dxa"/>
              <w:end w:w="120" w:type="dxa"/>
            </w:tcMar>
            <w:vAlign w:val="center"/>
          </w:tcPr>
          <w:p>
            <w:pPr>
              <w:jc w:val="center"/>
            </w:pPr>
            <w:r>
              <w:rPr>
                <w:b/>
                <w:color w:val="FFFFFF"/>
                <w:sz w:val="19"/>
              </w:rPr>
              <w:t>Mitigation</w:t>
            </w:r>
          </w:p>
        </w:tc>
      </w:tr>
      <w:tr>
        <w:tc>
          <w:tcPr>
            <w:tcW w:type="dxa" w:w="2880"/>
            <w:tcMar>
              <w:top w:w="90" w:type="dxa"/>
              <w:start w:w="120" w:type="dxa"/>
              <w:bottom w:w="90" w:type="dxa"/>
              <w:end w:w="120" w:type="dxa"/>
            </w:tcMar>
            <w:vAlign w:val="center"/>
          </w:tcPr>
          <w:p>
            <w:pPr>
              <w:jc w:val="left"/>
            </w:pPr>
            <w:r>
              <w:rPr>
                <w:sz w:val="19"/>
              </w:rPr>
              <w:t>Stale market data</w:t>
            </w:r>
          </w:p>
        </w:tc>
        <w:tc>
          <w:tcPr>
            <w:tcW w:type="dxa" w:w="2880"/>
            <w:tcMar>
              <w:top w:w="90" w:type="dxa"/>
              <w:start w:w="120" w:type="dxa"/>
              <w:bottom w:w="90" w:type="dxa"/>
              <w:end w:w="120" w:type="dxa"/>
            </w:tcMar>
            <w:vAlign w:val="center"/>
          </w:tcPr>
          <w:p>
            <w:pPr>
              <w:jc w:val="left"/>
            </w:pPr>
            <w:r>
              <w:rPr>
                <w:sz w:val="19"/>
              </w:rPr>
              <w:t>Bad signals or poor execution</w:t>
            </w:r>
          </w:p>
        </w:tc>
        <w:tc>
          <w:tcPr>
            <w:tcW w:type="dxa" w:w="4320"/>
            <w:tcMar>
              <w:top w:w="90" w:type="dxa"/>
              <w:start w:w="120" w:type="dxa"/>
              <w:bottom w:w="90" w:type="dxa"/>
              <w:end w:w="120" w:type="dxa"/>
            </w:tcMar>
            <w:vAlign w:val="center"/>
          </w:tcPr>
          <w:p>
            <w:pPr>
              <w:jc w:val="left"/>
            </w:pPr>
            <w:r>
              <w:rPr>
                <w:sz w:val="19"/>
              </w:rPr>
              <w:t>Timestamp every snapshot and reject stale inputs</w:t>
            </w:r>
          </w:p>
        </w:tc>
      </w:tr>
      <w:tr>
        <w:tc>
          <w:tcPr>
            <w:tcW w:type="dxa" w:w="2880"/>
            <w:tcMar>
              <w:top w:w="90" w:type="dxa"/>
              <w:start w:w="120" w:type="dxa"/>
              <w:bottom w:w="90" w:type="dxa"/>
              <w:end w:w="120" w:type="dxa"/>
            </w:tcMar>
            <w:vAlign w:val="center"/>
          </w:tcPr>
          <w:p>
            <w:pPr>
              <w:jc w:val="left"/>
            </w:pPr>
            <w:r>
              <w:rPr>
                <w:sz w:val="19"/>
              </w:rPr>
              <w:t>Thin order book</w:t>
            </w:r>
          </w:p>
        </w:tc>
        <w:tc>
          <w:tcPr>
            <w:tcW w:type="dxa" w:w="2880"/>
            <w:tcMar>
              <w:top w:w="90" w:type="dxa"/>
              <w:start w:w="120" w:type="dxa"/>
              <w:bottom w:w="90" w:type="dxa"/>
              <w:end w:w="120" w:type="dxa"/>
            </w:tcMar>
            <w:vAlign w:val="center"/>
          </w:tcPr>
          <w:p>
            <w:pPr>
              <w:jc w:val="left"/>
            </w:pPr>
            <w:r>
              <w:rPr>
                <w:sz w:val="19"/>
              </w:rPr>
              <w:t>Slippage and non-representative marks</w:t>
            </w:r>
          </w:p>
        </w:tc>
        <w:tc>
          <w:tcPr>
            <w:tcW w:type="dxa" w:w="4320"/>
            <w:tcMar>
              <w:top w:w="90" w:type="dxa"/>
              <w:start w:w="120" w:type="dxa"/>
              <w:bottom w:w="90" w:type="dxa"/>
              <w:end w:w="120" w:type="dxa"/>
            </w:tcMar>
            <w:vAlign w:val="center"/>
          </w:tcPr>
          <w:p>
            <w:pPr>
              <w:jc w:val="left"/>
            </w:pPr>
            <w:r>
              <w:rPr>
                <w:sz w:val="19"/>
              </w:rPr>
              <w:t>Require minimum visible depth and cap size</w:t>
            </w:r>
          </w:p>
        </w:tc>
      </w:tr>
      <w:tr>
        <w:tc>
          <w:tcPr>
            <w:tcW w:type="dxa" w:w="2880"/>
            <w:tcMar>
              <w:top w:w="90" w:type="dxa"/>
              <w:start w:w="120" w:type="dxa"/>
              <w:bottom w:w="90" w:type="dxa"/>
              <w:end w:w="120" w:type="dxa"/>
            </w:tcMar>
            <w:vAlign w:val="center"/>
          </w:tcPr>
          <w:p>
            <w:pPr>
              <w:jc w:val="left"/>
            </w:pPr>
            <w:r>
              <w:rPr>
                <w:sz w:val="19"/>
              </w:rPr>
              <w:t>Configuration error</w:t>
            </w:r>
          </w:p>
        </w:tc>
        <w:tc>
          <w:tcPr>
            <w:tcW w:type="dxa" w:w="2880"/>
            <w:tcMar>
              <w:top w:w="90" w:type="dxa"/>
              <w:start w:w="120" w:type="dxa"/>
              <w:bottom w:w="90" w:type="dxa"/>
              <w:end w:w="120" w:type="dxa"/>
            </w:tcMar>
            <w:vAlign w:val="center"/>
          </w:tcPr>
          <w:p>
            <w:pPr>
              <w:jc w:val="left"/>
            </w:pPr>
            <w:r>
              <w:rPr>
                <w:sz w:val="19"/>
              </w:rPr>
              <w:t>Unsafe live behavior</w:t>
            </w:r>
          </w:p>
        </w:tc>
        <w:tc>
          <w:tcPr>
            <w:tcW w:type="dxa" w:w="4320"/>
            <w:tcMar>
              <w:top w:w="90" w:type="dxa"/>
              <w:start w:w="120" w:type="dxa"/>
              <w:bottom w:w="90" w:type="dxa"/>
              <w:end w:w="120" w:type="dxa"/>
            </w:tcMar>
            <w:vAlign w:val="center"/>
          </w:tcPr>
          <w:p>
            <w:pPr>
              <w:jc w:val="left"/>
            </w:pPr>
            <w:r>
              <w:rPr>
                <w:sz w:val="19"/>
              </w:rPr>
              <w:t>Keep live disabled by default and expose health/config endpoints</w:t>
            </w:r>
          </w:p>
        </w:tc>
      </w:tr>
      <w:tr>
        <w:tc>
          <w:tcPr>
            <w:tcW w:type="dxa" w:w="2880"/>
            <w:tcMar>
              <w:top w:w="90" w:type="dxa"/>
              <w:start w:w="120" w:type="dxa"/>
              <w:bottom w:w="90" w:type="dxa"/>
              <w:end w:w="120" w:type="dxa"/>
            </w:tcMar>
            <w:vAlign w:val="center"/>
          </w:tcPr>
          <w:p>
            <w:pPr>
              <w:jc w:val="left"/>
            </w:pPr>
            <w:r>
              <w:rPr>
                <w:sz w:val="19"/>
              </w:rPr>
              <w:t>Credential leakage</w:t>
            </w:r>
          </w:p>
        </w:tc>
        <w:tc>
          <w:tcPr>
            <w:tcW w:type="dxa" w:w="2880"/>
            <w:tcMar>
              <w:top w:w="90" w:type="dxa"/>
              <w:start w:w="120" w:type="dxa"/>
              <w:bottom w:w="90" w:type="dxa"/>
              <w:end w:w="120" w:type="dxa"/>
            </w:tcMar>
            <w:vAlign w:val="center"/>
          </w:tcPr>
          <w:p>
            <w:pPr>
              <w:jc w:val="left"/>
            </w:pPr>
            <w:r>
              <w:rPr>
                <w:sz w:val="19"/>
              </w:rPr>
              <w:t>Severe account risk</w:t>
            </w:r>
          </w:p>
        </w:tc>
        <w:tc>
          <w:tcPr>
            <w:tcW w:type="dxa" w:w="4320"/>
            <w:tcMar>
              <w:top w:w="90" w:type="dxa"/>
              <w:start w:w="120" w:type="dxa"/>
              <w:bottom w:w="90" w:type="dxa"/>
              <w:end w:w="120" w:type="dxa"/>
            </w:tcMar>
            <w:vAlign w:val="center"/>
          </w:tcPr>
          <w:p>
            <w:pPr>
              <w:jc w:val="left"/>
            </w:pPr>
            <w:r>
              <w:rPr>
                <w:sz w:val="19"/>
              </w:rPr>
              <w:t>Restrict secrets to the execution worker only</w:t>
            </w:r>
          </w:p>
        </w:tc>
      </w:tr>
      <w:tr>
        <w:tc>
          <w:tcPr>
            <w:tcW w:type="dxa" w:w="2880"/>
            <w:tcMar>
              <w:top w:w="90" w:type="dxa"/>
              <w:start w:w="120" w:type="dxa"/>
              <w:bottom w:w="90" w:type="dxa"/>
              <w:end w:w="120" w:type="dxa"/>
            </w:tcMar>
            <w:vAlign w:val="center"/>
          </w:tcPr>
          <w:p>
            <w:pPr>
              <w:jc w:val="left"/>
            </w:pPr>
            <w:r>
              <w:rPr>
                <w:sz w:val="19"/>
              </w:rPr>
              <w:t>Model overconfidence</w:t>
            </w:r>
          </w:p>
        </w:tc>
        <w:tc>
          <w:tcPr>
            <w:tcW w:type="dxa" w:w="2880"/>
            <w:tcMar>
              <w:top w:w="90" w:type="dxa"/>
              <w:start w:w="120" w:type="dxa"/>
              <w:bottom w:w="90" w:type="dxa"/>
              <w:end w:w="120" w:type="dxa"/>
            </w:tcMar>
            <w:vAlign w:val="center"/>
          </w:tcPr>
          <w:p>
            <w:pPr>
              <w:jc w:val="left"/>
            </w:pPr>
            <w:r>
              <w:rPr>
                <w:sz w:val="19"/>
              </w:rPr>
              <w:t>Losses from false edge</w:t>
            </w:r>
          </w:p>
        </w:tc>
        <w:tc>
          <w:tcPr>
            <w:tcW w:type="dxa" w:w="4320"/>
            <w:tcMar>
              <w:top w:w="90" w:type="dxa"/>
              <w:start w:w="120" w:type="dxa"/>
              <w:bottom w:w="90" w:type="dxa"/>
              <w:end w:w="120" w:type="dxa"/>
            </w:tcMar>
            <w:vAlign w:val="center"/>
          </w:tcPr>
          <w:p>
            <w:pPr>
              <w:jc w:val="left"/>
            </w:pPr>
            <w:r>
              <w:rPr>
                <w:sz w:val="19"/>
              </w:rPr>
              <w:t>Paper trade first and compare predicted vs realized edge</w:t>
            </w:r>
          </w:p>
        </w:tc>
      </w:tr>
      <w:tr>
        <w:tc>
          <w:tcPr>
            <w:tcW w:type="dxa" w:w="2880"/>
            <w:tcMar>
              <w:top w:w="90" w:type="dxa"/>
              <w:start w:w="120" w:type="dxa"/>
              <w:bottom w:w="90" w:type="dxa"/>
              <w:end w:w="120" w:type="dxa"/>
            </w:tcMar>
            <w:vAlign w:val="center"/>
          </w:tcPr>
          <w:p>
            <w:pPr>
              <w:jc w:val="left"/>
            </w:pPr>
            <w:r>
              <w:rPr>
                <w:sz w:val="19"/>
              </w:rPr>
              <w:t>Worker outage</w:t>
            </w:r>
          </w:p>
        </w:tc>
        <w:tc>
          <w:tcPr>
            <w:tcW w:type="dxa" w:w="2880"/>
            <w:tcMar>
              <w:top w:w="90" w:type="dxa"/>
              <w:start w:w="120" w:type="dxa"/>
              <w:bottom w:w="90" w:type="dxa"/>
              <w:end w:w="120" w:type="dxa"/>
            </w:tcMar>
            <w:vAlign w:val="center"/>
          </w:tcPr>
          <w:p>
            <w:pPr>
              <w:jc w:val="left"/>
            </w:pPr>
            <w:r>
              <w:rPr>
                <w:sz w:val="19"/>
              </w:rPr>
              <w:t>Scanner or executor stops silently</w:t>
            </w:r>
          </w:p>
        </w:tc>
        <w:tc>
          <w:tcPr>
            <w:tcW w:type="dxa" w:w="4320"/>
            <w:tcMar>
              <w:top w:w="90" w:type="dxa"/>
              <w:start w:w="120" w:type="dxa"/>
              <w:bottom w:w="90" w:type="dxa"/>
              <w:end w:w="120" w:type="dxa"/>
            </w:tcMar>
            <w:vAlign w:val="center"/>
          </w:tcPr>
          <w:p>
            <w:pPr>
              <w:jc w:val="left"/>
            </w:pPr>
            <w:r>
              <w:rPr>
                <w:sz w:val="19"/>
              </w:rPr>
              <w:t>Health checks, logs, and optional alerting</w:t>
            </w:r>
          </w:p>
        </w:tc>
      </w:tr>
    </w:tbl>
    <w:p/>
    <w:p>
      <w:pPr>
        <w:pStyle w:val="Heading1"/>
      </w:pPr>
      <w:r>
        <w:t>13. Security considerations</w:t>
      </w:r>
    </w:p>
    <w:p>
      <w:pPr>
        <w:spacing w:after="80"/>
      </w:pPr>
      <w:r>
        <w:t>Store all private keys and trading secrets outside the codebase. Prefer environment variables or a secret manager.</w:t>
      </w:r>
    </w:p>
    <w:p>
      <w:pPr>
        <w:spacing w:after="80"/>
      </w:pPr>
      <w:r>
        <w:t>Do not expose live trading controls in a public frontend without authentication and role checks.</w:t>
      </w:r>
    </w:p>
    <w:p>
      <w:pPr>
        <w:spacing w:after="80"/>
      </w:pPr>
      <w:r>
        <w:t>Log decisions, but never log raw secrets, passphrases, or signed payloads in full.</w:t>
      </w:r>
    </w:p>
    <w:p>
      <w:pPr>
        <w:spacing w:after="80"/>
      </w:pPr>
      <w:r>
        <w:t>Keep paper trading and live trading separate at both the config layer and database/reporting layer.</w:t>
      </w:r>
    </w:p>
    <w:p>
      <w:pPr>
        <w:spacing w:after="80"/>
      </w:pPr>
      <w:r>
        <w:t>Honor exchange compliance, geoblocking, and terms of service before enabling live execution.</w:t>
      </w:r>
    </w:p>
    <w:p>
      <w:pPr>
        <w:pStyle w:val="Heading1"/>
      </w:pPr>
      <w:r>
        <w:t>14. Observability</w:t>
      </w:r>
    </w:p>
    <w:p>
      <w:pPr>
        <w:spacing w:after="80"/>
      </w:pPr>
      <w:r>
        <w:t>The control API provides health visibility immediately. The next production step is structured logging plus metrics such as signal count, approval rate, fill rate, average spread at entry, unrealized PnL, realized PnL, stale-snapshot rejection count, and WebSocket disconnect count.</w:t>
      </w:r>
    </w:p>
    <w:p>
      <w:pPr>
        <w:pStyle w:val="Heading1"/>
      </w:pPr>
      <w:r>
        <w:t>15. Testing strategy</w:t>
      </w:r>
    </w:p>
    <w:tbl>
      <w:tblPr>
        <w:tblStyle w:val="TableGrid"/>
        <w:tblW w:type="auto" w:w="0"/>
        <w:jc w:val="center"/>
        <w:tblLook w:firstColumn="1" w:firstRow="1" w:lastColumn="0" w:lastRow="0" w:noHBand="0" w:noVBand="1" w:val="04A0"/>
      </w:tblPr>
      <w:tblGrid>
        <w:gridCol w:w="4968"/>
        <w:gridCol w:w="4968"/>
      </w:tblGrid>
      <w:tr>
        <w:tc>
          <w:tcPr>
            <w:tcW w:type="dxa" w:w="2160"/>
            <w:shd w:fill="1F4E79"/>
            <w:tcMar>
              <w:top w:w="90" w:type="dxa"/>
              <w:start w:w="120" w:type="dxa"/>
              <w:bottom w:w="90" w:type="dxa"/>
              <w:end w:w="120" w:type="dxa"/>
            </w:tcMar>
            <w:vAlign w:val="center"/>
          </w:tcPr>
          <w:p>
            <w:pPr>
              <w:jc w:val="center"/>
            </w:pPr>
            <w:r>
              <w:rPr>
                <w:b/>
                <w:color w:val="FFFFFF"/>
                <w:sz w:val="19"/>
              </w:rPr>
              <w:t>Layer</w:t>
            </w:r>
          </w:p>
        </w:tc>
        <w:tc>
          <w:tcPr>
            <w:tcW w:type="dxa" w:w="7920"/>
            <w:shd w:fill="1F4E79"/>
            <w:tcMar>
              <w:top w:w="90" w:type="dxa"/>
              <w:start w:w="120" w:type="dxa"/>
              <w:bottom w:w="90" w:type="dxa"/>
              <w:end w:w="120" w:type="dxa"/>
            </w:tcMar>
            <w:vAlign w:val="center"/>
          </w:tcPr>
          <w:p>
            <w:pPr>
              <w:jc w:val="center"/>
            </w:pPr>
            <w:r>
              <w:rPr>
                <w:b/>
                <w:color w:val="FFFFFF"/>
                <w:sz w:val="19"/>
              </w:rPr>
              <w:t>What to test first</w:t>
            </w:r>
          </w:p>
        </w:tc>
      </w:tr>
      <w:tr>
        <w:tc>
          <w:tcPr>
            <w:tcW w:type="dxa" w:w="2160"/>
            <w:tcMar>
              <w:top w:w="90" w:type="dxa"/>
              <w:start w:w="120" w:type="dxa"/>
              <w:bottom w:w="90" w:type="dxa"/>
              <w:end w:w="120" w:type="dxa"/>
            </w:tcMar>
            <w:vAlign w:val="center"/>
          </w:tcPr>
          <w:p>
            <w:pPr>
              <w:jc w:val="left"/>
            </w:pPr>
            <w:r>
              <w:rPr>
                <w:sz w:val="19"/>
              </w:rPr>
              <w:t>Unit</w:t>
            </w:r>
          </w:p>
        </w:tc>
        <w:tc>
          <w:tcPr>
            <w:tcW w:type="dxa" w:w="7920"/>
            <w:tcMar>
              <w:top w:w="90" w:type="dxa"/>
              <w:start w:w="120" w:type="dxa"/>
              <w:bottom w:w="90" w:type="dxa"/>
              <w:end w:w="120" w:type="dxa"/>
            </w:tcMar>
            <w:vAlign w:val="center"/>
          </w:tcPr>
          <w:p>
            <w:pPr>
              <w:jc w:val="left"/>
            </w:pPr>
            <w:r>
              <w:rPr>
                <w:sz w:val="19"/>
              </w:rPr>
              <w:t>Risk checks, strategy scoring, helper functions</w:t>
            </w:r>
          </w:p>
        </w:tc>
      </w:tr>
      <w:tr>
        <w:tc>
          <w:tcPr>
            <w:tcW w:type="dxa" w:w="2160"/>
            <w:tcMar>
              <w:top w:w="90" w:type="dxa"/>
              <w:start w:w="120" w:type="dxa"/>
              <w:bottom w:w="90" w:type="dxa"/>
              <w:end w:w="120" w:type="dxa"/>
            </w:tcMar>
            <w:vAlign w:val="center"/>
          </w:tcPr>
          <w:p>
            <w:pPr>
              <w:jc w:val="left"/>
            </w:pPr>
            <w:r>
              <w:rPr>
                <w:sz w:val="19"/>
              </w:rPr>
              <w:t>Integration</w:t>
            </w:r>
          </w:p>
        </w:tc>
        <w:tc>
          <w:tcPr>
            <w:tcW w:type="dxa" w:w="7920"/>
            <w:tcMar>
              <w:top w:w="90" w:type="dxa"/>
              <w:start w:w="120" w:type="dxa"/>
              <w:bottom w:w="90" w:type="dxa"/>
              <w:end w:w="120" w:type="dxa"/>
            </w:tcMar>
            <w:vAlign w:val="center"/>
          </w:tcPr>
          <w:p>
            <w:pPr>
              <w:jc w:val="left"/>
            </w:pPr>
            <w:r>
              <w:rPr>
                <w:sz w:val="19"/>
              </w:rPr>
              <w:t>API routes, scanner client stubs, database session lifecycle</w:t>
            </w:r>
          </w:p>
        </w:tc>
      </w:tr>
      <w:tr>
        <w:tc>
          <w:tcPr>
            <w:tcW w:type="dxa" w:w="2160"/>
            <w:tcMar>
              <w:top w:w="90" w:type="dxa"/>
              <w:start w:w="120" w:type="dxa"/>
              <w:bottom w:w="90" w:type="dxa"/>
              <w:end w:w="120" w:type="dxa"/>
            </w:tcMar>
            <w:vAlign w:val="center"/>
          </w:tcPr>
          <w:p>
            <w:pPr>
              <w:jc w:val="left"/>
            </w:pPr>
            <w:r>
              <w:rPr>
                <w:sz w:val="19"/>
              </w:rPr>
              <w:t>Paper simulation</w:t>
            </w:r>
          </w:p>
        </w:tc>
        <w:tc>
          <w:tcPr>
            <w:tcW w:type="dxa" w:w="7920"/>
            <w:tcMar>
              <w:top w:w="90" w:type="dxa"/>
              <w:start w:w="120" w:type="dxa"/>
              <w:bottom w:w="90" w:type="dxa"/>
              <w:end w:w="120" w:type="dxa"/>
            </w:tcMar>
            <w:vAlign w:val="center"/>
          </w:tcPr>
          <w:p>
            <w:pPr>
              <w:jc w:val="left"/>
            </w:pPr>
            <w:r>
              <w:rPr>
                <w:sz w:val="19"/>
              </w:rPr>
              <w:t>Order creation path, fill assumptions, position updates</w:t>
            </w:r>
          </w:p>
        </w:tc>
      </w:tr>
      <w:tr>
        <w:tc>
          <w:tcPr>
            <w:tcW w:type="dxa" w:w="2160"/>
            <w:tcMar>
              <w:top w:w="90" w:type="dxa"/>
              <w:start w:w="120" w:type="dxa"/>
              <w:bottom w:w="90" w:type="dxa"/>
              <w:end w:w="120" w:type="dxa"/>
            </w:tcMar>
            <w:vAlign w:val="center"/>
          </w:tcPr>
          <w:p>
            <w:pPr>
              <w:jc w:val="left"/>
            </w:pPr>
            <w:r>
              <w:rPr>
                <w:sz w:val="19"/>
              </w:rPr>
              <w:t>Pre-live</w:t>
            </w:r>
          </w:p>
        </w:tc>
        <w:tc>
          <w:tcPr>
            <w:tcW w:type="dxa" w:w="7920"/>
            <w:tcMar>
              <w:top w:w="90" w:type="dxa"/>
              <w:start w:w="120" w:type="dxa"/>
              <w:bottom w:w="90" w:type="dxa"/>
              <w:end w:w="120" w:type="dxa"/>
            </w:tcMar>
            <w:vAlign w:val="center"/>
          </w:tcPr>
          <w:p>
            <w:pPr>
              <w:jc w:val="left"/>
            </w:pPr>
            <w:r>
              <w:rPr>
                <w:sz w:val="19"/>
              </w:rPr>
              <w:t>Dry-run execution path with credentials disabled or mocked</w:t>
            </w:r>
          </w:p>
        </w:tc>
      </w:tr>
    </w:tbl>
    <w:p/>
    <w:p>
      <w:pPr>
        <w:pStyle w:val="Heading1"/>
      </w:pPr>
      <w:r>
        <w:t>16. MVP roadmap</w:t>
      </w:r>
    </w:p>
    <w:p>
      <w:pPr>
        <w:spacing w:after="80"/>
      </w:pPr>
      <w:r>
        <w:t>Phase 1 - Replace the public client stubs with real market-data REST calls and persist snapshots.</w:t>
      </w:r>
    </w:p>
    <w:p>
      <w:pPr>
        <w:spacing w:after="80"/>
      </w:pPr>
      <w:r>
        <w:t>Phase 2 - Add WebSocket ingestion and snapshot freshness rules.</w:t>
      </w:r>
    </w:p>
    <w:p>
      <w:pPr>
        <w:spacing w:after="80"/>
      </w:pPr>
      <w:r>
        <w:t>Phase 3 - Introduce Alembic migrations and PostgreSQL support for serious testing.</w:t>
      </w:r>
    </w:p>
    <w:p>
      <w:pPr>
        <w:spacing w:after="80"/>
      </w:pPr>
      <w:r>
        <w:t>Phase 4 - Implement conservative paper fill simulation and PnL reporting.</w:t>
      </w:r>
    </w:p>
    <w:p>
      <w:pPr>
        <w:spacing w:after="80"/>
      </w:pPr>
      <w:r>
        <w:t>Phase 5 - Wire authenticated execution behind a separate execution worker and tiny-size rollout controls.</w:t>
      </w:r>
    </w:p>
    <w:p>
      <w:pPr>
        <w:pStyle w:val="Heading1"/>
      </w:pPr>
      <w:r>
        <w:t>17. Appendix: scaffold-to-production mapping</w:t>
      </w:r>
    </w:p>
    <w:tbl>
      <w:tblPr>
        <w:tblStyle w:val="TableGrid"/>
        <w:tblW w:type="auto" w:w="0"/>
        <w:jc w:val="center"/>
        <w:tblLook w:firstColumn="1" w:firstRow="1" w:lastColumn="0" w:lastRow="0" w:noHBand="0" w:noVBand="1" w:val="04A0"/>
      </w:tblPr>
      <w:tblGrid>
        <w:gridCol w:w="4968"/>
        <w:gridCol w:w="4968"/>
      </w:tblGrid>
      <w:tr>
        <w:tc>
          <w:tcPr>
            <w:tcW w:type="dxa" w:w="3600"/>
            <w:shd w:fill="1F4E79"/>
            <w:tcMar>
              <w:top w:w="90" w:type="dxa"/>
              <w:start w:w="120" w:type="dxa"/>
              <w:bottom w:w="90" w:type="dxa"/>
              <w:end w:w="120" w:type="dxa"/>
            </w:tcMar>
            <w:vAlign w:val="center"/>
          </w:tcPr>
          <w:p>
            <w:pPr>
              <w:jc w:val="center"/>
            </w:pPr>
            <w:r>
              <w:rPr>
                <w:b/>
                <w:color w:val="FFFFFF"/>
                <w:sz w:val="19"/>
              </w:rPr>
              <w:t>Scaffold file</w:t>
            </w:r>
          </w:p>
        </w:tc>
        <w:tc>
          <w:tcPr>
            <w:tcW w:type="dxa" w:w="6480"/>
            <w:shd w:fill="1F4E79"/>
            <w:tcMar>
              <w:top w:w="90" w:type="dxa"/>
              <w:start w:w="120" w:type="dxa"/>
              <w:bottom w:w="90" w:type="dxa"/>
              <w:end w:w="120" w:type="dxa"/>
            </w:tcMar>
            <w:vAlign w:val="center"/>
          </w:tcPr>
          <w:p>
            <w:pPr>
              <w:jc w:val="center"/>
            </w:pPr>
            <w:r>
              <w:rPr>
                <w:b/>
                <w:color w:val="FFFFFF"/>
                <w:sz w:val="19"/>
              </w:rPr>
              <w:t>Why it exists</w:t>
            </w:r>
          </w:p>
        </w:tc>
      </w:tr>
      <w:tr>
        <w:tc>
          <w:tcPr>
            <w:tcW w:type="dxa" w:w="3600"/>
            <w:tcMar>
              <w:top w:w="90" w:type="dxa"/>
              <w:start w:w="120" w:type="dxa"/>
              <w:bottom w:w="90" w:type="dxa"/>
              <w:end w:w="120" w:type="dxa"/>
            </w:tcMar>
            <w:vAlign w:val="center"/>
          </w:tcPr>
          <w:p>
            <w:pPr>
              <w:jc w:val="left"/>
            </w:pPr>
            <w:r>
              <w:rPr>
                <w:sz w:val="19"/>
              </w:rPr>
              <w:t>apps/api/main.py</w:t>
            </w:r>
          </w:p>
        </w:tc>
        <w:tc>
          <w:tcPr>
            <w:tcW w:type="dxa" w:w="6480"/>
            <w:tcMar>
              <w:top w:w="90" w:type="dxa"/>
              <w:start w:w="120" w:type="dxa"/>
              <w:bottom w:w="90" w:type="dxa"/>
              <w:end w:w="120" w:type="dxa"/>
            </w:tcMar>
            <w:vAlign w:val="center"/>
          </w:tcPr>
          <w:p>
            <w:pPr>
              <w:jc w:val="left"/>
            </w:pPr>
            <w:r>
              <w:rPr>
                <w:sz w:val="19"/>
              </w:rPr>
              <w:t>Bootstraps the operator-facing FastAPI control plane</w:t>
            </w:r>
          </w:p>
        </w:tc>
      </w:tr>
      <w:tr>
        <w:tc>
          <w:tcPr>
            <w:tcW w:type="dxa" w:w="3600"/>
            <w:tcMar>
              <w:top w:w="90" w:type="dxa"/>
              <w:start w:w="120" w:type="dxa"/>
              <w:bottom w:w="90" w:type="dxa"/>
              <w:end w:w="120" w:type="dxa"/>
            </w:tcMar>
            <w:vAlign w:val="center"/>
          </w:tcPr>
          <w:p>
            <w:pPr>
              <w:jc w:val="left"/>
            </w:pPr>
            <w:r>
              <w:rPr>
                <w:sz w:val="19"/>
              </w:rPr>
              <w:t>apps/worker/scanner.py</w:t>
            </w:r>
          </w:p>
        </w:tc>
        <w:tc>
          <w:tcPr>
            <w:tcW w:type="dxa" w:w="6480"/>
            <w:tcMar>
              <w:top w:w="90" w:type="dxa"/>
              <w:start w:w="120" w:type="dxa"/>
              <w:bottom w:w="90" w:type="dxa"/>
              <w:end w:w="120" w:type="dxa"/>
            </w:tcMar>
            <w:vAlign w:val="center"/>
          </w:tcPr>
          <w:p>
            <w:pPr>
              <w:jc w:val="left"/>
            </w:pPr>
            <w:r>
              <w:rPr>
                <w:sz w:val="19"/>
              </w:rPr>
              <w:t>Demonstrates the market scanner loop</w:t>
            </w:r>
          </w:p>
        </w:tc>
      </w:tr>
      <w:tr>
        <w:tc>
          <w:tcPr>
            <w:tcW w:type="dxa" w:w="3600"/>
            <w:tcMar>
              <w:top w:w="90" w:type="dxa"/>
              <w:start w:w="120" w:type="dxa"/>
              <w:bottom w:w="90" w:type="dxa"/>
              <w:end w:w="120" w:type="dxa"/>
            </w:tcMar>
            <w:vAlign w:val="center"/>
          </w:tcPr>
          <w:p>
            <w:pPr>
              <w:jc w:val="left"/>
            </w:pPr>
            <w:r>
              <w:rPr>
                <w:sz w:val="19"/>
              </w:rPr>
              <w:t>apps/worker/signal_engine.py</w:t>
            </w:r>
          </w:p>
        </w:tc>
        <w:tc>
          <w:tcPr>
            <w:tcW w:type="dxa" w:w="6480"/>
            <w:tcMar>
              <w:top w:w="90" w:type="dxa"/>
              <w:start w:w="120" w:type="dxa"/>
              <w:bottom w:w="90" w:type="dxa"/>
              <w:end w:w="120" w:type="dxa"/>
            </w:tcMar>
            <w:vAlign w:val="center"/>
          </w:tcPr>
          <w:p>
            <w:pPr>
              <w:jc w:val="left"/>
            </w:pPr>
            <w:r>
              <w:rPr>
                <w:sz w:val="19"/>
              </w:rPr>
              <w:t>Shows how strategies consume snapshots</w:t>
            </w:r>
          </w:p>
        </w:tc>
      </w:tr>
      <w:tr>
        <w:tc>
          <w:tcPr>
            <w:tcW w:type="dxa" w:w="3600"/>
            <w:tcMar>
              <w:top w:w="90" w:type="dxa"/>
              <w:start w:w="120" w:type="dxa"/>
              <w:bottom w:w="90" w:type="dxa"/>
              <w:end w:w="120" w:type="dxa"/>
            </w:tcMar>
            <w:vAlign w:val="center"/>
          </w:tcPr>
          <w:p>
            <w:pPr>
              <w:jc w:val="left"/>
            </w:pPr>
            <w:r>
              <w:rPr>
                <w:sz w:val="19"/>
              </w:rPr>
              <w:t>apps/worker/paper_trader.py</w:t>
            </w:r>
          </w:p>
        </w:tc>
        <w:tc>
          <w:tcPr>
            <w:tcW w:type="dxa" w:w="6480"/>
            <w:tcMar>
              <w:top w:w="90" w:type="dxa"/>
              <w:start w:w="120" w:type="dxa"/>
              <w:bottom w:w="90" w:type="dxa"/>
              <w:end w:w="120" w:type="dxa"/>
            </w:tcMar>
            <w:vAlign w:val="center"/>
          </w:tcPr>
          <w:p>
            <w:pPr>
              <w:jc w:val="left"/>
            </w:pPr>
            <w:r>
              <w:rPr>
                <w:sz w:val="19"/>
              </w:rPr>
              <w:t>Turns approved signals into simulated orders</w:t>
            </w:r>
          </w:p>
        </w:tc>
      </w:tr>
      <w:tr>
        <w:tc>
          <w:tcPr>
            <w:tcW w:type="dxa" w:w="3600"/>
            <w:tcMar>
              <w:top w:w="90" w:type="dxa"/>
              <w:start w:w="120" w:type="dxa"/>
              <w:bottom w:w="90" w:type="dxa"/>
              <w:end w:w="120" w:type="dxa"/>
            </w:tcMar>
            <w:vAlign w:val="center"/>
          </w:tcPr>
          <w:p>
            <w:pPr>
              <w:jc w:val="left"/>
            </w:pPr>
            <w:r>
              <w:rPr>
                <w:sz w:val="19"/>
              </w:rPr>
              <w:t>bot/clients/polymarket_public.py</w:t>
            </w:r>
          </w:p>
        </w:tc>
        <w:tc>
          <w:tcPr>
            <w:tcW w:type="dxa" w:w="6480"/>
            <w:tcMar>
              <w:top w:w="90" w:type="dxa"/>
              <w:start w:w="120" w:type="dxa"/>
              <w:bottom w:w="90" w:type="dxa"/>
              <w:end w:w="120" w:type="dxa"/>
            </w:tcMar>
            <w:vAlign w:val="center"/>
          </w:tcPr>
          <w:p>
            <w:pPr>
              <w:jc w:val="left"/>
            </w:pPr>
            <w:r>
              <w:rPr>
                <w:sz w:val="19"/>
              </w:rPr>
              <w:t>Single place to replace with real public endpoints</w:t>
            </w:r>
          </w:p>
        </w:tc>
      </w:tr>
      <w:tr>
        <w:tc>
          <w:tcPr>
            <w:tcW w:type="dxa" w:w="3600"/>
            <w:tcMar>
              <w:top w:w="90" w:type="dxa"/>
              <w:start w:w="120" w:type="dxa"/>
              <w:bottom w:w="90" w:type="dxa"/>
              <w:end w:w="120" w:type="dxa"/>
            </w:tcMar>
            <w:vAlign w:val="center"/>
          </w:tcPr>
          <w:p>
            <w:pPr>
              <w:jc w:val="left"/>
            </w:pPr>
            <w:r>
              <w:rPr>
                <w:sz w:val="19"/>
              </w:rPr>
              <w:t>bot/clients/polymarket_trading.py</w:t>
            </w:r>
          </w:p>
        </w:tc>
        <w:tc>
          <w:tcPr>
            <w:tcW w:type="dxa" w:w="6480"/>
            <w:tcMar>
              <w:top w:w="90" w:type="dxa"/>
              <w:start w:w="120" w:type="dxa"/>
              <w:bottom w:w="90" w:type="dxa"/>
              <w:end w:w="120" w:type="dxa"/>
            </w:tcMar>
            <w:vAlign w:val="center"/>
          </w:tcPr>
          <w:p>
            <w:pPr>
              <w:jc w:val="left"/>
            </w:pPr>
            <w:r>
              <w:rPr>
                <w:sz w:val="19"/>
              </w:rPr>
              <w:t>Single place to add authenticated live order logic</w:t>
            </w:r>
          </w:p>
        </w:tc>
      </w:tr>
      <w:tr>
        <w:tc>
          <w:tcPr>
            <w:tcW w:type="dxa" w:w="3600"/>
            <w:tcMar>
              <w:top w:w="90" w:type="dxa"/>
              <w:start w:w="120" w:type="dxa"/>
              <w:bottom w:w="90" w:type="dxa"/>
              <w:end w:w="120" w:type="dxa"/>
            </w:tcMar>
            <w:vAlign w:val="center"/>
          </w:tcPr>
          <w:p>
            <w:pPr>
              <w:jc w:val="left"/>
            </w:pPr>
            <w:r>
              <w:rPr>
                <w:sz w:val="19"/>
              </w:rPr>
              <w:t>bot/risk/manager.py</w:t>
            </w:r>
          </w:p>
        </w:tc>
        <w:tc>
          <w:tcPr>
            <w:tcW w:type="dxa" w:w="6480"/>
            <w:tcMar>
              <w:top w:w="90" w:type="dxa"/>
              <w:start w:w="120" w:type="dxa"/>
              <w:bottom w:w="90" w:type="dxa"/>
              <w:end w:w="120" w:type="dxa"/>
            </w:tcMar>
            <w:vAlign w:val="center"/>
          </w:tcPr>
          <w:p>
            <w:pPr>
              <w:jc w:val="left"/>
            </w:pPr>
            <w:r>
              <w:rPr>
                <w:sz w:val="19"/>
              </w:rPr>
              <w:t>Central guardrail layer</w:t>
            </w:r>
          </w:p>
        </w:tc>
      </w:tr>
      <w:tr>
        <w:tc>
          <w:tcPr>
            <w:tcW w:type="dxa" w:w="3600"/>
            <w:tcMar>
              <w:top w:w="90" w:type="dxa"/>
              <w:start w:w="120" w:type="dxa"/>
              <w:bottom w:w="90" w:type="dxa"/>
              <w:end w:w="120" w:type="dxa"/>
            </w:tcMar>
            <w:vAlign w:val="center"/>
          </w:tcPr>
          <w:p>
            <w:pPr>
              <w:jc w:val="left"/>
            </w:pPr>
            <w:r>
              <w:rPr>
                <w:sz w:val="19"/>
              </w:rPr>
              <w:t>bot/execution/types.py</w:t>
            </w:r>
          </w:p>
        </w:tc>
        <w:tc>
          <w:tcPr>
            <w:tcW w:type="dxa" w:w="6480"/>
            <w:tcMar>
              <w:top w:w="90" w:type="dxa"/>
              <w:start w:w="120" w:type="dxa"/>
              <w:bottom w:w="90" w:type="dxa"/>
              <w:end w:w="120" w:type="dxa"/>
            </w:tcMar>
            <w:vAlign w:val="center"/>
          </w:tcPr>
          <w:p>
            <w:pPr>
              <w:jc w:val="left"/>
            </w:pPr>
            <w:r>
              <w:rPr>
                <w:sz w:val="19"/>
              </w:rPr>
              <w:t>Typed contracts for snapshot, signal, and order intent</w:t>
            </w:r>
          </w:p>
        </w:tc>
      </w:tr>
    </w:tbl>
    <w:p/>
    <w:p>
      <w:pPr>
        <w:pStyle w:val="Heading1"/>
      </w:pPr>
      <w:r>
        <w:t>18. Approval summary</w:t>
      </w:r>
    </w:p>
    <w:p>
      <w:pPr>
        <w:spacing w:after="80"/>
      </w:pPr>
      <w:r>
        <w:t>This design is suitable as a controlled Python MVP and is intentionally biased toward safety, clarity, and auditability over speed. The included scaffold is meant to be copied directly into your repository and extended in small, testable phases.</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34B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34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5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