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478"/>
          <w:sz w:val="32"/>
        </w:rPr>
        <w:t>Quadro de Valor — Faro AI — Inteligência Competitiva + Retenção VIN Share</w:t>
      </w:r>
    </w:p>
    <w:p>
      <w:pPr>
        <w:jc w:val="center"/>
      </w:pPr>
      <w:r>
        <w:rPr>
          <w:i/>
          <w:color w:val="4A4A4A"/>
          <w:sz w:val="20"/>
        </w:rPr>
        <w:t>Ford × FIAP 2026 · 1ª Sprint · Entrega 24/05/2026</w:t>
      </w:r>
    </w:p>
    <w:p>
      <w:pPr>
        <w:jc w:val="center"/>
      </w:pPr>
      <w:r>
        <w:rPr>
          <w:color w:val="4A4A4A"/>
          <w:sz w:val="18"/>
        </w:rPr>
        <w:t>Equipe: Guilherme (RM 554962) · Pedro (RM 555556) · Fabrício (RM 558216) · Vitor (RM 554893) · Matheus (RM 555447)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551"/>
            <w:shd w:val="clear" w:color="auto" w:fill="0034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835"/>
            <w:shd w:val="clear" w:color="auto" w:fill="0034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Expectativa</w:t>
            </w:r>
          </w:p>
        </w:tc>
        <w:tc>
          <w:tcPr>
            <w:tcW w:type="dxa" w:w="3685"/>
            <w:shd w:val="clear" w:color="auto" w:fill="0034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Promessa da Solução</w:t>
            </w:r>
          </w:p>
        </w:tc>
        <w:tc>
          <w:tcPr>
            <w:tcW w:type="dxa" w:w="2268"/>
            <w:shd w:val="clear" w:color="auto" w:fill="0034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de Negócio</w:t>
            </w:r>
          </w:p>
        </w:tc>
        <w:tc>
          <w:tcPr>
            <w:tcW w:type="dxa" w:w="2835"/>
            <w:shd w:val="clear" w:color="auto" w:fill="0034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de Qualidade</w:t>
            </w:r>
          </w:p>
        </w:tc>
        <w:tc>
          <w:tcPr>
            <w:tcW w:type="dxa" w:w="1134"/>
            <w:shd w:val="clear" w:color="auto" w:fill="00347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Vendedor / Consultor da concessionária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Argumento de venda forte, com dados batidos e comparativos imediatos.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Acesso &lt; 3 cliques ao comparativo de até 5 veículos com fonte verificável de cada spec.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↑ Taxa de conversão de leads (+10 a 20%).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Latência da busca &lt; 3 s, disponibilidade ≥ 99%.</w:t>
            </w:r>
          </w:p>
        </w:tc>
        <w:tc>
          <w:tcPr>
            <w:tcW w:type="dxa" w:w="1134"/>
            <w:shd w:val="clear" w:color="auto" w:fill="FFE5E5"/>
            <w:vAlign w:val="top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ALTA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Gerente de Pós-Venda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Saber quais clientes vão evadir antes que evadam, e o que oferecer.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Painel com risco de evasão por cliente + ações sugeridas (4 perfis).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↑ VIN Share da rede oficial (+5 a 8 pp no ano).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Precisão do classificador ≥ 60% (F1 macro); refresh diário.</w:t>
            </w:r>
          </w:p>
        </w:tc>
        <w:tc>
          <w:tcPr>
            <w:tcW w:type="dxa" w:w="1134"/>
            <w:shd w:val="clear" w:color="auto" w:fill="FFE5E5"/>
            <w:vAlign w:val="top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ALTA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Time de Inteligência Competitiva Ford BR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Catálogo confiável e auditável dos veículos concorrentes para análise estratégica.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Catálogo com 5+ fontes (FIPE, scraping fabricante, e-book PDF, 411, IA), provenance por campo.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↓ Tempo de pesquisa manual (-70%); base sempre atualizada.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Cobertura ≥ 80% dos modelos BR vigentes; rastreabilidade 100%.</w:t>
            </w:r>
          </w:p>
        </w:tc>
        <w:tc>
          <w:tcPr>
            <w:tcW w:type="dxa" w:w="1134"/>
            <w:shd w:val="clear" w:color="auto" w:fill="FFE5E5"/>
            <w:vAlign w:val="top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ALTA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Diretoria Comercial Ford BR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Visão consolidada de saúde da rede e oportunidades por região.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KPIs agregados (vendas, retenção, perfil dominante) por região/dealership.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Decisão estratégica em ≤ 2 dias (vs. semanas de relatórios manuais).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Atualização do dashboard &lt; 24 h; disponibilidade ≥ 99,5%.</w:t>
            </w:r>
          </w:p>
        </w:tc>
        <w:tc>
          <w:tcPr>
            <w:tcW w:type="dxa" w:w="1134"/>
            <w:shd w:val="clear" w:color="auto" w:fill="FFF4D6"/>
            <w:vAlign w:val="top"/>
          </w:tcPr>
          <w:p>
            <w:pPr>
              <w:jc w:val="center"/>
            </w:pPr>
            <w:r/>
            <w:r>
              <w:rPr>
                <w:b/>
                <w:color w:val="8A6500"/>
                <w:sz w:val="18"/>
              </w:rPr>
              <w:t>MÉDIA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Cliente final (indireto)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Ofertas e comunicações relevantes para o seu perfil real.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Ações de fidelização (fidelidade premium, lembretes, descontos progressivos) personalizadas.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↑ NPS pós-venda; ↓ churn p/ rede paralela.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Tempo até primeira ação após compra &lt; 7 dias.</w:t>
            </w:r>
          </w:p>
        </w:tc>
        <w:tc>
          <w:tcPr>
            <w:tcW w:type="dxa" w:w="1134"/>
            <w:shd w:val="clear" w:color="auto" w:fill="FFE5E5"/>
            <w:vAlign w:val="top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ALTA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Time de Segurança / Compliance Ford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Proteção de dados pessoais e trilha de auditoria revisadas continuamente.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Pseudonimização no pipeline de ML, HMAC nas chamadas, audit log de ações críticas, RLS por dealership.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Controles básicos implementados; requisitos legais e de produção ainda precisam de validação.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Sem nome/CPF/e-mail no payload /predict; falhas de audit_log aparecem no Pino.</w:t>
            </w:r>
          </w:p>
        </w:tc>
        <w:tc>
          <w:tcPr>
            <w:tcW w:type="dxa" w:w="1134"/>
            <w:shd w:val="clear" w:color="auto" w:fill="FFE5E5"/>
            <w:vAlign w:val="top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ALTA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8"/>
              </w:rPr>
              <w:t>Equipe de TI da concessionária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Integração simples com sistemas existentes (CRM, DMS).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8"/>
              </w:rPr>
              <w:t>API REST documentada (Swagger /docs), SDK opcional, webhooks para eventos.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8"/>
              </w:rPr>
              <w:t>Tempo de integração &lt; 2 sprints técnicas.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8"/>
              </w:rPr>
              <w:t>OpenAPI 3.0 completo; uptime ≥ 99%.</w:t>
            </w:r>
          </w:p>
        </w:tc>
        <w:tc>
          <w:tcPr>
            <w:tcW w:type="dxa" w:w="1134"/>
            <w:shd w:val="clear" w:color="auto" w:fill="FFF4D6"/>
            <w:vAlign w:val="top"/>
          </w:tcPr>
          <w:p>
            <w:pPr>
              <w:jc w:val="center"/>
            </w:pPr>
            <w:r/>
            <w:r>
              <w:rPr>
                <w:b/>
                <w:color w:val="8A6500"/>
                <w:sz w:val="18"/>
              </w:rPr>
              <w:t>MÉDIA</w:t>
            </w:r>
          </w:p>
        </w:tc>
      </w:tr>
    </w:tbl>
    <w:p/>
    <w:p>
      <w:r>
        <w:rPr>
          <w:i/>
          <w:color w:val="4A4A4A"/>
          <w:sz w:val="18"/>
        </w:rPr>
        <w:t>Para cada benefício listado, há uma métrica de NEGÓCIO (impacto monetizável ou operacional) e uma métrica de QUALIDADE (performance/confiabilidade/SLA), conforme exigência da disciplina de Testing, Compliance and Quality Assurance.</w:t>
      </w:r>
    </w:p>
    <w:sectPr w:rsidR="00FC693F" w:rsidRPr="0006063C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