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478"/>
          <w:sz w:val="32"/>
        </w:rPr>
        <w:t>Business Model Canvas — Faro AI — Inteligência Competitiva + Retenção VIN Share</w:t>
      </w:r>
    </w:p>
    <w:p>
      <w:pPr>
        <w:jc w:val="center"/>
      </w:pPr>
      <w:r>
        <w:rPr>
          <w:i/>
          <w:color w:val="4A4A4A"/>
          <w:sz w:val="20"/>
        </w:rPr>
        <w:t>Ford × FIAP 2026 · 1ª Sprint · Entrega 24/05/2026</w:t>
      </w:r>
    </w:p>
    <w:p>
      <w:pPr>
        <w:jc w:val="center"/>
      </w:pPr>
      <w:r>
        <w:rPr>
          <w:color w:val="4A4A4A"/>
          <w:sz w:val="18"/>
        </w:rPr>
        <w:t>Equipe: Guilherme (RM 554962) · Pedro (RM 555556) · Fabrício (RM 558216) · Vitor (RM 554893) · Matheus (RM 555447)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rPr>
          <w:trHeight w:val="3969" w:hRule="atLeast"/>
        </w:trPr>
        <w:tc>
          <w:tcPr>
            <w:tcW w:type="dxa" w:w="3061"/>
            <w:vAlign w:val="top"/>
          </w:tcPr>
          <w:p>
            <w:r/>
            <w:r>
              <w:rPr>
                <w:b/>
                <w:color w:val="003478"/>
                <w:sz w:val="20"/>
              </w:rPr>
              <w:t>PARCERIAS-CHAVE</w:t>
            </w:r>
          </w:p>
          <w:p>
            <w:r>
              <w:rPr>
                <w:sz w:val="17"/>
              </w:rPr>
              <w:t>• Ford Motor Company Brasil — sponsor, dados, validação</w:t>
              <w:br/>
              <w:t>• Rede de concessionárias autorizadas Ford BR</w:t>
              <w:br/>
              <w:t>• Supabase — backend-as-a-service (DB + Auth + RLS)</w:t>
              <w:br/>
              <w:t>• Anthropic, OpenAI, Google — providers de LLM</w:t>
              <w:br/>
              <w:t>• FIPE.online (Parallelum) — base de preços oficial</w:t>
              <w:br/>
              <w:t>• 411 Vehicle Data (RapidAPI) — specs técnicos US</w:t>
              <w:br/>
              <w:t>• Sites oficiais das fabricantes — fonte de e-books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b/>
                <w:color w:val="0066B2"/>
                <w:sz w:val="20"/>
              </w:rPr>
              <w:t>ATIVIDADES-CHAVE</w:t>
            </w:r>
          </w:p>
          <w:p>
            <w:r>
              <w:rPr>
                <w:sz w:val="17"/>
              </w:rPr>
              <w:t>• Engenharia da plataforma (API, web, mobile)</w:t>
              <w:br/>
              <w:t>• Pipeline de coleta multi-fonte de specs</w:t>
              <w:br/>
              <w:t>• Treino e versionamento de modelos de ML</w:t>
              <w:br/>
              <w:t>• Curadoria de chaves de IA por função</w:t>
              <w:br/>
              <w:t>• Monitoramento de qualidade dos dados</w:t>
              <w:br/>
              <w:t>• Treinamento de vendedores/consultores na ferramenta</w:t>
              <w:br/>
              <w:t>• Suporte e auditoria de segurança contínua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b/>
                <w:color w:val="003478"/>
                <w:sz w:val="20"/>
              </w:rPr>
              <w:t>PROPOSTA DE VALOR</w:t>
            </w:r>
          </w:p>
          <w:p>
            <w:r>
              <w:rPr>
                <w:sz w:val="17"/>
              </w:rPr>
              <w:t>Para vendedores e gestores Ford:</w:t>
              <w:br/>
              <w:br/>
              <w:t>1. INTELIGÊNCIA COMPETITIVA — catálogo confiável de veículos próprios e concorrentes com comparativo imediato, citando fonte de cada spec.</w:t>
              <w:br/>
              <w:br/>
              <w:t>2. RETENÇÃO PROATIVA — prever no ato da venda o perfil comportamental do cliente e disparar a ação certa (fidelização, lembrete, desconto), aumentando o VIN Share da rede oficial.</w:t>
              <w:br/>
              <w:br/>
              <w:t>Tudo via web e mobile, com latência baixa e auditoria.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b/>
                <w:color w:val="0066B2"/>
                <w:sz w:val="20"/>
              </w:rPr>
              <w:t>RELACIONAMENTO COM CLIENTES</w:t>
            </w:r>
          </w:p>
          <w:p>
            <w:r>
              <w:rPr>
                <w:sz w:val="17"/>
              </w:rPr>
              <w:t>• Self-service via portal web (gestores/admin)</w:t>
              <w:br/>
              <w:t>• App mobile para consultores em loja</w:t>
              <w:br/>
              <w:t>• Treinamento on-demand (vídeos curtos)</w:t>
              <w:br/>
              <w:t>• Suporte por canal interno Ford</w:t>
              <w:br/>
              <w:t>• Iteração mensal com feedback de concessionários</w:t>
              <w:br/>
              <w:t>• Painel de observabilidade e SLAs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b/>
                <w:color w:val="003478"/>
                <w:sz w:val="20"/>
              </w:rPr>
              <w:t>SEGMENTOS DE CLIENTES</w:t>
            </w:r>
          </w:p>
          <w:p>
            <w:r>
              <w:rPr>
                <w:sz w:val="17"/>
              </w:rPr>
              <w:t>• Vendedores e consultores das concessionárias Ford</w:t>
              <w:br/>
              <w:t>• Gerentes de pós-venda das concessionárias</w:t>
              <w:br/>
              <w:t>• Time de Inteligência Competitiva Ford BR</w:t>
              <w:br/>
              <w:t>• Diretoria comercial Ford BR (visão consolidada)</w:t>
              <w:br/>
              <w:t>• (Indiretamente) o cliente final, que recebe ações personalizadas mais relevantes</w:t>
            </w:r>
          </w:p>
        </w:tc>
      </w:tr>
      <w:tr>
        <w:trPr>
          <w:trHeight w:val="3118" w:hRule="atLeast"/>
        </w:trPr>
        <w:tc>
          <w:tcPr>
            <w:tcW w:type="dxa" w:w="3061"/>
            <w:vAlign w:val="top"/>
          </w:tcPr>
          <w:p>
            <w:r/>
          </w:p>
        </w:tc>
        <w:tc>
          <w:tcPr>
            <w:tcW w:type="dxa" w:w="3061"/>
            <w:vAlign w:val="top"/>
          </w:tcPr>
          <w:p>
            <w:r/>
            <w:r>
              <w:rPr>
                <w:b/>
                <w:color w:val="0066B2"/>
                <w:sz w:val="20"/>
              </w:rPr>
              <w:t>RECURSOS-CHAVE</w:t>
            </w:r>
          </w:p>
          <w:p>
            <w:r>
              <w:rPr>
                <w:sz w:val="17"/>
              </w:rPr>
              <w:t>• Equipe técnica (5 dev FIAP + Ford TI)</w:t>
              <w:br/>
              <w:t>• Modelos de ML treinados (XGBoost, clustering)</w:t>
              <w:br/>
              <w:t>• Acesso autenticado a Supabase, RapidAPI, LLMs</w:t>
              <w:br/>
              <w:t>• Base sintética validada e base real Ford</w:t>
              <w:br/>
              <w:t>• Repositório git versionado + CI/CD</w:t>
              <w:br/>
              <w:t>• Cloud infra (Vercel/Fly + Supabase managed)</w:t>
            </w:r>
          </w:p>
        </w:tc>
        <w:tc>
          <w:tcPr>
            <w:tcW w:type="dxa" w:w="3061"/>
            <w:vAlign w:val="top"/>
          </w:tcPr>
          <w:p>
            <w:r/>
          </w:p>
        </w:tc>
        <w:tc>
          <w:tcPr>
            <w:tcW w:type="dxa" w:w="3061"/>
            <w:vAlign w:val="top"/>
          </w:tcPr>
          <w:p>
            <w:r/>
            <w:r>
              <w:rPr>
                <w:b/>
                <w:color w:val="0066B2"/>
                <w:sz w:val="20"/>
              </w:rPr>
              <w:t>CANAIS</w:t>
            </w:r>
          </w:p>
          <w:p>
            <w:r>
              <w:rPr>
                <w:sz w:val="17"/>
              </w:rPr>
              <w:t>• Portal web (apps/web) — desktop</w:t>
              <w:br/>
              <w:t>• App nativo iOS/Android (apps/mobile via Expo)</w:t>
              <w:br/>
              <w:t>• API REST documentada via Swagger (/docs)</w:t>
              <w:br/>
              <w:t>• Webhook para CRM da concessionária (futuro)</w:t>
              <w:br/>
              <w:t>• E-mail transacional para alertas críticos</w:t>
            </w:r>
          </w:p>
        </w:tc>
        <w:tc>
          <w:tcPr>
            <w:tcW w:type="dxa" w:w="3061"/>
            <w:vAlign w:val="top"/>
          </w:tcPr>
          <w:p>
            <w:r/>
          </w:p>
        </w:tc>
      </w:tr>
      <w:tr>
        <w:trPr>
          <w:trHeight w:val="2835" w:hRule="atLeast"/>
        </w:trPr>
        <w:tc>
          <w:tcPr>
            <w:tcW w:type="dxa" w:w="9183"/>
            <w:gridSpan w:val="3"/>
            <w:vAlign w:val="top"/>
          </w:tcPr>
          <w:p>
            <w:r/>
            <w:r>
              <w:rPr>
                <w:b/>
                <w:color w:val="003478"/>
                <w:sz w:val="20"/>
              </w:rPr>
              <w:t>ESTRUTURA DE CUSTOS</w:t>
            </w:r>
          </w:p>
          <w:p>
            <w:r>
              <w:rPr>
                <w:sz w:val="17"/>
              </w:rPr>
              <w:t>DESENVOLVIMENTO (one-off):</w:t>
              <w:br/>
              <w:t>• Squad 5 devs × 1 sprint</w:t>
              <w:br/>
              <w:br/>
              <w:t>OPERAÇÃO MENSAL:</w:t>
              <w:br/>
              <w:t>• Supabase: ~US$25 (Pro tier)</w:t>
              <w:br/>
              <w:t>• Hosting API+Web: ~US$20 (Fly/Vercel)</w:t>
              <w:br/>
              <w:t>• OpenAI/Anthropic: ~US$30-100 (uso por loja)</w:t>
              <w:br/>
              <w:t>• RapidAPI 411: US$0-19 (free → Pro)</w:t>
              <w:br/>
              <w:t>• FIPE token: gratuito (1k req/dia)</w:t>
              <w:br/>
              <w:br/>
              <w:t>Suporte + manutenção: ~10h/mês</w:t>
            </w:r>
          </w:p>
        </w:tc>
        <w:tc>
          <w:tcPr>
            <w:tcW w:type="dxa" w:w="6122"/>
            <w:gridSpan w:val="2"/>
            <w:vAlign w:val="top"/>
          </w:tcPr>
          <w:p>
            <w:r/>
            <w:r>
              <w:rPr>
                <w:b/>
                <w:color w:val="0066B2"/>
                <w:sz w:val="20"/>
              </w:rPr>
              <w:t>FONTES DE RECEITA</w:t>
            </w:r>
          </w:p>
          <w:p>
            <w:r>
              <w:rPr>
                <w:sz w:val="17"/>
              </w:rPr>
              <w:t>Para a Ford (redução de custo + aumento de receita):</w:t>
              <w:br/>
              <w:t>• ↑ VIN Share — clientes retidos geram +R$ 2-5k/ano em pós-venda por veículo</w:t>
              <w:br/>
              <w:t>• ↓ Custo de aquisição — comparativos rápidos reduzem ciclo de venda</w:t>
              <w:br/>
              <w:t>• ↑ Conversão de leads frios — ações certas no momento certo</w:t>
              <w:br/>
              <w:t>• ↓ Custo de pesquisa de mercado manual — automação economiza horas/mês</w:t>
              <w:br/>
              <w:br/>
              <w:t>Modelo interno (não comercializado externamente)</w:t>
            </w:r>
          </w:p>
        </w:tc>
      </w:tr>
    </w:tbl>
    <w:p/>
    <w:p>
      <w:pPr>
        <w:jc w:val="center"/>
      </w:pPr>
      <w:r>
        <w:rPr>
          <w:i/>
          <w:color w:val="4A4A4A"/>
          <w:sz w:val="16"/>
        </w:rPr>
        <w:t>Documento gerado para a entrega da Sprint Única — Ford × FIAP Challenge 2026.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