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C4AE6" w14:textId="77777777" w:rsidR="00535B5A" w:rsidRPr="00535B5A" w:rsidRDefault="00535B5A" w:rsidP="00535B5A">
      <w:pPr>
        <w:pStyle w:val="Heading1"/>
      </w:pPr>
      <w:r w:rsidRPr="00535B5A">
        <w:t>TEA Development – Exercise Template</w:t>
      </w:r>
    </w:p>
    <w:p w14:paraId="571246A6" w14:textId="77777777" w:rsidR="00535B5A" w:rsidRDefault="00535B5A"/>
    <w:p w14:paraId="09C278AA" w14:textId="77777777" w:rsidR="009C1055" w:rsidRDefault="009C1055"/>
    <w:p w14:paraId="049BB640" w14:textId="77777777" w:rsidR="0064260F" w:rsidRDefault="00535B5A" w:rsidP="00535B5A">
      <w:pPr>
        <w:pStyle w:val="Heading2"/>
      </w:pPr>
      <w:r>
        <w:t>TEA Template:</w:t>
      </w:r>
    </w:p>
    <w:p w14:paraId="64AB7A55" w14:textId="77777777" w:rsidR="00535B5A" w:rsidRDefault="00535B5A">
      <w:r>
        <w:t>(Duplicate as needed to create additional TEAs.)</w:t>
      </w:r>
    </w:p>
    <w:p w14:paraId="2180FADA" w14:textId="77777777" w:rsidR="0064260F" w:rsidRDefault="0064260F"/>
    <w:tbl>
      <w:tblPr>
        <w:tblW w:w="0" w:type="auto"/>
        <w:tblInd w:w="14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035"/>
        <w:gridCol w:w="7000"/>
      </w:tblGrid>
      <w:tr w:rsidR="0064260F" w14:paraId="47B336E2" w14:textId="77777777" w:rsidTr="00535B5A">
        <w:trPr>
          <w:trHeight w:hRule="exact" w:val="326"/>
        </w:trPr>
        <w:tc>
          <w:tcPr>
            <w:tcW w:w="9035" w:type="dxa"/>
            <w:gridSpan w:val="2"/>
          </w:tcPr>
          <w:p w14:paraId="6C244D37" w14:textId="461A1A0F" w:rsidR="0064260F" w:rsidRDefault="0064260F" w:rsidP="0075082F">
            <w:pPr>
              <w:pStyle w:val="TableParagraph"/>
              <w:ind w:left="2069" w:right="584"/>
              <w:rPr>
                <w:b/>
              </w:rPr>
            </w:pPr>
            <w:r>
              <w:rPr>
                <w:b/>
                <w:color w:val="034364"/>
              </w:rPr>
              <w:t xml:space="preserve">Threat Emulation Action </w:t>
            </w:r>
            <w:r w:rsidR="00A44672">
              <w:rPr>
                <w:b/>
                <w:color w:val="034364"/>
              </w:rPr>
              <w:t>1</w:t>
            </w:r>
          </w:p>
        </w:tc>
      </w:tr>
      <w:tr w:rsidR="0064260F" w14:paraId="509C3099" w14:textId="77777777" w:rsidTr="00A44672">
        <w:trPr>
          <w:trHeight w:hRule="exact" w:val="1315"/>
        </w:trPr>
        <w:tc>
          <w:tcPr>
            <w:tcW w:w="2035" w:type="dxa"/>
          </w:tcPr>
          <w:p w14:paraId="414D5857" w14:textId="77777777" w:rsidR="0064260F" w:rsidRDefault="0064260F" w:rsidP="0075082F">
            <w:pPr>
              <w:pStyle w:val="TableParagraph"/>
              <w:rPr>
                <w:b/>
              </w:rPr>
            </w:pPr>
            <w:r>
              <w:rPr>
                <w:b/>
                <w:color w:val="231F20"/>
              </w:rPr>
              <w:t>Overview</w:t>
            </w:r>
          </w:p>
        </w:tc>
        <w:tc>
          <w:tcPr>
            <w:tcW w:w="7000" w:type="dxa"/>
          </w:tcPr>
          <w:p w14:paraId="2E6EE688" w14:textId="77777777" w:rsidR="00A44672" w:rsidRPr="00A44672" w:rsidRDefault="00A44672" w:rsidP="00A44672">
            <w:pPr>
              <w:pStyle w:val="TableParagraph"/>
              <w:ind w:right="916"/>
            </w:pPr>
            <w:r w:rsidRPr="00A44672">
              <w:t>Conduct a targeted phishing campaign and record the number of clicks a link gets. This would simulate how a threat actor could compromise credentials or gain access to the network.</w:t>
            </w:r>
          </w:p>
          <w:p w14:paraId="4F42CC15" w14:textId="77777777" w:rsidR="0064260F" w:rsidRDefault="0064260F" w:rsidP="0075082F">
            <w:pPr>
              <w:pStyle w:val="TableParagraph"/>
              <w:ind w:right="916"/>
            </w:pPr>
          </w:p>
        </w:tc>
      </w:tr>
      <w:tr w:rsidR="0064260F" w14:paraId="44A7DE20" w14:textId="77777777" w:rsidTr="00535B5A">
        <w:trPr>
          <w:trHeight w:hRule="exact" w:val="505"/>
        </w:trPr>
        <w:tc>
          <w:tcPr>
            <w:tcW w:w="2035" w:type="dxa"/>
          </w:tcPr>
          <w:p w14:paraId="130137CC" w14:textId="77777777" w:rsidR="0064260F" w:rsidRDefault="0064260F" w:rsidP="0075082F">
            <w:pPr>
              <w:pStyle w:val="TableParagraph"/>
              <w:rPr>
                <w:b/>
              </w:rPr>
            </w:pPr>
            <w:r>
              <w:rPr>
                <w:b/>
                <w:color w:val="231F20"/>
              </w:rPr>
              <w:t>Discussion</w:t>
            </w:r>
          </w:p>
        </w:tc>
        <w:tc>
          <w:tcPr>
            <w:tcW w:w="7000" w:type="dxa"/>
          </w:tcPr>
          <w:p w14:paraId="30C65B43" w14:textId="573B27F0" w:rsidR="0064260F" w:rsidRDefault="00A44672" w:rsidP="0075082F">
            <w:pPr>
              <w:pStyle w:val="TableParagraph"/>
              <w:spacing w:line="302" w:lineRule="auto"/>
              <w:ind w:right="369"/>
              <w:jc w:val="both"/>
            </w:pPr>
            <w:r>
              <w:t>U</w:t>
            </w:r>
            <w:r>
              <w:t xml:space="preserve">sing messaging methods such as email, attackers can </w:t>
            </w:r>
            <w:r>
              <w:t>socially</w:t>
            </w:r>
            <w:r>
              <w:t xml:space="preserve"> engineer users into downloading and executing software, which quietly installs malware alongside of the desired program.</w:t>
            </w:r>
          </w:p>
        </w:tc>
      </w:tr>
      <w:tr w:rsidR="0064260F" w14:paraId="5B96E285" w14:textId="77777777" w:rsidTr="00535B5A">
        <w:trPr>
          <w:trHeight w:hRule="exact" w:val="892"/>
        </w:trPr>
        <w:tc>
          <w:tcPr>
            <w:tcW w:w="2035" w:type="dxa"/>
          </w:tcPr>
          <w:p w14:paraId="770141B8" w14:textId="77777777" w:rsidR="0064260F" w:rsidRDefault="0064260F" w:rsidP="0075082F">
            <w:pPr>
              <w:pStyle w:val="TableParagraph"/>
              <w:spacing w:line="302" w:lineRule="auto"/>
              <w:rPr>
                <w:b/>
              </w:rPr>
            </w:pPr>
            <w:r>
              <w:rPr>
                <w:b/>
                <w:color w:val="231F20"/>
              </w:rPr>
              <w:t>Expectations IAW</w:t>
            </w:r>
            <w:r>
              <w:rPr>
                <w:b/>
                <w:color w:val="231F20"/>
                <w:w w:val="103"/>
              </w:rPr>
              <w:t xml:space="preserve"> </w:t>
            </w:r>
            <w:r>
              <w:rPr>
                <w:b/>
                <w:color w:val="231F20"/>
              </w:rPr>
              <w:t>Documentation</w:t>
            </w:r>
          </w:p>
        </w:tc>
        <w:tc>
          <w:tcPr>
            <w:tcW w:w="7000" w:type="dxa"/>
          </w:tcPr>
          <w:p w14:paraId="179EACE6" w14:textId="77777777" w:rsidR="00A44672" w:rsidRPr="00A44672" w:rsidRDefault="00A44672" w:rsidP="00A44672">
            <w:pPr>
              <w:widowControl/>
              <w:rPr>
                <w:rFonts w:ascii="Segoe UI" w:eastAsia="Times New Roman" w:hAnsi="Segoe UI" w:cs="Segoe UI"/>
                <w:sz w:val="21"/>
                <w:szCs w:val="21"/>
              </w:rPr>
            </w:pPr>
            <w:r w:rsidRPr="00A44672">
              <w:rPr>
                <w:rFonts w:ascii="Segoe UI" w:eastAsia="Times New Roman" w:hAnsi="Segoe UI" w:cs="Segoe UI"/>
                <w:sz w:val="21"/>
                <w:szCs w:val="21"/>
              </w:rPr>
              <w:t>The local user awareness policy training policy should prevent this type of attack. The local defender may get help desk calls regarding the phishing attempt. The email message can be purged from the servers after the event is over.</w:t>
            </w:r>
          </w:p>
          <w:p w14:paraId="064336B8" w14:textId="77777777" w:rsidR="0064260F" w:rsidRDefault="0064260F" w:rsidP="0075082F">
            <w:pPr>
              <w:pStyle w:val="TableParagraph"/>
              <w:spacing w:before="3" w:line="302" w:lineRule="auto"/>
              <w:ind w:right="4409"/>
            </w:pPr>
          </w:p>
        </w:tc>
      </w:tr>
      <w:tr w:rsidR="0064260F" w14:paraId="3AEE3C56" w14:textId="77777777" w:rsidTr="00A44672">
        <w:trPr>
          <w:trHeight w:hRule="exact" w:val="820"/>
        </w:trPr>
        <w:tc>
          <w:tcPr>
            <w:tcW w:w="2035" w:type="dxa"/>
          </w:tcPr>
          <w:p w14:paraId="467CF291" w14:textId="77777777" w:rsidR="0064260F" w:rsidRDefault="0064260F" w:rsidP="0075082F">
            <w:pPr>
              <w:pStyle w:val="TableParagraph"/>
              <w:rPr>
                <w:b/>
              </w:rPr>
            </w:pPr>
            <w:r>
              <w:rPr>
                <w:b/>
                <w:color w:val="231F20"/>
              </w:rPr>
              <w:t>Timeline</w:t>
            </w:r>
          </w:p>
        </w:tc>
        <w:tc>
          <w:tcPr>
            <w:tcW w:w="7000" w:type="dxa"/>
          </w:tcPr>
          <w:p w14:paraId="451FF3B5" w14:textId="0261AB00" w:rsidR="00A44672" w:rsidRPr="00A44672" w:rsidRDefault="00A44672" w:rsidP="00A44672">
            <w:pPr>
              <w:widowControl/>
              <w:rPr>
                <w:rFonts w:ascii="Segoe UI" w:eastAsia="Times New Roman" w:hAnsi="Segoe UI" w:cs="Segoe UI"/>
                <w:sz w:val="21"/>
                <w:szCs w:val="21"/>
              </w:rPr>
            </w:pPr>
            <w:r w:rsidRPr="00A44672">
              <w:rPr>
                <w:rFonts w:ascii="Segoe UI" w:eastAsia="Times New Roman" w:hAnsi="Segoe UI" w:cs="Segoe UI"/>
                <w:sz w:val="21"/>
                <w:szCs w:val="21"/>
              </w:rPr>
              <w:t xml:space="preserve">Initial timeline would be the first week of the operation possibly extend longer depending on command </w:t>
            </w:r>
            <w:r w:rsidRPr="00A44672">
              <w:rPr>
                <w:rFonts w:ascii="Segoe UI" w:eastAsia="Times New Roman" w:hAnsi="Segoe UI" w:cs="Segoe UI"/>
                <w:sz w:val="21"/>
                <w:szCs w:val="21"/>
              </w:rPr>
              <w:t>emphasis.</w:t>
            </w:r>
            <w:r w:rsidRPr="00A44672">
              <w:rPr>
                <w:rFonts w:ascii="Segoe UI" w:eastAsia="Times New Roman" w:hAnsi="Segoe UI" w:cs="Segoe UI"/>
                <w:sz w:val="21"/>
                <w:szCs w:val="21"/>
              </w:rPr>
              <w:t xml:space="preserve"> </w:t>
            </w:r>
          </w:p>
          <w:p w14:paraId="42726DE2" w14:textId="77777777" w:rsidR="0064260F" w:rsidRDefault="0064260F" w:rsidP="0075082F">
            <w:pPr>
              <w:pStyle w:val="TableParagraph"/>
              <w:ind w:right="916"/>
            </w:pPr>
          </w:p>
        </w:tc>
      </w:tr>
      <w:tr w:rsidR="0064260F" w14:paraId="23B9F08C" w14:textId="77777777" w:rsidTr="00A44672">
        <w:trPr>
          <w:trHeight w:hRule="exact" w:val="1225"/>
        </w:trPr>
        <w:tc>
          <w:tcPr>
            <w:tcW w:w="2035" w:type="dxa"/>
          </w:tcPr>
          <w:p w14:paraId="608D82C9" w14:textId="77777777" w:rsidR="0064260F" w:rsidRDefault="0064260F" w:rsidP="0075082F">
            <w:pPr>
              <w:pStyle w:val="TableParagraph"/>
              <w:rPr>
                <w:b/>
              </w:rPr>
            </w:pPr>
            <w:r>
              <w:rPr>
                <w:b/>
                <w:color w:val="231F20"/>
              </w:rPr>
              <w:t>Assumptions</w:t>
            </w:r>
          </w:p>
        </w:tc>
        <w:tc>
          <w:tcPr>
            <w:tcW w:w="7000" w:type="dxa"/>
          </w:tcPr>
          <w:p w14:paraId="1CBC13FF" w14:textId="42F3A7BC" w:rsidR="00A44672" w:rsidRPr="00A44672" w:rsidRDefault="00A44672" w:rsidP="00A44672">
            <w:pPr>
              <w:widowControl/>
              <w:rPr>
                <w:rFonts w:ascii="Segoe UI" w:eastAsia="Times New Roman" w:hAnsi="Segoe UI" w:cs="Segoe UI"/>
                <w:sz w:val="21"/>
                <w:szCs w:val="21"/>
              </w:rPr>
            </w:pPr>
            <w:r w:rsidRPr="00A44672">
              <w:rPr>
                <w:rFonts w:ascii="Segoe UI" w:eastAsia="Times New Roman" w:hAnsi="Segoe UI" w:cs="Segoe UI"/>
                <w:sz w:val="21"/>
                <w:szCs w:val="21"/>
              </w:rPr>
              <w:t>Users will click on the link exposing the</w:t>
            </w:r>
            <w:r>
              <w:rPr>
                <w:rFonts w:ascii="Segoe UI" w:eastAsia="Times New Roman" w:hAnsi="Segoe UI" w:cs="Segoe UI"/>
                <w:sz w:val="21"/>
                <w:szCs w:val="21"/>
              </w:rPr>
              <w:t xml:space="preserve"> </w:t>
            </w:r>
            <w:r w:rsidRPr="00A44672">
              <w:rPr>
                <w:rFonts w:ascii="Segoe UI" w:eastAsia="Times New Roman" w:hAnsi="Segoe UI" w:cs="Segoe UI"/>
                <w:sz w:val="21"/>
                <w:szCs w:val="21"/>
              </w:rPr>
              <w:t xml:space="preserve">environment to risk. This is a common form of </w:t>
            </w:r>
            <w:r w:rsidRPr="00A44672">
              <w:rPr>
                <w:rFonts w:ascii="Segoe UI" w:eastAsia="Times New Roman" w:hAnsi="Segoe UI" w:cs="Segoe UI"/>
                <w:sz w:val="21"/>
                <w:szCs w:val="21"/>
              </w:rPr>
              <w:t>attack,</w:t>
            </w:r>
            <w:r w:rsidRPr="00A44672">
              <w:rPr>
                <w:rFonts w:ascii="Segoe UI" w:eastAsia="Times New Roman" w:hAnsi="Segoe UI" w:cs="Segoe UI"/>
                <w:sz w:val="21"/>
                <w:szCs w:val="21"/>
              </w:rPr>
              <w:t xml:space="preserve"> so we are expecting to have a high volume of clicks.</w:t>
            </w:r>
          </w:p>
          <w:p w14:paraId="2FDF472A" w14:textId="77777777" w:rsidR="0064260F" w:rsidRDefault="0064260F" w:rsidP="0075082F">
            <w:pPr>
              <w:pStyle w:val="TableParagraph"/>
              <w:ind w:right="91"/>
            </w:pPr>
          </w:p>
        </w:tc>
      </w:tr>
      <w:tr w:rsidR="0064260F" w14:paraId="70C7554D" w14:textId="77777777" w:rsidTr="00535B5A">
        <w:trPr>
          <w:trHeight w:hRule="exact" w:val="966"/>
        </w:trPr>
        <w:tc>
          <w:tcPr>
            <w:tcW w:w="2035" w:type="dxa"/>
          </w:tcPr>
          <w:p w14:paraId="2F4DFFFB" w14:textId="77777777" w:rsidR="0064260F" w:rsidRDefault="0064260F" w:rsidP="0075082F">
            <w:pPr>
              <w:pStyle w:val="TableParagraph"/>
              <w:rPr>
                <w:b/>
              </w:rPr>
            </w:pPr>
            <w:r>
              <w:rPr>
                <w:b/>
                <w:color w:val="231F20"/>
              </w:rPr>
              <w:t>Procedure</w:t>
            </w:r>
          </w:p>
        </w:tc>
        <w:tc>
          <w:tcPr>
            <w:tcW w:w="7000" w:type="dxa"/>
          </w:tcPr>
          <w:p w14:paraId="2C53D3C3" w14:textId="77777777" w:rsidR="00A44672" w:rsidRPr="00A44672" w:rsidRDefault="00A44672" w:rsidP="00A44672">
            <w:pPr>
              <w:widowControl/>
              <w:rPr>
                <w:rFonts w:ascii="Segoe UI" w:eastAsia="Times New Roman" w:hAnsi="Segoe UI" w:cs="Segoe UI"/>
                <w:sz w:val="21"/>
                <w:szCs w:val="21"/>
              </w:rPr>
            </w:pPr>
            <w:r w:rsidRPr="00A44672">
              <w:rPr>
                <w:rFonts w:ascii="Segoe UI" w:eastAsia="Times New Roman" w:hAnsi="Segoe UI" w:cs="Segoe UI"/>
                <w:sz w:val="21"/>
                <w:szCs w:val="21"/>
              </w:rPr>
              <w:t>Craft a special e-mail that would entice the user to follow the link or open an embedded file and track the hits for reporting purposes.</w:t>
            </w:r>
          </w:p>
          <w:p w14:paraId="5E6200D8" w14:textId="77777777" w:rsidR="0064260F" w:rsidRDefault="0064260F" w:rsidP="0075082F">
            <w:pPr>
              <w:pStyle w:val="TableParagraph"/>
              <w:spacing w:line="302" w:lineRule="auto"/>
              <w:ind w:right="91"/>
            </w:pPr>
          </w:p>
        </w:tc>
      </w:tr>
      <w:tr w:rsidR="0064260F" w14:paraId="478C2B7C" w14:textId="77777777" w:rsidTr="00535B5A">
        <w:trPr>
          <w:trHeight w:hRule="exact" w:val="326"/>
        </w:trPr>
        <w:tc>
          <w:tcPr>
            <w:tcW w:w="2035" w:type="dxa"/>
          </w:tcPr>
          <w:p w14:paraId="2A206E53" w14:textId="77777777" w:rsidR="0064260F" w:rsidRDefault="0064260F" w:rsidP="0075082F">
            <w:pPr>
              <w:pStyle w:val="TableParagraph"/>
              <w:rPr>
                <w:b/>
              </w:rPr>
            </w:pPr>
            <w:r>
              <w:rPr>
                <w:b/>
                <w:color w:val="231F20"/>
              </w:rPr>
              <w:t>Targets</w:t>
            </w:r>
          </w:p>
        </w:tc>
        <w:tc>
          <w:tcPr>
            <w:tcW w:w="7000" w:type="dxa"/>
          </w:tcPr>
          <w:p w14:paraId="627E45C0" w14:textId="77777777" w:rsidR="00A44672" w:rsidRPr="00A44672" w:rsidRDefault="00A44672" w:rsidP="00A44672">
            <w:pPr>
              <w:widowControl/>
              <w:rPr>
                <w:rFonts w:ascii="Segoe UI" w:eastAsia="Times New Roman" w:hAnsi="Segoe UI" w:cs="Segoe UI"/>
                <w:sz w:val="21"/>
                <w:szCs w:val="21"/>
              </w:rPr>
            </w:pPr>
            <w:r w:rsidRPr="00A44672">
              <w:rPr>
                <w:rFonts w:ascii="Segoe UI" w:eastAsia="Times New Roman" w:hAnsi="Segoe UI" w:cs="Segoe UI"/>
                <w:sz w:val="21"/>
                <w:szCs w:val="21"/>
              </w:rPr>
              <w:t>Are targets will be senior ranking personnel at first and expand out if needed.</w:t>
            </w:r>
          </w:p>
          <w:p w14:paraId="393529AA" w14:textId="77777777" w:rsidR="0064260F" w:rsidRDefault="0064260F" w:rsidP="0075082F">
            <w:pPr>
              <w:pStyle w:val="TableParagraph"/>
              <w:ind w:right="916"/>
            </w:pPr>
          </w:p>
        </w:tc>
      </w:tr>
      <w:tr w:rsidR="0064260F" w14:paraId="59120B1A" w14:textId="77777777" w:rsidTr="00535B5A">
        <w:trPr>
          <w:trHeight w:hRule="exact" w:val="646"/>
        </w:trPr>
        <w:tc>
          <w:tcPr>
            <w:tcW w:w="2035" w:type="dxa"/>
          </w:tcPr>
          <w:p w14:paraId="676D0DE2" w14:textId="77777777" w:rsidR="0064260F" w:rsidRDefault="0064260F" w:rsidP="0075082F">
            <w:pPr>
              <w:pStyle w:val="TableParagraph"/>
              <w:rPr>
                <w:b/>
              </w:rPr>
            </w:pPr>
            <w:r>
              <w:rPr>
                <w:b/>
                <w:color w:val="231F20"/>
                <w:w w:val="95"/>
              </w:rPr>
              <w:t>Proof of Success</w:t>
            </w:r>
          </w:p>
        </w:tc>
        <w:tc>
          <w:tcPr>
            <w:tcW w:w="7000" w:type="dxa"/>
          </w:tcPr>
          <w:p w14:paraId="5AD6C480" w14:textId="4538DBDC" w:rsidR="00A44672" w:rsidRPr="00A44672" w:rsidRDefault="00A44672" w:rsidP="00A44672">
            <w:pPr>
              <w:widowControl/>
              <w:rPr>
                <w:rFonts w:ascii="Segoe UI" w:eastAsia="Times New Roman" w:hAnsi="Segoe UI" w:cs="Segoe UI"/>
                <w:sz w:val="21"/>
                <w:szCs w:val="21"/>
              </w:rPr>
            </w:pPr>
            <w:r w:rsidRPr="00A44672">
              <w:rPr>
                <w:rFonts w:ascii="Segoe UI" w:eastAsia="Times New Roman" w:hAnsi="Segoe UI" w:cs="Segoe UI"/>
                <w:sz w:val="21"/>
                <w:szCs w:val="21"/>
              </w:rPr>
              <w:t xml:space="preserve">The click counter will </w:t>
            </w:r>
            <w:r w:rsidRPr="00A44672">
              <w:rPr>
                <w:rFonts w:ascii="Segoe UI" w:eastAsia="Times New Roman" w:hAnsi="Segoe UI" w:cs="Segoe UI"/>
                <w:sz w:val="21"/>
                <w:szCs w:val="21"/>
              </w:rPr>
              <w:t>increase.</w:t>
            </w:r>
          </w:p>
          <w:p w14:paraId="5DBA8F23" w14:textId="77777777" w:rsidR="0064260F" w:rsidRDefault="0064260F" w:rsidP="0075082F">
            <w:pPr>
              <w:pStyle w:val="TableParagraph"/>
              <w:spacing w:line="302" w:lineRule="auto"/>
              <w:ind w:right="935"/>
            </w:pPr>
          </w:p>
        </w:tc>
      </w:tr>
      <w:tr w:rsidR="0064260F" w14:paraId="46CE8428" w14:textId="77777777" w:rsidTr="00535B5A">
        <w:trPr>
          <w:trHeight w:hRule="exact" w:val="646"/>
        </w:trPr>
        <w:tc>
          <w:tcPr>
            <w:tcW w:w="2035" w:type="dxa"/>
          </w:tcPr>
          <w:p w14:paraId="2440D909" w14:textId="77777777" w:rsidR="0064260F" w:rsidRDefault="0064260F" w:rsidP="0075082F">
            <w:pPr>
              <w:pStyle w:val="TableParagraph"/>
              <w:spacing w:line="302" w:lineRule="auto"/>
              <w:rPr>
                <w:b/>
              </w:rPr>
            </w:pPr>
            <w:r>
              <w:rPr>
                <w:b/>
                <w:color w:val="231F20"/>
                <w:w w:val="95"/>
              </w:rPr>
              <w:t xml:space="preserve">Cleanup Actions </w:t>
            </w:r>
            <w:r>
              <w:rPr>
                <w:b/>
                <w:color w:val="231F20"/>
              </w:rPr>
              <w:t>Required</w:t>
            </w:r>
          </w:p>
        </w:tc>
        <w:tc>
          <w:tcPr>
            <w:tcW w:w="7000" w:type="dxa"/>
          </w:tcPr>
          <w:p w14:paraId="290AC98C" w14:textId="77777777" w:rsidR="00A44672" w:rsidRPr="00A44672" w:rsidRDefault="00A44672" w:rsidP="00A44672">
            <w:pPr>
              <w:widowControl/>
              <w:rPr>
                <w:rFonts w:ascii="Segoe UI" w:eastAsia="Times New Roman" w:hAnsi="Segoe UI" w:cs="Segoe UI"/>
                <w:sz w:val="21"/>
                <w:szCs w:val="21"/>
              </w:rPr>
            </w:pPr>
            <w:r w:rsidRPr="00A44672">
              <w:rPr>
                <w:rFonts w:ascii="Segoe UI" w:eastAsia="Times New Roman" w:hAnsi="Segoe UI" w:cs="Segoe UI"/>
                <w:sz w:val="21"/>
                <w:szCs w:val="21"/>
              </w:rPr>
              <w:t>The message will be purged from the servers at the end of the operation and training material will be provided to those that clicked.</w:t>
            </w:r>
          </w:p>
          <w:p w14:paraId="66D2FA05" w14:textId="77777777" w:rsidR="0064260F" w:rsidRDefault="0064260F" w:rsidP="0075082F">
            <w:pPr>
              <w:pStyle w:val="TableParagraph"/>
              <w:spacing w:line="302" w:lineRule="auto"/>
              <w:ind w:right="91"/>
            </w:pPr>
          </w:p>
        </w:tc>
      </w:tr>
    </w:tbl>
    <w:p w14:paraId="7BB0D369" w14:textId="77777777" w:rsidR="0064260F" w:rsidRDefault="0064260F" w:rsidP="0064260F"/>
    <w:sectPr w:rsidR="00642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F00F1"/>
    <w:multiLevelType w:val="hybridMultilevel"/>
    <w:tmpl w:val="07EE7C62"/>
    <w:lvl w:ilvl="0" w:tplc="A9CC83F4">
      <w:start w:val="1"/>
      <w:numFmt w:val="decimal"/>
      <w:lvlText w:val="%1."/>
      <w:lvlJc w:val="left"/>
      <w:pPr>
        <w:ind w:left="720" w:hanging="360"/>
      </w:pPr>
      <w:rPr>
        <w:b w:val="0"/>
      </w:rPr>
    </w:lvl>
    <w:lvl w:ilvl="1" w:tplc="42588E8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A74"/>
    <w:rsid w:val="002C2A74"/>
    <w:rsid w:val="00535B5A"/>
    <w:rsid w:val="0064260F"/>
    <w:rsid w:val="00811AD7"/>
    <w:rsid w:val="009C1055"/>
    <w:rsid w:val="00A44672"/>
    <w:rsid w:val="00AC3238"/>
    <w:rsid w:val="00C44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BE1CF"/>
  <w15:chartTrackingRefBased/>
  <w15:docId w15:val="{4E61E487-8367-48BA-8C7D-D2A75445F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44425"/>
    <w:pPr>
      <w:widowControl w:val="0"/>
      <w:spacing w:after="0" w:line="240" w:lineRule="auto"/>
    </w:pPr>
    <w:rPr>
      <w:rFonts w:ascii="Arial" w:eastAsia="Arial" w:hAnsi="Arial" w:cs="Arial"/>
    </w:rPr>
  </w:style>
  <w:style w:type="paragraph" w:styleId="Heading1">
    <w:name w:val="heading 1"/>
    <w:basedOn w:val="Normal"/>
    <w:next w:val="Normal"/>
    <w:link w:val="Heading1Char"/>
    <w:uiPriority w:val="9"/>
    <w:qFormat/>
    <w:rsid w:val="00535B5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5B5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5B5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44425"/>
    <w:pPr>
      <w:spacing w:before="35"/>
      <w:ind w:left="75"/>
    </w:pPr>
  </w:style>
  <w:style w:type="character" w:customStyle="1" w:styleId="Heading1Char">
    <w:name w:val="Heading 1 Char"/>
    <w:basedOn w:val="DefaultParagraphFont"/>
    <w:link w:val="Heading1"/>
    <w:uiPriority w:val="9"/>
    <w:rsid w:val="00535B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5B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35B5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35B5A"/>
    <w:pPr>
      <w:widowControl/>
      <w:spacing w:after="160" w:line="259"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67726">
      <w:bodyDiv w:val="1"/>
      <w:marLeft w:val="0"/>
      <w:marRight w:val="0"/>
      <w:marTop w:val="0"/>
      <w:marBottom w:val="0"/>
      <w:divBdr>
        <w:top w:val="none" w:sz="0" w:space="0" w:color="auto"/>
        <w:left w:val="none" w:sz="0" w:space="0" w:color="auto"/>
        <w:bottom w:val="none" w:sz="0" w:space="0" w:color="auto"/>
        <w:right w:val="none" w:sz="0" w:space="0" w:color="auto"/>
      </w:divBdr>
      <w:divsChild>
        <w:div w:id="1026062334">
          <w:marLeft w:val="0"/>
          <w:marRight w:val="0"/>
          <w:marTop w:val="0"/>
          <w:marBottom w:val="0"/>
          <w:divBdr>
            <w:top w:val="none" w:sz="0" w:space="0" w:color="auto"/>
            <w:left w:val="none" w:sz="0" w:space="0" w:color="auto"/>
            <w:bottom w:val="none" w:sz="0" w:space="0" w:color="auto"/>
            <w:right w:val="none" w:sz="0" w:space="0" w:color="auto"/>
          </w:divBdr>
        </w:div>
      </w:divsChild>
    </w:div>
    <w:div w:id="66923294">
      <w:bodyDiv w:val="1"/>
      <w:marLeft w:val="0"/>
      <w:marRight w:val="0"/>
      <w:marTop w:val="0"/>
      <w:marBottom w:val="0"/>
      <w:divBdr>
        <w:top w:val="none" w:sz="0" w:space="0" w:color="auto"/>
        <w:left w:val="none" w:sz="0" w:space="0" w:color="auto"/>
        <w:bottom w:val="none" w:sz="0" w:space="0" w:color="auto"/>
        <w:right w:val="none" w:sz="0" w:space="0" w:color="auto"/>
      </w:divBdr>
      <w:divsChild>
        <w:div w:id="1864857552">
          <w:marLeft w:val="0"/>
          <w:marRight w:val="0"/>
          <w:marTop w:val="0"/>
          <w:marBottom w:val="0"/>
          <w:divBdr>
            <w:top w:val="none" w:sz="0" w:space="0" w:color="auto"/>
            <w:left w:val="none" w:sz="0" w:space="0" w:color="auto"/>
            <w:bottom w:val="none" w:sz="0" w:space="0" w:color="auto"/>
            <w:right w:val="none" w:sz="0" w:space="0" w:color="auto"/>
          </w:divBdr>
          <w:divsChild>
            <w:div w:id="18989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41586">
      <w:bodyDiv w:val="1"/>
      <w:marLeft w:val="0"/>
      <w:marRight w:val="0"/>
      <w:marTop w:val="0"/>
      <w:marBottom w:val="0"/>
      <w:divBdr>
        <w:top w:val="none" w:sz="0" w:space="0" w:color="auto"/>
        <w:left w:val="none" w:sz="0" w:space="0" w:color="auto"/>
        <w:bottom w:val="none" w:sz="0" w:space="0" w:color="auto"/>
        <w:right w:val="none" w:sz="0" w:space="0" w:color="auto"/>
      </w:divBdr>
      <w:divsChild>
        <w:div w:id="1881479160">
          <w:marLeft w:val="0"/>
          <w:marRight w:val="0"/>
          <w:marTop w:val="0"/>
          <w:marBottom w:val="0"/>
          <w:divBdr>
            <w:top w:val="none" w:sz="0" w:space="0" w:color="auto"/>
            <w:left w:val="none" w:sz="0" w:space="0" w:color="auto"/>
            <w:bottom w:val="none" w:sz="0" w:space="0" w:color="auto"/>
            <w:right w:val="none" w:sz="0" w:space="0" w:color="auto"/>
          </w:divBdr>
        </w:div>
      </w:divsChild>
    </w:div>
    <w:div w:id="684211906">
      <w:bodyDiv w:val="1"/>
      <w:marLeft w:val="0"/>
      <w:marRight w:val="0"/>
      <w:marTop w:val="0"/>
      <w:marBottom w:val="0"/>
      <w:divBdr>
        <w:top w:val="none" w:sz="0" w:space="0" w:color="auto"/>
        <w:left w:val="none" w:sz="0" w:space="0" w:color="auto"/>
        <w:bottom w:val="none" w:sz="0" w:space="0" w:color="auto"/>
        <w:right w:val="none" w:sz="0" w:space="0" w:color="auto"/>
      </w:divBdr>
      <w:divsChild>
        <w:div w:id="1425302122">
          <w:marLeft w:val="0"/>
          <w:marRight w:val="0"/>
          <w:marTop w:val="0"/>
          <w:marBottom w:val="0"/>
          <w:divBdr>
            <w:top w:val="none" w:sz="0" w:space="0" w:color="auto"/>
            <w:left w:val="none" w:sz="0" w:space="0" w:color="auto"/>
            <w:bottom w:val="none" w:sz="0" w:space="0" w:color="auto"/>
            <w:right w:val="none" w:sz="0" w:space="0" w:color="auto"/>
          </w:divBdr>
        </w:div>
      </w:divsChild>
    </w:div>
    <w:div w:id="1324813439">
      <w:bodyDiv w:val="1"/>
      <w:marLeft w:val="0"/>
      <w:marRight w:val="0"/>
      <w:marTop w:val="0"/>
      <w:marBottom w:val="0"/>
      <w:divBdr>
        <w:top w:val="none" w:sz="0" w:space="0" w:color="auto"/>
        <w:left w:val="none" w:sz="0" w:space="0" w:color="auto"/>
        <w:bottom w:val="none" w:sz="0" w:space="0" w:color="auto"/>
        <w:right w:val="none" w:sz="0" w:space="0" w:color="auto"/>
      </w:divBdr>
      <w:divsChild>
        <w:div w:id="1661737274">
          <w:marLeft w:val="0"/>
          <w:marRight w:val="0"/>
          <w:marTop w:val="0"/>
          <w:marBottom w:val="0"/>
          <w:divBdr>
            <w:top w:val="none" w:sz="0" w:space="0" w:color="auto"/>
            <w:left w:val="none" w:sz="0" w:space="0" w:color="auto"/>
            <w:bottom w:val="none" w:sz="0" w:space="0" w:color="auto"/>
            <w:right w:val="none" w:sz="0" w:space="0" w:color="auto"/>
          </w:divBdr>
        </w:div>
      </w:divsChild>
    </w:div>
    <w:div w:id="1404060674">
      <w:bodyDiv w:val="1"/>
      <w:marLeft w:val="0"/>
      <w:marRight w:val="0"/>
      <w:marTop w:val="0"/>
      <w:marBottom w:val="0"/>
      <w:divBdr>
        <w:top w:val="none" w:sz="0" w:space="0" w:color="auto"/>
        <w:left w:val="none" w:sz="0" w:space="0" w:color="auto"/>
        <w:bottom w:val="none" w:sz="0" w:space="0" w:color="auto"/>
        <w:right w:val="none" w:sz="0" w:space="0" w:color="auto"/>
      </w:divBdr>
      <w:divsChild>
        <w:div w:id="405955496">
          <w:marLeft w:val="0"/>
          <w:marRight w:val="0"/>
          <w:marTop w:val="0"/>
          <w:marBottom w:val="0"/>
          <w:divBdr>
            <w:top w:val="none" w:sz="0" w:space="0" w:color="auto"/>
            <w:left w:val="none" w:sz="0" w:space="0" w:color="auto"/>
            <w:bottom w:val="none" w:sz="0" w:space="0" w:color="auto"/>
            <w:right w:val="none" w:sz="0" w:space="0" w:color="auto"/>
          </w:divBdr>
        </w:div>
      </w:divsChild>
    </w:div>
    <w:div w:id="1623463529">
      <w:bodyDiv w:val="1"/>
      <w:marLeft w:val="0"/>
      <w:marRight w:val="0"/>
      <w:marTop w:val="0"/>
      <w:marBottom w:val="0"/>
      <w:divBdr>
        <w:top w:val="none" w:sz="0" w:space="0" w:color="auto"/>
        <w:left w:val="none" w:sz="0" w:space="0" w:color="auto"/>
        <w:bottom w:val="none" w:sz="0" w:space="0" w:color="auto"/>
        <w:right w:val="none" w:sz="0" w:space="0" w:color="auto"/>
      </w:divBdr>
      <w:divsChild>
        <w:div w:id="57944773">
          <w:marLeft w:val="0"/>
          <w:marRight w:val="0"/>
          <w:marTop w:val="0"/>
          <w:marBottom w:val="0"/>
          <w:divBdr>
            <w:top w:val="none" w:sz="0" w:space="0" w:color="auto"/>
            <w:left w:val="none" w:sz="0" w:space="0" w:color="auto"/>
            <w:bottom w:val="none" w:sz="0" w:space="0" w:color="auto"/>
            <w:right w:val="none" w:sz="0" w:space="0" w:color="auto"/>
          </w:divBdr>
        </w:div>
      </w:divsChild>
    </w:div>
    <w:div w:id="1839609965">
      <w:bodyDiv w:val="1"/>
      <w:marLeft w:val="0"/>
      <w:marRight w:val="0"/>
      <w:marTop w:val="0"/>
      <w:marBottom w:val="0"/>
      <w:divBdr>
        <w:top w:val="none" w:sz="0" w:space="0" w:color="auto"/>
        <w:left w:val="none" w:sz="0" w:space="0" w:color="auto"/>
        <w:bottom w:val="none" w:sz="0" w:space="0" w:color="auto"/>
        <w:right w:val="none" w:sz="0" w:space="0" w:color="auto"/>
      </w:divBdr>
      <w:divsChild>
        <w:div w:id="1327437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AF688DE0348949BE8A9AFCB9429088" ma:contentTypeVersion="2" ma:contentTypeDescription="Create a new document." ma:contentTypeScope="" ma:versionID="6de7dbf7cd4ee638ee5780e7ad4fb826">
  <xsd:schema xmlns:xsd="http://www.w3.org/2001/XMLSchema" xmlns:xs="http://www.w3.org/2001/XMLSchema" xmlns:p="http://schemas.microsoft.com/office/2006/metadata/properties" xmlns:ns2="7910f9ce-e11d-491e-a6d7-8b9db83cfb0f" targetNamespace="http://schemas.microsoft.com/office/2006/metadata/properties" ma:root="true" ma:fieldsID="d7adcee7d81deea043adb342a00a1c9f" ns2:_="">
    <xsd:import namespace="7910f9ce-e11d-491e-a6d7-8b9db83cfb0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10f9ce-e11d-491e-a6d7-8b9db83cfb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497A4A-7F49-4183-8BA3-524B020F112B}"/>
</file>

<file path=customXml/itemProps2.xml><?xml version="1.0" encoding="utf-8"?>
<ds:datastoreItem xmlns:ds="http://schemas.openxmlformats.org/officeDocument/2006/customXml" ds:itemID="{EBB02E88-1BB4-4531-9E41-D3295C6A31C1}"/>
</file>

<file path=customXml/itemProps3.xml><?xml version="1.0" encoding="utf-8"?>
<ds:datastoreItem xmlns:ds="http://schemas.openxmlformats.org/officeDocument/2006/customXml" ds:itemID="{A97065BF-DB7B-4FE8-AC25-FE7F8D9E335C}"/>
</file>

<file path=docProps/app.xml><?xml version="1.0" encoding="utf-8"?>
<Properties xmlns="http://schemas.openxmlformats.org/officeDocument/2006/extended-properties" xmlns:vt="http://schemas.openxmlformats.org/officeDocument/2006/docPropsVTypes">
  <Template>Normal.dotm</Template>
  <TotalTime>4</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Martin</dc:creator>
  <cp:keywords/>
  <dc:description/>
  <cp:lastModifiedBy>Robert Hawley</cp:lastModifiedBy>
  <cp:revision>2</cp:revision>
  <dcterms:created xsi:type="dcterms:W3CDTF">2021-03-15T18:39:00Z</dcterms:created>
  <dcterms:modified xsi:type="dcterms:W3CDTF">2021-03-15T18:39:00Z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0x01010004AF688DE0348949BE8A9AFCB9429088</vt:lpwstr>
  </property>
</Properties>
</file>