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w:t>
      </w:r>
      <w:r w:rsidDel="00000000" w:rsidR="00000000" w:rsidRPr="00000000">
        <w:rPr>
          <w:rFonts w:ascii="Google Sans" w:cs="Google Sans" w:eastAsia="Google Sans" w:hAnsi="Google Sans"/>
          <w:sz w:val="24"/>
          <w:szCs w:val="24"/>
          <w:rtl w:val="0"/>
        </w:rPr>
        <w:t xml:space="preserve">ou can also use this journal as a way to log the key takeaways about the different cybersecurity tools or concepts you encounter in this course.</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B">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D">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E">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3"/>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7">
            <w:pPr>
              <w:widowControl w:val="0"/>
              <w:numPr>
                <w:ilvl w:val="0"/>
                <w:numId w:val="3"/>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8">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9">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A">
            <w:pPr>
              <w:widowControl w:val="0"/>
              <w:numPr>
                <w:ilvl w:val="0"/>
                <w:numId w:val="3"/>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F">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5">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6">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2">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9">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F">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8">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7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8">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F">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8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2">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5">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3"/>
        <w:spacing w:line="276"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89">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