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17" w:rsidRPr="008B1392" w:rsidRDefault="00A17F17" w:rsidP="00A17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7192194"/>
      <w:r w:rsidRPr="008B1392">
        <w:rPr>
          <w:rFonts w:ascii="Times New Roman" w:hAnsi="Times New Roman" w:cs="Times New Roman"/>
          <w:b/>
          <w:sz w:val="28"/>
          <w:szCs w:val="28"/>
        </w:rPr>
        <w:t>ИСХОДНЫЕ ДАННЫЕ ДЛЯ ФОРМИРОВАНИЯ ТЕХНИЧЕСКОГО ЗАДАНИЯ НА ВЫПОЛНЕНИЕ РАБОТ</w:t>
      </w:r>
    </w:p>
    <w:p w:rsidR="00CF53F0" w:rsidRDefault="00A17F17" w:rsidP="00F93181">
      <w:pPr>
        <w:jc w:val="center"/>
        <w:rPr>
          <w:rFonts w:ascii="Times New Roman" w:hAnsi="Times New Roman" w:cs="Times New Roman"/>
          <w:b/>
          <w:sz w:val="28"/>
        </w:rPr>
      </w:pPr>
      <w:r w:rsidRPr="00F57A99">
        <w:rPr>
          <w:rFonts w:ascii="Times New Roman" w:hAnsi="Times New Roman" w:cs="Times New Roman"/>
          <w:b/>
          <w:sz w:val="28"/>
        </w:rPr>
        <w:t>Закупка товаров и услуг для нужд Приемной Государственной Думы</w:t>
      </w:r>
      <w:bookmarkEnd w:id="0"/>
      <w:r w:rsidR="00EE2343">
        <w:rPr>
          <w:rFonts w:ascii="Times New Roman" w:hAnsi="Times New Roman" w:cs="Times New Roman"/>
          <w:b/>
          <w:sz w:val="28"/>
        </w:rPr>
        <w:t xml:space="preserve"> и развития Справочной Службы</w:t>
      </w:r>
    </w:p>
    <w:tbl>
      <w:tblPr>
        <w:tblStyle w:val="10"/>
        <w:tblW w:w="5448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706"/>
        <w:gridCol w:w="2482"/>
        <w:gridCol w:w="4808"/>
        <w:gridCol w:w="1432"/>
        <w:gridCol w:w="1308"/>
      </w:tblGrid>
      <w:tr w:rsidR="00A6781A" w:rsidRPr="002C2687" w:rsidTr="00A6781A">
        <w:tc>
          <w:tcPr>
            <w:tcW w:w="329" w:type="pct"/>
            <w:vAlign w:val="center"/>
          </w:tcPr>
          <w:p w:rsidR="00A17F17" w:rsidRPr="00F57A99" w:rsidRDefault="00A17F17" w:rsidP="00A17F17">
            <w:pPr>
              <w:pStyle w:val="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F57A99">
              <w:rPr>
                <w:b/>
              </w:rPr>
              <w:t>№</w:t>
            </w:r>
          </w:p>
          <w:p w:rsidR="00A17F17" w:rsidRPr="00F57A99" w:rsidRDefault="00A17F17" w:rsidP="00A17F17">
            <w:pPr>
              <w:pStyle w:val="1"/>
              <w:numPr>
                <w:ilvl w:val="0"/>
                <w:numId w:val="0"/>
              </w:numPr>
              <w:spacing w:before="0" w:after="0"/>
              <w:ind w:left="29"/>
              <w:jc w:val="center"/>
              <w:rPr>
                <w:b/>
              </w:rPr>
            </w:pPr>
            <w:r w:rsidRPr="00F57A99">
              <w:rPr>
                <w:b/>
              </w:rPr>
              <w:t>п/п</w:t>
            </w:r>
          </w:p>
        </w:tc>
        <w:tc>
          <w:tcPr>
            <w:tcW w:w="1156" w:type="pct"/>
            <w:vAlign w:val="center"/>
          </w:tcPr>
          <w:p w:rsidR="00A17F17" w:rsidRPr="00F57A99" w:rsidRDefault="00A17F17" w:rsidP="00A17F17">
            <w:pPr>
              <w:pStyle w:val="1"/>
              <w:numPr>
                <w:ilvl w:val="0"/>
                <w:numId w:val="0"/>
              </w:numPr>
              <w:spacing w:before="0" w:after="0"/>
              <w:ind w:left="29"/>
              <w:jc w:val="center"/>
              <w:rPr>
                <w:b/>
              </w:rPr>
            </w:pPr>
            <w:r w:rsidRPr="00F57A99">
              <w:rPr>
                <w:b/>
              </w:rPr>
              <w:t>Наименование закупаемого товара</w:t>
            </w:r>
          </w:p>
        </w:tc>
        <w:tc>
          <w:tcPr>
            <w:tcW w:w="2239" w:type="pct"/>
            <w:vAlign w:val="center"/>
          </w:tcPr>
          <w:p w:rsidR="00A17F17" w:rsidRPr="00ED5FDB" w:rsidRDefault="00A17F17" w:rsidP="00A17F17">
            <w:pPr>
              <w:pStyle w:val="1"/>
              <w:numPr>
                <w:ilvl w:val="0"/>
                <w:numId w:val="0"/>
              </w:numPr>
              <w:spacing w:before="0" w:after="0"/>
              <w:ind w:left="29"/>
              <w:jc w:val="center"/>
              <w:rPr>
                <w:b/>
              </w:rPr>
            </w:pPr>
            <w:r w:rsidRPr="00ED5FDB">
              <w:rPr>
                <w:b/>
              </w:rPr>
              <w:t>Описание функциональных и технических характеристик закупаемого товара</w:t>
            </w:r>
          </w:p>
        </w:tc>
        <w:tc>
          <w:tcPr>
            <w:tcW w:w="667" w:type="pct"/>
            <w:vAlign w:val="center"/>
          </w:tcPr>
          <w:p w:rsidR="00A17F17" w:rsidRPr="00ED5FDB" w:rsidRDefault="00A17F17" w:rsidP="00A17F17">
            <w:pPr>
              <w:pStyle w:val="1"/>
              <w:numPr>
                <w:ilvl w:val="0"/>
                <w:numId w:val="0"/>
              </w:numPr>
              <w:spacing w:before="0" w:after="0"/>
              <w:ind w:left="29"/>
              <w:jc w:val="center"/>
              <w:rPr>
                <w:b/>
              </w:rPr>
            </w:pPr>
            <w:r w:rsidRPr="00ED5FDB">
              <w:rPr>
                <w:b/>
              </w:rPr>
              <w:t>Ед. измерения</w:t>
            </w:r>
          </w:p>
        </w:tc>
        <w:tc>
          <w:tcPr>
            <w:tcW w:w="609" w:type="pct"/>
            <w:vAlign w:val="center"/>
          </w:tcPr>
          <w:p w:rsidR="00A17F17" w:rsidRPr="00ED5FDB" w:rsidRDefault="00A17F17" w:rsidP="00A17F17">
            <w:pPr>
              <w:pStyle w:val="1"/>
              <w:numPr>
                <w:ilvl w:val="0"/>
                <w:numId w:val="0"/>
              </w:numPr>
              <w:spacing w:before="0" w:after="0"/>
              <w:ind w:left="29"/>
              <w:jc w:val="center"/>
              <w:rPr>
                <w:b/>
              </w:rPr>
            </w:pPr>
            <w:r w:rsidRPr="00ED5FDB">
              <w:rPr>
                <w:b/>
              </w:rPr>
              <w:t>Кол</w:t>
            </w:r>
            <w:r>
              <w:rPr>
                <w:b/>
              </w:rPr>
              <w:t>-</w:t>
            </w:r>
            <w:r w:rsidRPr="00ED5FDB">
              <w:rPr>
                <w:b/>
              </w:rPr>
              <w:t>во</w:t>
            </w:r>
          </w:p>
        </w:tc>
      </w:tr>
      <w:tr w:rsidR="00A6781A" w:rsidRPr="002C2687" w:rsidTr="00A6781A">
        <w:tc>
          <w:tcPr>
            <w:tcW w:w="329" w:type="pct"/>
          </w:tcPr>
          <w:p w:rsidR="00A17F17" w:rsidRPr="00F57A99" w:rsidRDefault="00A17F17" w:rsidP="00F5583A">
            <w:pPr>
              <w:pStyle w:val="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57A99">
              <w:rPr>
                <w:b/>
              </w:rPr>
              <w:t>1</w:t>
            </w:r>
          </w:p>
        </w:tc>
        <w:tc>
          <w:tcPr>
            <w:tcW w:w="1156" w:type="pct"/>
          </w:tcPr>
          <w:p w:rsidR="00A17F17" w:rsidRPr="00F57A99" w:rsidRDefault="00A17F17" w:rsidP="00F5583A">
            <w:pPr>
              <w:pStyle w:val="1"/>
              <w:numPr>
                <w:ilvl w:val="0"/>
                <w:numId w:val="0"/>
              </w:numPr>
              <w:jc w:val="left"/>
              <w:rPr>
                <w:b/>
              </w:rPr>
            </w:pPr>
            <w:r w:rsidRPr="00F57A99">
              <w:rPr>
                <w:b/>
              </w:rPr>
              <w:t>Регистрационный терминал с функцией сканера паспорта с последующей выдачей талона электронной очереди</w:t>
            </w:r>
          </w:p>
          <w:p w:rsidR="00A17F17" w:rsidRPr="00A17F17" w:rsidRDefault="00A17F17" w:rsidP="00F5583A">
            <w:pPr>
              <w:pStyle w:val="1"/>
              <w:numPr>
                <w:ilvl w:val="0"/>
                <w:numId w:val="0"/>
              </w:numPr>
              <w:jc w:val="left"/>
            </w:pPr>
            <w:r w:rsidRPr="00A17F17">
              <w:t>(электронный терминал самообслуживания: регистрация и выдача талонов электронной очереди)</w:t>
            </w:r>
          </w:p>
        </w:tc>
        <w:tc>
          <w:tcPr>
            <w:tcW w:w="2239" w:type="pct"/>
          </w:tcPr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/>
              <w:rPr>
                <w:szCs w:val="24"/>
              </w:rPr>
            </w:pPr>
            <w:r w:rsidRPr="002C2687">
              <w:t>Сенсорный терминал напольного исполнения с термопринтером и сенсорным жидкокристаллическим экраном.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/>
            </w:pP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>Электронный терминал регистрации и выдачи талонов электронной очереди комплектуется: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  <w:r w:rsidRPr="002C2687">
              <w:t>– сенсорным экраном;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  <w:r w:rsidRPr="002C2687">
              <w:t>– компьютерным блоком;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  <w:r w:rsidRPr="002C2687">
              <w:t>– сканером для сканирования документов, удостоверяющих личность;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  <w:r w:rsidRPr="002C2687">
              <w:t>– принтером для печати бумажных талонов электронной очереди.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</w:p>
          <w:p w:rsidR="00A17F17" w:rsidRPr="00ED5FDB" w:rsidRDefault="00A17F17" w:rsidP="00F5583A">
            <w:pPr>
              <w:pStyle w:val="1"/>
              <w:numPr>
                <w:ilvl w:val="0"/>
                <w:numId w:val="0"/>
              </w:numPr>
              <w:ind w:left="55"/>
              <w:rPr>
                <w:b/>
              </w:rPr>
            </w:pPr>
            <w:r w:rsidRPr="00ED5FDB">
              <w:rPr>
                <w:b/>
              </w:rPr>
              <w:t>Терминал должен обеспечивать: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  <w:r w:rsidRPr="002C2687">
              <w:t>– самостоятельную регистрацию посетителей Приемной Государственной Думы без участия сотрудников;</w:t>
            </w:r>
          </w:p>
          <w:p w:rsidR="00A17F17" w:rsidRPr="002C268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>– сканирование и распознавание документа, удостоверяющего личность посетителя;</w:t>
            </w:r>
          </w:p>
          <w:p w:rsidR="00A17F17" w:rsidRPr="002C268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>– </w:t>
            </w:r>
            <w:r>
              <w:t>прием в собственную базу данных электронного терминала информации из</w:t>
            </w:r>
            <w:r w:rsidRPr="002C2687">
              <w:t xml:space="preserve"> Системы обработки и анализа обращений граждан ГАС «Законотворчество» (СООГ)</w:t>
            </w:r>
            <w:r>
              <w:t xml:space="preserve"> для организации автоматической</w:t>
            </w:r>
            <w:r w:rsidRPr="002C2687">
              <w:t xml:space="preserve"> проверк</w:t>
            </w:r>
            <w:r>
              <w:t>и</w:t>
            </w:r>
            <w:r w:rsidRPr="002C2687">
              <w:t xml:space="preserve"> наличия предварительной записи на прием </w:t>
            </w:r>
            <w:r w:rsidRPr="00A17F17">
              <w:rPr>
                <w:i/>
              </w:rPr>
              <w:t>(в случае выбора цели приема: прием по записи)</w:t>
            </w:r>
            <w:r w:rsidRPr="002C2687">
              <w:t>;</w:t>
            </w:r>
          </w:p>
          <w:p w:rsidR="00A17F1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>– выдачу посетителю талона электронной очереди</w:t>
            </w:r>
            <w:r>
              <w:t>;</w:t>
            </w:r>
            <w:r w:rsidRPr="002C2687">
              <w:t xml:space="preserve"> </w:t>
            </w:r>
          </w:p>
          <w:p w:rsidR="00A17F17" w:rsidRPr="002C268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  <w:r>
              <w:t xml:space="preserve">– передачу </w:t>
            </w:r>
            <w:r w:rsidRPr="002C2687">
              <w:t xml:space="preserve">регистрационных данных </w:t>
            </w:r>
            <w:r>
              <w:t xml:space="preserve">(фамилия, имя, отчество – перечень данных уточняется на этапе проектирования) </w:t>
            </w:r>
            <w:r w:rsidRPr="002C2687">
              <w:t xml:space="preserve">на экран компьютера принимающего сотрудника с одновременной предварительной регистрацией гражданина и созданием регистрационной карточки </w:t>
            </w:r>
            <w:r>
              <w:t xml:space="preserve">личного </w:t>
            </w:r>
            <w:r w:rsidRPr="002C2687">
              <w:t>приема или обращения (в зависимости от выбора цели приема).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 w:firstLine="142"/>
            </w:pPr>
          </w:p>
          <w:p w:rsidR="00A17F17" w:rsidRPr="00ED5FDB" w:rsidRDefault="00A17F17" w:rsidP="00F5583A">
            <w:pPr>
              <w:pStyle w:val="1"/>
              <w:numPr>
                <w:ilvl w:val="0"/>
                <w:numId w:val="0"/>
              </w:numPr>
              <w:ind w:left="55"/>
              <w:rPr>
                <w:b/>
              </w:rPr>
            </w:pPr>
            <w:r w:rsidRPr="00ED5FDB">
              <w:rPr>
                <w:b/>
              </w:rPr>
              <w:t>Виртуальный пульт специалиста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 xml:space="preserve">Виртуальный пульт специалиста должен реализовывать следующие функции: 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 w:rsidRPr="002C2687">
              <w:lastRenderedPageBreak/>
              <w:t>вход в систему с авторизацией по индивидуальному логину-паролю специалиста;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 w:rsidRPr="002C2687">
              <w:t xml:space="preserve">звуковой сигнал (сопровождающийся миганием значка программы, если она свернута) при регистрации посетителя </w:t>
            </w:r>
            <w:r w:rsidR="00F62A0B">
              <w:t>в системе электронной очереди</w:t>
            </w:r>
            <w:r w:rsidRPr="002C2687">
              <w:t>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 w:rsidRPr="002C2687">
              <w:t>вызов посетителя на обслуживание кнопкой «Следующий» при этом система автоматически определяет, какой номер должен быть направлен к специалисту (метод равномерного распределения нагрузки);</w:t>
            </w:r>
          </w:p>
          <w:p w:rsidR="00A17F17" w:rsidRPr="00F62A0B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  <w:rPr>
                <w:color w:val="FF0000"/>
              </w:rPr>
            </w:pPr>
            <w:r w:rsidRPr="00F62A0B">
              <w:rPr>
                <w:color w:val="FF0000"/>
              </w:rPr>
              <w:t>вызов посетителя по номеру очереди (талона) для предоставления обслуживания вне очереди (в экстренных ситуациях);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 w:rsidRPr="002C2687">
              <w:t xml:space="preserve">вызов посетителя </w:t>
            </w:r>
            <w:r w:rsidR="00F62A0B" w:rsidRPr="002C2687">
              <w:t>из списков,</w:t>
            </w:r>
            <w:r w:rsidRPr="002C2687">
              <w:t xml:space="preserve"> отложенных и/или </w:t>
            </w:r>
            <w:r w:rsidR="00F62A0B">
              <w:t>длительно ожидающих посетителей</w:t>
            </w:r>
            <w:r w:rsidRPr="002C2687">
              <w:t>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 w:rsidRPr="002C2687">
              <w:t>подтверждение неявки посетителя;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459"/>
              </w:tabs>
              <w:ind w:left="459" w:hanging="284"/>
            </w:pPr>
            <w:r w:rsidRPr="002C2687">
              <w:t xml:space="preserve">перенаправление посетителя в другую очередь к определенному или любому рабочему месту (с учетом времени получения талона или поставить в конец очереди), которое осуществляет обслуживание по данной очереди, возможность перенаправления с возвратом к перенаправившему </w:t>
            </w:r>
            <w:r w:rsidR="00F62A0B">
              <w:t>специалисту</w:t>
            </w:r>
            <w:r w:rsidRPr="002C2687">
              <w:t>.</w:t>
            </w:r>
          </w:p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tabs>
                <w:tab w:val="left" w:pos="406"/>
              </w:tabs>
              <w:ind w:left="55" w:firstLine="142"/>
            </w:pPr>
          </w:p>
          <w:p w:rsidR="00F62A0B" w:rsidRDefault="00F62A0B" w:rsidP="00F62A0B">
            <w:pPr>
              <w:pStyle w:val="1"/>
              <w:numPr>
                <w:ilvl w:val="0"/>
                <w:numId w:val="0"/>
              </w:numPr>
              <w:ind w:left="55"/>
              <w:rPr>
                <w:b/>
              </w:rPr>
            </w:pPr>
            <w:r>
              <w:rPr>
                <w:b/>
              </w:rPr>
              <w:t>Необходима интеграция системы электронной очереди с:</w:t>
            </w:r>
          </w:p>
          <w:p w:rsidR="00A17F17" w:rsidRDefault="00F62A0B" w:rsidP="00775CDD">
            <w:pPr>
              <w:pStyle w:val="1"/>
              <w:numPr>
                <w:ilvl w:val="0"/>
                <w:numId w:val="2"/>
              </w:numPr>
              <w:tabs>
                <w:tab w:val="left" w:pos="742"/>
              </w:tabs>
              <w:ind w:left="459" w:hanging="284"/>
              <w:rPr>
                <w:b/>
              </w:rPr>
            </w:pPr>
            <w:r>
              <w:rPr>
                <w:b/>
              </w:rPr>
              <w:t>информационным экраном, установленным в Приемной Государственной Думы и предназначенным для:</w:t>
            </w:r>
          </w:p>
          <w:p w:rsidR="00775CDD" w:rsidRPr="00F62A0B" w:rsidRDefault="00775CDD" w:rsidP="00775CDD">
            <w:pPr>
              <w:pStyle w:val="1"/>
              <w:numPr>
                <w:ilvl w:val="1"/>
                <w:numId w:val="11"/>
              </w:numPr>
              <w:tabs>
                <w:tab w:val="left" w:pos="460"/>
                <w:tab w:val="left" w:pos="1093"/>
              </w:tabs>
              <w:ind w:left="1026" w:hanging="284"/>
            </w:pPr>
            <w:r w:rsidRPr="00F62A0B">
              <w:t>отображения списка номеров в каждой очереди;</w:t>
            </w:r>
          </w:p>
          <w:p w:rsidR="00775CDD" w:rsidRPr="00F62A0B" w:rsidRDefault="00775CDD" w:rsidP="00775CDD">
            <w:pPr>
              <w:pStyle w:val="1"/>
              <w:numPr>
                <w:ilvl w:val="1"/>
                <w:numId w:val="11"/>
              </w:numPr>
              <w:tabs>
                <w:tab w:val="left" w:pos="460"/>
                <w:tab w:val="left" w:pos="1093"/>
              </w:tabs>
              <w:ind w:left="1026" w:hanging="284"/>
            </w:pPr>
            <w:r w:rsidRPr="00F62A0B">
              <w:t>отображения номера приглашенного на обслуживание для каждого из рабочих мест;</w:t>
            </w:r>
          </w:p>
          <w:p w:rsidR="00775CDD" w:rsidRPr="00F62A0B" w:rsidRDefault="00775CDD" w:rsidP="00775CDD">
            <w:pPr>
              <w:pStyle w:val="1"/>
              <w:numPr>
                <w:ilvl w:val="1"/>
                <w:numId w:val="11"/>
              </w:numPr>
              <w:tabs>
                <w:tab w:val="left" w:pos="460"/>
                <w:tab w:val="left" w:pos="1093"/>
              </w:tabs>
              <w:ind w:left="1026" w:hanging="284"/>
            </w:pPr>
            <w:r w:rsidRPr="00F62A0B">
              <w:t>отображения сообщения о приглашении посетителя в момент вызова посетителя специалистом.</w:t>
            </w:r>
          </w:p>
          <w:p w:rsidR="00F62A0B" w:rsidRPr="00ED5FDB" w:rsidRDefault="00A6781A" w:rsidP="00775CDD">
            <w:pPr>
              <w:pStyle w:val="1"/>
              <w:numPr>
                <w:ilvl w:val="0"/>
                <w:numId w:val="2"/>
              </w:numPr>
              <w:tabs>
                <w:tab w:val="left" w:pos="742"/>
              </w:tabs>
              <w:ind w:left="459" w:hanging="284"/>
              <w:rPr>
                <w:b/>
              </w:rPr>
            </w:pPr>
            <w:r>
              <w:rPr>
                <w:b/>
              </w:rPr>
              <w:t>Светодиодное т</w:t>
            </w:r>
            <w:r w:rsidR="00775CDD">
              <w:rPr>
                <w:b/>
              </w:rPr>
              <w:t xml:space="preserve">абло </w:t>
            </w:r>
            <w:r>
              <w:rPr>
                <w:b/>
              </w:rPr>
              <w:t>специалиста.</w:t>
            </w:r>
          </w:p>
          <w:p w:rsidR="00A17F17" w:rsidRPr="002C268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</w:p>
          <w:p w:rsidR="00A17F17" w:rsidRPr="00ED5FDB" w:rsidRDefault="00A17F17" w:rsidP="00A17F17">
            <w:pPr>
              <w:pStyle w:val="1"/>
              <w:numPr>
                <w:ilvl w:val="0"/>
                <w:numId w:val="0"/>
              </w:numPr>
              <w:ind w:left="55"/>
              <w:rPr>
                <w:b/>
              </w:rPr>
            </w:pPr>
            <w:r w:rsidRPr="00ED5FDB">
              <w:rPr>
                <w:b/>
              </w:rPr>
              <w:t>Приложение конфигурирования, управления и отчётности</w:t>
            </w:r>
          </w:p>
          <w:p w:rsidR="00A17F17" w:rsidRPr="002C268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 xml:space="preserve">Приложение конфигурирования, </w:t>
            </w:r>
            <w:r w:rsidRPr="002C2687">
              <w:lastRenderedPageBreak/>
              <w:t>управления и отчётности должно реализовывать следующие функции: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00"/>
              </w:tabs>
              <w:ind w:left="459" w:hanging="284"/>
            </w:pPr>
            <w:r w:rsidRPr="002C2687">
              <w:t xml:space="preserve">конфигурирование базовых объектов системы – очередей, </w:t>
            </w:r>
            <w:r>
              <w:t>целей приема</w:t>
            </w:r>
            <w:r w:rsidRPr="002C2687">
              <w:t xml:space="preserve">, рабочих мест, специалистов, аппаратных пультов, светодиодных </w:t>
            </w:r>
            <w:r w:rsidR="00A6781A">
              <w:t>табло специалиста</w:t>
            </w:r>
            <w:r w:rsidRPr="002C2687">
              <w:t>, инф</w:t>
            </w:r>
            <w:r>
              <w:t>ормационных экранов и терминала;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00"/>
              </w:tabs>
              <w:ind w:left="459" w:hanging="284"/>
            </w:pPr>
            <w:r w:rsidRPr="002C2687">
              <w:t>редактирование макета чека для терминала системы;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00"/>
              </w:tabs>
              <w:ind w:left="459" w:hanging="284"/>
            </w:pPr>
            <w:r w:rsidRPr="002C2687">
              <w:t xml:space="preserve">связывание светодиодных панелей </w:t>
            </w:r>
            <w:r>
              <w:t xml:space="preserve">и аппаратных пультов </w:t>
            </w:r>
            <w:r w:rsidRPr="002C2687">
              <w:t>с рабочими местами;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00"/>
              </w:tabs>
              <w:ind w:left="459" w:hanging="284"/>
            </w:pPr>
            <w:r w:rsidRPr="002C2687">
              <w:t>редактирование списка специалистов, задание логина и пароля для входа в систему</w:t>
            </w:r>
            <w:r>
              <w:t>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00"/>
              </w:tabs>
              <w:ind w:left="459" w:hanging="284"/>
            </w:pPr>
            <w:r w:rsidRPr="002C2687">
              <w:t>редактирование формата сообщени</w:t>
            </w:r>
            <w:r>
              <w:t>я</w:t>
            </w:r>
            <w:r w:rsidRPr="002C2687">
              <w:t xml:space="preserve"> приглашения </w:t>
            </w:r>
            <w:r>
              <w:t>к специалисту</w:t>
            </w:r>
            <w:r w:rsidRPr="002C2687">
              <w:t>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редактирование расписания работ;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управление состоянием системы;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редактирование текста бегущей строки для каждого из информационных экранов;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перенос клиента между очередями, принудительное направление на обслуживание к любому из активных специалистов;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просмотр статистических отчётов и графиков;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ежедневный отчёт по всем специалистам;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отчёт специалиста, отображающий подробную информацию о работе специалиста за выбранный период;</w:t>
            </w:r>
          </w:p>
          <w:p w:rsidR="00A17F17" w:rsidRPr="002C2687" w:rsidRDefault="00A17F17" w:rsidP="00775CDD">
            <w:pPr>
              <w:pStyle w:val="1"/>
              <w:numPr>
                <w:ilvl w:val="0"/>
                <w:numId w:val="2"/>
              </w:numPr>
              <w:tabs>
                <w:tab w:val="left" w:pos="540"/>
              </w:tabs>
              <w:ind w:left="459" w:hanging="284"/>
            </w:pPr>
            <w:r w:rsidRPr="002C2687">
              <w:t>сводный отчёт за произвольный период в разрезе: специалистов, очередей, общих итогов, с детализацией по часам, дням, месяцам, кварталам, годам.</w:t>
            </w:r>
          </w:p>
          <w:p w:rsidR="00A17F1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</w:p>
          <w:p w:rsidR="00A17F17" w:rsidRPr="002C2687" w:rsidRDefault="00A17F17" w:rsidP="00A17F17">
            <w:pPr>
              <w:pStyle w:val="1"/>
              <w:numPr>
                <w:ilvl w:val="0"/>
                <w:numId w:val="0"/>
              </w:numPr>
              <w:ind w:left="55"/>
            </w:pPr>
            <w:r w:rsidRPr="002C2687">
              <w:t>Данные отчёта могут содержать: количество посетителей, количество обслуженных посетителей, среднее время ожидания, среднее время обслуживания.</w:t>
            </w:r>
          </w:p>
        </w:tc>
        <w:tc>
          <w:tcPr>
            <w:tcW w:w="667" w:type="pct"/>
          </w:tcPr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jc w:val="center"/>
            </w:pPr>
            <w:r w:rsidRPr="002C2687">
              <w:lastRenderedPageBreak/>
              <w:t>штук</w:t>
            </w:r>
          </w:p>
        </w:tc>
        <w:tc>
          <w:tcPr>
            <w:tcW w:w="609" w:type="pct"/>
          </w:tcPr>
          <w:p w:rsidR="00A17F17" w:rsidRPr="002C2687" w:rsidRDefault="00A17F17" w:rsidP="00F5583A">
            <w:pPr>
              <w:pStyle w:val="1"/>
              <w:numPr>
                <w:ilvl w:val="0"/>
                <w:numId w:val="0"/>
              </w:numPr>
              <w:jc w:val="center"/>
            </w:pPr>
            <w:r w:rsidRPr="002C2687">
              <w:t>1</w:t>
            </w:r>
          </w:p>
        </w:tc>
      </w:tr>
      <w:tr w:rsidR="00A6781A" w:rsidRPr="002C2687" w:rsidTr="00A6781A">
        <w:tc>
          <w:tcPr>
            <w:tcW w:w="329" w:type="pct"/>
          </w:tcPr>
          <w:p w:rsidR="00A6781A" w:rsidRPr="00F57A99" w:rsidRDefault="00A6781A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156" w:type="pct"/>
          </w:tcPr>
          <w:p w:rsidR="00A6781A" w:rsidRPr="00F57A99" w:rsidRDefault="00A6781A" w:rsidP="00A6781A">
            <w:pPr>
              <w:pStyle w:val="1"/>
              <w:numPr>
                <w:ilvl w:val="0"/>
                <w:numId w:val="0"/>
              </w:numPr>
              <w:spacing w:before="0"/>
              <w:jc w:val="left"/>
              <w:rPr>
                <w:b/>
              </w:rPr>
            </w:pPr>
            <w:r w:rsidRPr="00F57A99">
              <w:rPr>
                <w:b/>
              </w:rPr>
              <w:t>Табло специалиста двухстрочное</w:t>
            </w:r>
          </w:p>
        </w:tc>
        <w:tc>
          <w:tcPr>
            <w:tcW w:w="2239" w:type="pct"/>
          </w:tcPr>
          <w:p w:rsidR="00163805" w:rsidRDefault="00163805" w:rsidP="00163805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Светодиодное табло должно реализовывать функцию отображения текущего номера клиента для определённого окна.</w:t>
            </w:r>
          </w:p>
          <w:p w:rsidR="00163805" w:rsidRDefault="00163805" w:rsidP="00A6781A">
            <w:pPr>
              <w:pStyle w:val="1"/>
              <w:numPr>
                <w:ilvl w:val="0"/>
                <w:numId w:val="0"/>
              </w:numPr>
              <w:spacing w:before="0"/>
            </w:pPr>
          </w:p>
          <w:p w:rsidR="00A6781A" w:rsidRPr="002C2687" w:rsidRDefault="00163805" w:rsidP="00A6781A">
            <w:pPr>
              <w:pStyle w:val="1"/>
              <w:numPr>
                <w:ilvl w:val="0"/>
                <w:numId w:val="0"/>
              </w:numPr>
              <w:spacing w:before="0"/>
            </w:pPr>
            <w:r>
              <w:t>Табло – светодиодное.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Табло содержит не менее 10-ти символов размером не менее 50 мм. (миллиметров).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 xml:space="preserve">Угол половинной яркости - от 60 градусов. </w:t>
            </w:r>
          </w:p>
          <w:p w:rsidR="00A6781A" w:rsidRPr="00A6781A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A6781A">
              <w:lastRenderedPageBreak/>
              <w:t>Наличие планки с обозначением «Окно № _».</w:t>
            </w:r>
          </w:p>
          <w:p w:rsidR="00A6781A" w:rsidRPr="00A6781A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 xml:space="preserve">Тип сетевого подключения </w:t>
            </w:r>
            <w:r w:rsidRPr="00A6781A">
              <w:t xml:space="preserve">– Ethernet. </w:t>
            </w:r>
          </w:p>
          <w:p w:rsidR="00A6781A" w:rsidRPr="00A6781A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A6781A">
              <w:t xml:space="preserve">Наличие возможности удаленно заходить для настройки.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A6781A">
              <w:t xml:space="preserve">Наличие возможности настройки </w:t>
            </w:r>
            <w:r w:rsidRPr="002C2687">
              <w:t>яркости каждого табло в отдельности.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Наличие возможность вывода букв на первом символе таблички.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Воспроизводимые цвета – зеленый или красный.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Внешний вид</w:t>
            </w:r>
            <w:r w:rsidR="00087F8A">
              <w:t xml:space="preserve"> </w:t>
            </w:r>
            <w:r w:rsidRPr="002C2687">
              <w:t>– по согласованию с Заказчиком.</w:t>
            </w:r>
          </w:p>
          <w:p w:rsidR="00A6781A" w:rsidRPr="00A6781A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A6781A">
              <w:t>Габаритные размеры: (ш х в) – не менее 365 мм. х 210 мм. (миллиметров).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Потребляемая мощность - не более 50 Вт (Ватт).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Наличие блока питания в комплекте.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 xml:space="preserve">Наличие крепления табло в комплекте. </w:t>
            </w:r>
          </w:p>
          <w:p w:rsidR="00A6781A" w:rsidRPr="00163805" w:rsidRDefault="00A6781A" w:rsidP="00163805">
            <w:pPr>
              <w:pStyle w:val="1"/>
              <w:numPr>
                <w:ilvl w:val="0"/>
                <w:numId w:val="0"/>
              </w:numPr>
              <w:spacing w:before="0"/>
            </w:pPr>
            <w:r w:rsidRPr="002C2687">
              <w:t>Гарантийный срок эксплуатации товара не менее 12 месяцев с даты подписания товарной накладной.</w:t>
            </w:r>
          </w:p>
        </w:tc>
        <w:tc>
          <w:tcPr>
            <w:tcW w:w="667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</w:pPr>
            <w:r w:rsidRPr="002C2687">
              <w:lastRenderedPageBreak/>
              <w:t>штук</w:t>
            </w:r>
          </w:p>
        </w:tc>
        <w:tc>
          <w:tcPr>
            <w:tcW w:w="609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</w:pPr>
            <w:r w:rsidRPr="002C2687">
              <w:t>3</w:t>
            </w:r>
          </w:p>
        </w:tc>
      </w:tr>
      <w:tr w:rsidR="00A6781A" w:rsidRPr="002C2687" w:rsidTr="00A6781A">
        <w:tc>
          <w:tcPr>
            <w:tcW w:w="329" w:type="pct"/>
          </w:tcPr>
          <w:p w:rsidR="00A6781A" w:rsidRPr="00F57A99" w:rsidRDefault="00163805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156" w:type="pct"/>
          </w:tcPr>
          <w:p w:rsidR="00A6781A" w:rsidRPr="00F57A99" w:rsidRDefault="00A6781A" w:rsidP="00A6781A">
            <w:pPr>
              <w:pStyle w:val="1"/>
              <w:numPr>
                <w:ilvl w:val="0"/>
                <w:numId w:val="0"/>
              </w:numPr>
              <w:ind w:left="33"/>
              <w:jc w:val="left"/>
              <w:rPr>
                <w:b/>
              </w:rPr>
            </w:pPr>
            <w:r w:rsidRPr="00F57A99">
              <w:rPr>
                <w:b/>
              </w:rPr>
              <w:t>Информационные сенсорные терминалы (инфоматы)</w:t>
            </w:r>
          </w:p>
        </w:tc>
        <w:tc>
          <w:tcPr>
            <w:tcW w:w="2239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ind w:left="55"/>
              <w:rPr>
                <w:szCs w:val="24"/>
              </w:rPr>
            </w:pPr>
            <w:r w:rsidRPr="002C2687">
              <w:t xml:space="preserve">Информационные сенсорные терминалы (напольный компьютер) с сенсорным </w:t>
            </w:r>
            <w:r w:rsidRPr="00775CDD">
              <w:t xml:space="preserve">экраном не менее 43 дюймов должны </w:t>
            </w:r>
            <w:r w:rsidRPr="002C2687">
              <w:t>обеспечивать: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2"/>
              </w:numPr>
              <w:tabs>
                <w:tab w:val="left" w:pos="1168"/>
              </w:tabs>
              <w:ind w:left="317" w:hanging="317"/>
            </w:pPr>
            <w:r w:rsidRPr="002C2687">
              <w:t>доступ посетителей Приемной Государственной Думы к официальному сайту Государственной Думы, сайту Приемной Государственной Думы.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2"/>
              </w:numPr>
              <w:tabs>
                <w:tab w:val="left" w:pos="1168"/>
              </w:tabs>
              <w:ind w:left="317" w:hanging="317"/>
            </w:pPr>
            <w:r w:rsidRPr="002C2687">
              <w:t xml:space="preserve">вывод интерактивной карты Российской Федерации с возможностью поиска информации по адресу (с информацией о депутатах, их региональных приемных, с возможностью формирования </w:t>
            </w:r>
            <w:r w:rsidRPr="002C2687">
              <w:rPr>
                <w:lang w:val="en-US"/>
              </w:rPr>
              <w:t>QR</w:t>
            </w:r>
            <w:r w:rsidRPr="002C2687">
              <w:t>-кода для передачи информации на мобильное устройство).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ind w:left="55" w:firstLine="142"/>
            </w:pPr>
          </w:p>
          <w:p w:rsidR="00A6781A" w:rsidRPr="00775CDD" w:rsidRDefault="00A6781A" w:rsidP="00A6781A">
            <w:pPr>
              <w:pStyle w:val="1"/>
              <w:numPr>
                <w:ilvl w:val="0"/>
                <w:numId w:val="0"/>
              </w:numPr>
              <w:ind w:left="34"/>
              <w:rPr>
                <w:b/>
              </w:rPr>
            </w:pPr>
            <w:r w:rsidRPr="00775CDD">
              <w:rPr>
                <w:b/>
              </w:rPr>
              <w:t>Требования к техническим характеристикам экрана терминала: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ind w:left="34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 xml:space="preserve">Для обеспечения высокого качества изображения устройство должно быть оборудовано жидкокристаллическим </w:t>
            </w:r>
            <w:bookmarkStart w:id="1" w:name="_Hlk93667294"/>
            <w:r w:rsidRPr="002C2687">
              <w:rPr>
                <w:rFonts w:cs="Calibri"/>
                <w:szCs w:val="24"/>
              </w:rPr>
              <w:t>LED экраном: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bookmarkStart w:id="2" w:name="_Hlk93667667"/>
            <w:r w:rsidRPr="002C2687">
              <w:rPr>
                <w:rFonts w:cs="Calibri"/>
                <w:szCs w:val="24"/>
              </w:rPr>
              <w:t xml:space="preserve">Диагональ экрана - </w:t>
            </w:r>
            <w:r w:rsidRPr="002C2687">
              <w:t>не менее 43 дюйма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LCD дисплей – наличие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Инфракрасная сенсорная панель – наличие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Защитное стекло панели – наличие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Разрешение экрана - 1920x1080 пикс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</w:pPr>
            <w:r w:rsidRPr="002C2687">
              <w:t>Размер сенсорного экрана 940х530 мм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lastRenderedPageBreak/>
              <w:t>Формат экрана - 16:9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Частота обновления экрана – 60Гц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color w:val="FF0000"/>
                <w:szCs w:val="24"/>
              </w:rPr>
            </w:pPr>
            <w:r w:rsidRPr="002C2687">
              <w:rPr>
                <w:rFonts w:cs="Calibri"/>
                <w:szCs w:val="24"/>
              </w:rPr>
              <w:t>Яркость - 230 Кд/м</w:t>
            </w:r>
            <w:r w:rsidRPr="002C2687">
              <w:rPr>
                <w:rFonts w:cs="Calibri"/>
                <w:szCs w:val="24"/>
                <w:vertAlign w:val="superscript"/>
              </w:rPr>
              <w:t xml:space="preserve">2 </w:t>
            </w:r>
            <w:r w:rsidRPr="002C2687">
              <w:rPr>
                <w:rFonts w:cs="Calibri"/>
                <w:color w:val="FF0000"/>
                <w:szCs w:val="24"/>
              </w:rPr>
              <w:t xml:space="preserve">(в случае обеспечения Доступной среды – </w:t>
            </w:r>
            <w:r w:rsidRPr="002C2687">
              <w:rPr>
                <w:color w:val="FF0000"/>
              </w:rPr>
              <w:t>не менее 600 кд/м</w:t>
            </w:r>
            <w:r w:rsidRPr="002C2687">
              <w:rPr>
                <w:color w:val="FF0000"/>
                <w:vertAlign w:val="superscript"/>
              </w:rPr>
              <w:t>2</w:t>
            </w:r>
            <w:r w:rsidRPr="002C2687">
              <w:rPr>
                <w:rFonts w:cs="Calibri"/>
                <w:color w:val="FF0000"/>
                <w:szCs w:val="24"/>
              </w:rPr>
              <w:t>)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 xml:space="preserve">Контрастность – 4000:1 </w:t>
            </w:r>
            <w:r w:rsidRPr="002C2687">
              <w:rPr>
                <w:rFonts w:cs="Calibri"/>
                <w:color w:val="FF0000"/>
                <w:szCs w:val="24"/>
              </w:rPr>
              <w:t>(в случае обеспечения Доступной среды – Динамическая контрастность, не менее 1000:1)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Угол обзора (гор/верт) - не менее 170°/ 160°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>Время отклика - не более 8 мс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rPr>
                <w:rFonts w:cs="Calibri"/>
                <w:szCs w:val="24"/>
              </w:rPr>
            </w:pPr>
            <w:r w:rsidRPr="002C2687">
              <w:rPr>
                <w:rFonts w:cs="Calibri"/>
                <w:szCs w:val="24"/>
              </w:rPr>
              <w:t xml:space="preserve">Питание - 220-240В </w:t>
            </w:r>
            <w:r w:rsidRPr="002C2687">
              <w:rPr>
                <w:rFonts w:ascii="MS Gothic" w:eastAsia="MS Gothic" w:hAnsi="MS Gothic" w:cs="MS Gothic" w:hint="eastAsia"/>
                <w:szCs w:val="24"/>
              </w:rPr>
              <w:t>～</w:t>
            </w:r>
            <w:r w:rsidRPr="002C2687">
              <w:rPr>
                <w:rFonts w:cs="Calibri"/>
                <w:szCs w:val="24"/>
              </w:rPr>
              <w:t xml:space="preserve"> 50/60Гц</w:t>
            </w:r>
            <w:bookmarkEnd w:id="1"/>
            <w:bookmarkEnd w:id="2"/>
          </w:p>
          <w:p w:rsidR="00A6781A" w:rsidRPr="002C2687" w:rsidRDefault="00A6781A" w:rsidP="00A6781A">
            <w:pPr>
              <w:pStyle w:val="1"/>
              <w:numPr>
                <w:ilvl w:val="0"/>
                <w:numId w:val="13"/>
              </w:numPr>
              <w:tabs>
                <w:tab w:val="left" w:pos="460"/>
              </w:tabs>
              <w:ind w:left="317" w:hanging="317"/>
              <w:jc w:val="left"/>
            </w:pPr>
            <w:r w:rsidRPr="002C2687">
              <w:t>Ресурс работы, не менее 50000 часов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ind w:left="55" w:firstLine="142"/>
              <w:jc w:val="left"/>
            </w:pPr>
          </w:p>
          <w:p w:rsidR="00A6781A" w:rsidRPr="00ED5FDB" w:rsidRDefault="00A6781A" w:rsidP="00A6781A">
            <w:pPr>
              <w:pStyle w:val="1"/>
              <w:numPr>
                <w:ilvl w:val="0"/>
                <w:numId w:val="0"/>
              </w:numPr>
              <w:ind w:left="55"/>
              <w:jc w:val="left"/>
              <w:rPr>
                <w:b/>
              </w:rPr>
            </w:pPr>
            <w:r w:rsidRPr="00ED5FDB">
              <w:rPr>
                <w:b/>
              </w:rPr>
              <w:t>Функциональные возможности программного обеспечения: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4"/>
              </w:numPr>
              <w:tabs>
                <w:tab w:val="left" w:pos="481"/>
              </w:tabs>
              <w:ind w:left="317" w:hanging="317"/>
            </w:pPr>
            <w:r w:rsidRPr="00A6781A">
              <w:rPr>
                <w:color w:val="FF0000"/>
              </w:rPr>
              <w:t>возможность использования терминала как людьми с инвалидностью, так и людьми без инвалидности</w:t>
            </w:r>
            <w:r w:rsidRPr="002C2687">
              <w:t>;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4"/>
              </w:numPr>
              <w:tabs>
                <w:tab w:val="left" w:pos="481"/>
              </w:tabs>
              <w:ind w:left="317" w:hanging="317"/>
            </w:pPr>
            <w:r>
              <w:t>н</w:t>
            </w:r>
            <w:r w:rsidRPr="002C2687">
              <w:t>аличие у посетителей возможности управлять всеми возможностями сенсорным образом (прикосновением пальцев к экрану информационного терминала);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4"/>
              </w:numPr>
              <w:tabs>
                <w:tab w:val="left" w:pos="481"/>
              </w:tabs>
              <w:ind w:left="317" w:hanging="31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н</w:t>
            </w:r>
            <w:r w:rsidRPr="002C2687">
              <w:rPr>
                <w:rFonts w:cs="Calibri"/>
                <w:szCs w:val="24"/>
              </w:rPr>
              <w:t>аличие режима конфигуратора ПО, в котором сотрудники должны иметь возможность загружать в информационный терминал дополнительную информацию, в т.ч. презентации.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4"/>
              </w:numPr>
              <w:tabs>
                <w:tab w:val="left" w:pos="481"/>
              </w:tabs>
              <w:ind w:left="317" w:hanging="31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в</w:t>
            </w:r>
            <w:r w:rsidRPr="002C2687">
              <w:rPr>
                <w:rFonts w:cs="Calibri"/>
                <w:szCs w:val="24"/>
              </w:rPr>
              <w:t>озможность удаленного администрирования и наполнения контента программного обеспечения информационного терминала по сети Интернет при подключенном к сети Интернет информационном терминале.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14"/>
              </w:numPr>
              <w:tabs>
                <w:tab w:val="left" w:pos="481"/>
              </w:tabs>
              <w:ind w:left="317" w:hanging="31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п</w:t>
            </w:r>
            <w:r w:rsidRPr="002C2687">
              <w:rPr>
                <w:rFonts w:cs="Calibri"/>
                <w:szCs w:val="24"/>
              </w:rPr>
              <w:t xml:space="preserve">ри отсутствии взаимодействия посетителя с информационным терминалом должны выводиться общая информация, содержащая </w:t>
            </w:r>
            <w:r w:rsidRPr="002C2687">
              <w:rPr>
                <w:rFonts w:cs="Calibri"/>
                <w:i/>
                <w:szCs w:val="24"/>
              </w:rPr>
              <w:t>(информация предоставляется Заказчиком)</w:t>
            </w:r>
            <w:r w:rsidRPr="002C2687">
              <w:rPr>
                <w:rFonts w:cs="Calibri"/>
                <w:szCs w:val="24"/>
              </w:rPr>
              <w:t>:</w:t>
            </w:r>
          </w:p>
          <w:p w:rsidR="00A6781A" w:rsidRPr="002C2687" w:rsidRDefault="00A6781A" w:rsidP="00A6781A">
            <w:pPr>
              <w:pStyle w:val="1"/>
              <w:numPr>
                <w:ilvl w:val="1"/>
                <w:numId w:val="5"/>
              </w:numPr>
              <w:tabs>
                <w:tab w:val="left" w:pos="481"/>
              </w:tabs>
              <w:ind w:left="906" w:hanging="284"/>
            </w:pPr>
            <w:r w:rsidRPr="002C2687">
              <w:t>график работы Приемной Государственной Думы;</w:t>
            </w:r>
          </w:p>
          <w:p w:rsidR="00A6781A" w:rsidRPr="002C2687" w:rsidRDefault="00A6781A" w:rsidP="00A6781A">
            <w:pPr>
              <w:pStyle w:val="1"/>
              <w:numPr>
                <w:ilvl w:val="1"/>
                <w:numId w:val="5"/>
              </w:numPr>
              <w:tabs>
                <w:tab w:val="left" w:pos="481"/>
              </w:tabs>
              <w:ind w:left="906" w:hanging="284"/>
            </w:pPr>
            <w:r w:rsidRPr="002C2687">
              <w:t>порядок посещения Приемной Государственной Думы и правила подачи обращения лично.</w:t>
            </w:r>
          </w:p>
        </w:tc>
        <w:tc>
          <w:tcPr>
            <w:tcW w:w="667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jc w:val="center"/>
              <w:rPr>
                <w:szCs w:val="24"/>
              </w:rPr>
            </w:pPr>
            <w:r w:rsidRPr="002C2687">
              <w:lastRenderedPageBreak/>
              <w:t>штук</w:t>
            </w:r>
          </w:p>
        </w:tc>
        <w:tc>
          <w:tcPr>
            <w:tcW w:w="609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jc w:val="center"/>
              <w:rPr>
                <w:szCs w:val="24"/>
              </w:rPr>
            </w:pPr>
            <w:r w:rsidRPr="002C2687">
              <w:t>3</w:t>
            </w:r>
          </w:p>
        </w:tc>
      </w:tr>
      <w:tr w:rsidR="00A6781A" w:rsidRPr="002C2687" w:rsidTr="00A6781A">
        <w:tc>
          <w:tcPr>
            <w:tcW w:w="329" w:type="pct"/>
          </w:tcPr>
          <w:p w:rsidR="00A6781A" w:rsidRPr="00F57A99" w:rsidRDefault="00A6781A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  <w:rPr>
                <w:b/>
              </w:rPr>
            </w:pPr>
            <w:r w:rsidRPr="00F57A99">
              <w:rPr>
                <w:b/>
              </w:rPr>
              <w:lastRenderedPageBreak/>
              <w:t>4</w:t>
            </w:r>
          </w:p>
        </w:tc>
        <w:tc>
          <w:tcPr>
            <w:tcW w:w="1156" w:type="pct"/>
          </w:tcPr>
          <w:p w:rsidR="00A6781A" w:rsidRPr="00F57A99" w:rsidRDefault="00A6781A" w:rsidP="00A6781A">
            <w:pPr>
              <w:pStyle w:val="1"/>
              <w:tabs>
                <w:tab w:val="clear" w:pos="360"/>
              </w:tabs>
              <w:ind w:left="0" w:hanging="360"/>
              <w:jc w:val="left"/>
              <w:rPr>
                <w:b/>
              </w:rPr>
            </w:pPr>
            <w:r w:rsidRPr="00F57A99">
              <w:rPr>
                <w:b/>
              </w:rPr>
              <w:t>Световые навигационные дорожки</w:t>
            </w:r>
          </w:p>
          <w:p w:rsidR="00A6781A" w:rsidRPr="00F57A99" w:rsidRDefault="00A6781A" w:rsidP="00A6781A">
            <w:pPr>
              <w:pStyle w:val="1"/>
              <w:tabs>
                <w:tab w:val="clear" w:pos="360"/>
              </w:tabs>
              <w:ind w:left="0" w:hanging="360"/>
              <w:jc w:val="left"/>
              <w:rPr>
                <w:b/>
              </w:rPr>
            </w:pPr>
            <w:r w:rsidRPr="00F57A99">
              <w:rPr>
                <w:b/>
              </w:rPr>
              <w:t>либо</w:t>
            </w:r>
          </w:p>
          <w:p w:rsidR="00A6781A" w:rsidRPr="00F57A99" w:rsidRDefault="00A6781A" w:rsidP="00A6781A">
            <w:pPr>
              <w:pStyle w:val="1"/>
              <w:tabs>
                <w:tab w:val="clear" w:pos="360"/>
              </w:tabs>
              <w:ind w:left="0" w:hanging="360"/>
              <w:jc w:val="left"/>
              <w:rPr>
                <w:b/>
              </w:rPr>
            </w:pPr>
            <w:r w:rsidRPr="00F57A99">
              <w:rPr>
                <w:b/>
              </w:rPr>
              <w:lastRenderedPageBreak/>
              <w:t>Тактильные напольные направляющие ленты по цветам фракции</w:t>
            </w:r>
          </w:p>
          <w:p w:rsidR="00A6781A" w:rsidRPr="00F57A99" w:rsidRDefault="00A6781A" w:rsidP="00A6781A">
            <w:pPr>
              <w:pStyle w:val="1"/>
              <w:tabs>
                <w:tab w:val="clear" w:pos="360"/>
              </w:tabs>
              <w:ind w:left="0" w:hanging="360"/>
              <w:jc w:val="left"/>
              <w:rPr>
                <w:b/>
                <w:i/>
              </w:rPr>
            </w:pPr>
            <w:r w:rsidRPr="00F57A99">
              <w:rPr>
                <w:b/>
                <w:i/>
                <w:color w:val="FF0000"/>
              </w:rPr>
              <w:t>(ранее в 2018 г. по словам П.А.Климовского данные работы были включены в техническое задание, исходные данные можно взять оттуда)</w:t>
            </w:r>
          </w:p>
        </w:tc>
        <w:tc>
          <w:tcPr>
            <w:tcW w:w="2239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  <w:r w:rsidRPr="002C2687">
              <w:lastRenderedPageBreak/>
              <w:t>Размещение навигационных дорожек в Приемной Государственной Думы от зала ожидания к кабинетам приема фракциями по маршруту, согласованному с Заказчиком.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  <w:r w:rsidRPr="002C2687">
              <w:t>Тактильные напольные направляющие ленты должны быть пред</w:t>
            </w:r>
            <w:r>
              <w:t>на</w:t>
            </w:r>
            <w:r w:rsidRPr="002C2687">
              <w:t>значены для тактильной разметки движения посетителей Приемной Государственной Думы от зала ожидания к кабинетам приема фракциями.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  <w:r w:rsidRPr="002C2687">
              <w:t>Должны быть обеспечены работы по закупке и монтажу.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  <w:r w:rsidRPr="002C2687">
              <w:t xml:space="preserve"> 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5"/>
              </w:numPr>
              <w:ind w:left="320" w:hanging="283"/>
              <w:rPr>
                <w:szCs w:val="24"/>
              </w:rPr>
            </w:pPr>
            <w:r w:rsidRPr="002C2687">
              <w:t xml:space="preserve">Воспроизводимые цвета – по согласованию с Заказчиком, но не менее 5 штук. 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5"/>
              </w:numPr>
              <w:ind w:left="320" w:hanging="283"/>
              <w:rPr>
                <w:szCs w:val="24"/>
              </w:rPr>
            </w:pPr>
            <w:r w:rsidRPr="002C2687">
              <w:t xml:space="preserve">Внешний вид – по согласованию </w:t>
            </w:r>
            <w:r w:rsidR="00163805">
              <w:t>с Заказчиком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5"/>
              </w:numPr>
              <w:ind w:left="320" w:hanging="283"/>
              <w:rPr>
                <w:szCs w:val="24"/>
              </w:rPr>
            </w:pPr>
            <w:r w:rsidRPr="002C2687">
              <w:t xml:space="preserve">Монтаж – клей 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5"/>
              </w:numPr>
              <w:ind w:left="320" w:hanging="283"/>
              <w:rPr>
                <w:szCs w:val="24"/>
              </w:rPr>
            </w:pPr>
            <w:r w:rsidRPr="002C2687">
              <w:t>Ширина ≥ 29 мм.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5"/>
              </w:numPr>
              <w:ind w:left="320" w:hanging="283"/>
            </w:pPr>
            <w:r w:rsidRPr="002C2687">
              <w:t>Глубина изделия – по согласованию с Заказчиком.</w:t>
            </w:r>
          </w:p>
        </w:tc>
        <w:tc>
          <w:tcPr>
            <w:tcW w:w="667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jc w:val="center"/>
            </w:pPr>
            <w:r w:rsidRPr="002C2687">
              <w:lastRenderedPageBreak/>
              <w:t>метр</w:t>
            </w:r>
          </w:p>
        </w:tc>
        <w:tc>
          <w:tcPr>
            <w:tcW w:w="609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jc w:val="center"/>
              <w:rPr>
                <w:szCs w:val="24"/>
              </w:rPr>
            </w:pPr>
            <w:r w:rsidRPr="002C2687">
              <w:t xml:space="preserve">Расчет количества товара после </w:t>
            </w:r>
            <w:r w:rsidRPr="002C2687">
              <w:lastRenderedPageBreak/>
              <w:t>замера расстояния от зала ожидания до каждого из кабинетов фракции</w:t>
            </w:r>
          </w:p>
        </w:tc>
      </w:tr>
      <w:tr w:rsidR="00A6781A" w:rsidRPr="002C2687" w:rsidTr="00A6781A">
        <w:tc>
          <w:tcPr>
            <w:tcW w:w="329" w:type="pct"/>
          </w:tcPr>
          <w:p w:rsidR="00A6781A" w:rsidRPr="00F57A99" w:rsidRDefault="00A6781A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  <w:rPr>
                <w:b/>
              </w:rPr>
            </w:pPr>
            <w:r w:rsidRPr="00F57A99">
              <w:rPr>
                <w:b/>
              </w:rPr>
              <w:lastRenderedPageBreak/>
              <w:t>5</w:t>
            </w:r>
          </w:p>
        </w:tc>
        <w:tc>
          <w:tcPr>
            <w:tcW w:w="1156" w:type="pct"/>
          </w:tcPr>
          <w:p w:rsidR="00A6781A" w:rsidRPr="00F57A99" w:rsidRDefault="00A6781A" w:rsidP="00A6781A">
            <w:pPr>
              <w:pStyle w:val="1"/>
              <w:numPr>
                <w:ilvl w:val="0"/>
                <w:numId w:val="0"/>
              </w:numPr>
              <w:jc w:val="left"/>
              <w:rPr>
                <w:b/>
              </w:rPr>
            </w:pPr>
            <w:r w:rsidRPr="00F57A99">
              <w:rPr>
                <w:b/>
              </w:rPr>
              <w:t>Аппаратно-программный комплекс по внедрению функции речевой аналитики</w:t>
            </w:r>
          </w:p>
        </w:tc>
        <w:tc>
          <w:tcPr>
            <w:tcW w:w="2239" w:type="pct"/>
          </w:tcPr>
          <w:p w:rsidR="0021136E" w:rsidRDefault="00A6781A" w:rsidP="00A6781A">
            <w:pPr>
              <w:pStyle w:val="1"/>
              <w:numPr>
                <w:ilvl w:val="0"/>
                <w:numId w:val="0"/>
              </w:numPr>
            </w:pPr>
            <w:r w:rsidRPr="002C2687">
              <w:t>Сервис, основанный на технологии распознавания речи, должен обеспечивать</w:t>
            </w:r>
            <w:r w:rsidR="0021136E">
              <w:t>:</w:t>
            </w:r>
          </w:p>
          <w:p w:rsidR="0021136E" w:rsidRDefault="0021136E" w:rsidP="00A6781A">
            <w:pPr>
              <w:pStyle w:val="1"/>
              <w:numPr>
                <w:ilvl w:val="0"/>
                <w:numId w:val="0"/>
              </w:numPr>
            </w:pPr>
          </w:p>
          <w:p w:rsidR="00A6781A" w:rsidRPr="002C2687" w:rsidRDefault="00A6781A" w:rsidP="0021136E">
            <w:pPr>
              <w:pStyle w:val="1"/>
              <w:numPr>
                <w:ilvl w:val="0"/>
                <w:numId w:val="0"/>
              </w:numPr>
            </w:pPr>
            <w:r w:rsidRPr="002C2687">
              <w:t>трансформацию голоса посетителя в текст с прикреплением голосового и текстового файлов в регистрационную карточку обращения.</w:t>
            </w:r>
          </w:p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</w:pPr>
          </w:p>
          <w:p w:rsidR="00A6781A" w:rsidRDefault="00A6781A" w:rsidP="00A6781A">
            <w:pPr>
              <w:pStyle w:val="1"/>
              <w:numPr>
                <w:ilvl w:val="0"/>
                <w:numId w:val="0"/>
              </w:numPr>
            </w:pPr>
            <w:r w:rsidRPr="002C2687">
              <w:t xml:space="preserve">Модуль записи устного обращения посетителя Приемной Государственной Думы </w:t>
            </w:r>
            <w:r>
              <w:t>предусматривает:</w:t>
            </w:r>
          </w:p>
          <w:p w:rsidR="00A6781A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>
              <w:t>установку аудиорегистраторов (диктофоны, аппаратные либо программные аудиорегистраторы);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 w:rsidRPr="002C2687">
              <w:t>запись обращения посетителя;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 w:rsidRPr="002C2687">
              <w:t>сжатие записи и передача её на сервер;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 w:rsidRPr="002C2687">
              <w:t>автоматический перевод голоса в текст в формате обращения с посекундным хронометражем;</w:t>
            </w:r>
          </w:p>
          <w:p w:rsidR="00A6781A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>
              <w:rPr>
                <w:bCs/>
              </w:rPr>
              <w:t>с</w:t>
            </w:r>
            <w:r w:rsidRPr="00075D1C">
              <w:rPr>
                <w:bCs/>
              </w:rPr>
              <w:t>охранение голосовых треков.</w:t>
            </w:r>
            <w:r w:rsidRPr="00075D1C">
              <w:t> </w:t>
            </w:r>
          </w:p>
          <w:p w:rsidR="00A6781A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>
              <w:rPr>
                <w:bCs/>
              </w:rPr>
              <w:t>и</w:t>
            </w:r>
            <w:r w:rsidRPr="00075D1C">
              <w:rPr>
                <w:bCs/>
              </w:rPr>
              <w:t>дентификаци</w:t>
            </w:r>
            <w:r>
              <w:rPr>
                <w:bCs/>
              </w:rPr>
              <w:t>ю заявителя путем п</w:t>
            </w:r>
            <w:r>
              <w:t>оддержки API, позволяющей соединять</w:t>
            </w:r>
            <w:r w:rsidRPr="00075D1C">
              <w:t xml:space="preserve"> друг с другом голосовые события, с одной стороны, и идентификаторы </w:t>
            </w:r>
            <w:r>
              <w:t>заявителя</w:t>
            </w:r>
            <w:r w:rsidRPr="00075D1C">
              <w:t xml:space="preserve">, </w:t>
            </w:r>
            <w:r>
              <w:t>результат приема и пр.</w:t>
            </w:r>
            <w:r w:rsidRPr="00075D1C">
              <w:t xml:space="preserve">, с другой стороны. </w:t>
            </w:r>
            <w:r>
              <w:t>Необходимо обеспечить</w:t>
            </w:r>
            <w:r w:rsidRPr="00075D1C">
              <w:t xml:space="preserve"> возможность экспортировать информацию о голосовых событиях в системы</w:t>
            </w:r>
            <w:r>
              <w:t xml:space="preserve"> </w:t>
            </w:r>
            <w:r w:rsidRPr="00075D1C">
              <w:rPr>
                <w:color w:val="FF0000"/>
              </w:rPr>
              <w:t>СООГ и САДД</w:t>
            </w:r>
            <w:r w:rsidRPr="00075D1C">
              <w:t>.</w:t>
            </w:r>
          </w:p>
          <w:p w:rsidR="00A6781A" w:rsidRPr="002C2687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 w:rsidRPr="002C2687">
              <w:t xml:space="preserve">формирование текстового файла с возможностью редактирования и прикрепления в регистрационную </w:t>
            </w:r>
            <w:r w:rsidRPr="002C2687">
              <w:lastRenderedPageBreak/>
              <w:t>карточку обращения и/или личного приема;</w:t>
            </w:r>
          </w:p>
          <w:p w:rsidR="00A6781A" w:rsidRDefault="00A6781A" w:rsidP="00163805">
            <w:pPr>
              <w:pStyle w:val="1"/>
              <w:numPr>
                <w:ilvl w:val="0"/>
                <w:numId w:val="16"/>
              </w:numPr>
              <w:ind w:left="320" w:hanging="320"/>
            </w:pPr>
            <w:r w:rsidRPr="002C2687">
              <w:t>возможность прослушивания переговоров через программу конфигурирования.</w:t>
            </w:r>
          </w:p>
          <w:p w:rsidR="00A6781A" w:rsidRDefault="00A6781A" w:rsidP="00A6781A">
            <w:pPr>
              <w:pStyle w:val="1"/>
              <w:numPr>
                <w:ilvl w:val="0"/>
                <w:numId w:val="0"/>
              </w:numPr>
              <w:ind w:hanging="360"/>
            </w:pPr>
          </w:p>
          <w:p w:rsidR="00A6781A" w:rsidRPr="00075D1C" w:rsidRDefault="00A6781A" w:rsidP="00A6781A">
            <w:pPr>
              <w:pStyle w:val="1"/>
              <w:tabs>
                <w:tab w:val="clear" w:pos="360"/>
              </w:tabs>
              <w:ind w:left="0" w:hanging="360"/>
              <w:rPr>
                <w:b/>
                <w:i/>
                <w:color w:val="FF0000"/>
              </w:rPr>
            </w:pPr>
            <w:r w:rsidRPr="00075D1C">
              <w:rPr>
                <w:i/>
                <w:color w:val="FF0000"/>
              </w:rPr>
              <w:t xml:space="preserve">В рамках СООГ </w:t>
            </w:r>
            <w:r>
              <w:rPr>
                <w:i/>
                <w:color w:val="FF0000"/>
              </w:rPr>
              <w:t xml:space="preserve">планируется разработка </w:t>
            </w:r>
            <w:r w:rsidRPr="00075D1C">
              <w:rPr>
                <w:b/>
                <w:i/>
                <w:color w:val="FF0000"/>
              </w:rPr>
              <w:t>Подсистем</w:t>
            </w:r>
            <w:r>
              <w:rPr>
                <w:b/>
                <w:i/>
                <w:color w:val="FF0000"/>
              </w:rPr>
              <w:t>ы</w:t>
            </w:r>
            <w:r w:rsidRPr="00075D1C">
              <w:rPr>
                <w:b/>
                <w:i/>
                <w:color w:val="FF0000"/>
              </w:rPr>
              <w:t xml:space="preserve"> семантического анализа</w:t>
            </w:r>
            <w:r>
              <w:rPr>
                <w:b/>
                <w:i/>
                <w:color w:val="FF0000"/>
              </w:rPr>
              <w:t xml:space="preserve">, в которой предусматривается наличие следующего модуля, </w:t>
            </w:r>
            <w:r w:rsidRPr="00075D1C">
              <w:rPr>
                <w:i/>
                <w:color w:val="FF0000"/>
              </w:rPr>
              <w:t xml:space="preserve">для использования в рамках внедрения функции речевой аналитики при подаче обращения лично </w:t>
            </w:r>
            <w:r>
              <w:rPr>
                <w:i/>
                <w:color w:val="FF0000"/>
              </w:rPr>
              <w:t>в Приемной Государственной Думы</w:t>
            </w:r>
            <w:r w:rsidRPr="00075D1C">
              <w:rPr>
                <w:b/>
                <w:i/>
                <w:color w:val="FF0000"/>
              </w:rPr>
              <w:t xml:space="preserve">: </w:t>
            </w:r>
          </w:p>
          <w:p w:rsidR="00A6781A" w:rsidRPr="00075D1C" w:rsidRDefault="00A6781A" w:rsidP="00A6781A">
            <w:pPr>
              <w:pStyle w:val="1"/>
              <w:numPr>
                <w:ilvl w:val="0"/>
                <w:numId w:val="9"/>
              </w:numPr>
              <w:ind w:left="0"/>
              <w:rPr>
                <w:i/>
                <w:color w:val="FF0000"/>
              </w:rPr>
            </w:pPr>
            <w:r w:rsidRPr="00075D1C">
              <w:rPr>
                <w:i/>
                <w:color w:val="FF0000"/>
              </w:rPr>
              <w:t>Модуль транскрибации речи:</w:t>
            </w:r>
          </w:p>
          <w:p w:rsidR="00A6781A" w:rsidRDefault="00A6781A" w:rsidP="00A6781A">
            <w:pPr>
              <w:pStyle w:val="1"/>
              <w:numPr>
                <w:ilvl w:val="1"/>
                <w:numId w:val="9"/>
              </w:numPr>
              <w:ind w:left="0"/>
              <w:rPr>
                <w:i/>
                <w:color w:val="FF0000"/>
              </w:rPr>
            </w:pPr>
            <w:r w:rsidRPr="00075D1C">
              <w:rPr>
                <w:i/>
                <w:color w:val="FF0000"/>
              </w:rPr>
              <w:t>Распознавание речи из аудио файлов</w:t>
            </w:r>
          </w:p>
          <w:p w:rsidR="00A6781A" w:rsidRPr="00075D1C" w:rsidRDefault="00A6781A" w:rsidP="00A6781A">
            <w:pPr>
              <w:pStyle w:val="1"/>
              <w:numPr>
                <w:ilvl w:val="0"/>
                <w:numId w:val="0"/>
              </w:numPr>
              <w:rPr>
                <w:i/>
              </w:rPr>
            </w:pPr>
            <w:r w:rsidRPr="00075D1C">
              <w:rPr>
                <w:i/>
                <w:color w:val="FF0000"/>
              </w:rPr>
              <w:t>В рамках выполнения работ по тестированию и отладки мо</w:t>
            </w:r>
            <w:r>
              <w:rPr>
                <w:i/>
                <w:color w:val="FF0000"/>
              </w:rPr>
              <w:t>дуля транскрибации речи Заказчик</w:t>
            </w:r>
            <w:r w:rsidRPr="00075D1C">
              <w:rPr>
                <w:i/>
                <w:color w:val="FF0000"/>
              </w:rPr>
              <w:t xml:space="preserve"> предоставляет не менее 30 аудиозаписей обращений с требованием к продолжительности записи – не менее 1 минуты.</w:t>
            </w:r>
          </w:p>
        </w:tc>
        <w:tc>
          <w:tcPr>
            <w:tcW w:w="667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jc w:val="center"/>
            </w:pPr>
            <w:r w:rsidRPr="002C2687">
              <w:lastRenderedPageBreak/>
              <w:t>штук</w:t>
            </w:r>
          </w:p>
        </w:tc>
        <w:tc>
          <w:tcPr>
            <w:tcW w:w="609" w:type="pct"/>
          </w:tcPr>
          <w:p w:rsidR="00A6781A" w:rsidRPr="002C2687" w:rsidRDefault="00A6781A" w:rsidP="00A6781A">
            <w:pPr>
              <w:pStyle w:val="1"/>
              <w:numPr>
                <w:ilvl w:val="0"/>
                <w:numId w:val="0"/>
              </w:numPr>
              <w:jc w:val="center"/>
            </w:pPr>
            <w:r w:rsidRPr="002C2687">
              <w:t>3</w:t>
            </w:r>
          </w:p>
        </w:tc>
      </w:tr>
      <w:tr w:rsidR="0021136E" w:rsidRPr="002C2687" w:rsidTr="00A6781A">
        <w:tc>
          <w:tcPr>
            <w:tcW w:w="329" w:type="pct"/>
          </w:tcPr>
          <w:p w:rsidR="0021136E" w:rsidRPr="00F57A99" w:rsidRDefault="0021136E" w:rsidP="00A6781A">
            <w:pPr>
              <w:pStyle w:val="1"/>
              <w:numPr>
                <w:ilvl w:val="0"/>
                <w:numId w:val="0"/>
              </w:numPr>
              <w:spacing w:befor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156" w:type="pct"/>
          </w:tcPr>
          <w:p w:rsidR="0021136E" w:rsidRPr="00F57A99" w:rsidRDefault="0021136E" w:rsidP="00A6781A">
            <w:pPr>
              <w:pStyle w:val="1"/>
              <w:numPr>
                <w:ilvl w:val="0"/>
                <w:numId w:val="0"/>
              </w:numPr>
              <w:jc w:val="left"/>
              <w:rPr>
                <w:b/>
              </w:rPr>
            </w:pPr>
            <w:r>
              <w:rPr>
                <w:b/>
              </w:rPr>
              <w:t>Закуп</w:t>
            </w:r>
            <w:r w:rsidR="00667B65">
              <w:rPr>
                <w:b/>
              </w:rPr>
              <w:t>ка программного обеспечения / оказание услуг для развития Справочной службы</w:t>
            </w:r>
          </w:p>
        </w:tc>
        <w:tc>
          <w:tcPr>
            <w:tcW w:w="2239" w:type="pct"/>
          </w:tcPr>
          <w:p w:rsidR="0021136E" w:rsidRDefault="00667B65" w:rsidP="00A6781A">
            <w:pPr>
              <w:pStyle w:val="1"/>
              <w:numPr>
                <w:ilvl w:val="0"/>
                <w:numId w:val="0"/>
              </w:numPr>
            </w:pPr>
            <w:r>
              <w:t>Обеспечить возможность настройки на рабочих местах операторов Справочной службы функции по:</w:t>
            </w:r>
          </w:p>
          <w:p w:rsidR="00667B65" w:rsidRDefault="00667B65" w:rsidP="00667B65">
            <w:pPr>
              <w:pStyle w:val="1"/>
              <w:numPr>
                <w:ilvl w:val="0"/>
                <w:numId w:val="18"/>
              </w:numPr>
              <w:ind w:left="320" w:hanging="320"/>
            </w:pPr>
            <w:r>
              <w:t>отображению в момент поступления звонка информации о номере абонента, автоматическое открытие карточки звонящего абонента со структурированными сведениями о нем и историей предыдущих обращений в Справочную службу;</w:t>
            </w:r>
          </w:p>
          <w:p w:rsidR="00667B65" w:rsidRPr="005B0305" w:rsidRDefault="00667B65" w:rsidP="005B0305">
            <w:pPr>
              <w:pStyle w:val="1"/>
              <w:numPr>
                <w:ilvl w:val="0"/>
                <w:numId w:val="18"/>
              </w:numPr>
              <w:ind w:left="320" w:hanging="320"/>
            </w:pPr>
            <w:r>
              <w:t>определение посред</w:t>
            </w:r>
            <w:bookmarkStart w:id="3" w:name="_GoBack"/>
            <w:bookmarkEnd w:id="3"/>
            <w:r>
              <w:t xml:space="preserve">ством технологии распознавания речи </w:t>
            </w:r>
            <w:r w:rsidRPr="00667B65">
              <w:t>ключевых слов;</w:t>
            </w:r>
            <w:r>
              <w:t xml:space="preserve"> </w:t>
            </w:r>
            <w:r w:rsidRPr="00667B65">
              <w:t>тематик</w:t>
            </w:r>
            <w:r>
              <w:t>и обращения в Справочную службу</w:t>
            </w:r>
            <w:r w:rsidRPr="00667B65">
              <w:t>;</w:t>
            </w:r>
            <w:r>
              <w:t xml:space="preserve"> </w:t>
            </w:r>
            <w:r w:rsidRPr="00667B65">
              <w:t xml:space="preserve">тональности </w:t>
            </w:r>
            <w:r>
              <w:t>обращения, с занесением информации в карточку звонка и возможностью редактирования оператором.</w:t>
            </w:r>
          </w:p>
        </w:tc>
        <w:tc>
          <w:tcPr>
            <w:tcW w:w="667" w:type="pct"/>
          </w:tcPr>
          <w:p w:rsidR="0021136E" w:rsidRPr="002C2687" w:rsidRDefault="005B0305" w:rsidP="00A6781A">
            <w:pPr>
              <w:pStyle w:val="1"/>
              <w:numPr>
                <w:ilvl w:val="0"/>
                <w:numId w:val="0"/>
              </w:numPr>
              <w:jc w:val="center"/>
            </w:pPr>
            <w:r>
              <w:t>АРМ</w:t>
            </w:r>
          </w:p>
        </w:tc>
        <w:tc>
          <w:tcPr>
            <w:tcW w:w="609" w:type="pct"/>
          </w:tcPr>
          <w:p w:rsidR="0021136E" w:rsidRPr="002C2687" w:rsidRDefault="005B0305" w:rsidP="00A6781A">
            <w:pPr>
              <w:pStyle w:val="1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</w:tbl>
    <w:p w:rsidR="00A17F17" w:rsidRDefault="00A17F17"/>
    <w:sectPr w:rsidR="00A17F17" w:rsidSect="0021136E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56" w:rsidRDefault="00141D56" w:rsidP="0021136E">
      <w:pPr>
        <w:spacing w:after="0" w:line="240" w:lineRule="auto"/>
      </w:pPr>
      <w:r>
        <w:separator/>
      </w:r>
    </w:p>
  </w:endnote>
  <w:endnote w:type="continuationSeparator" w:id="0">
    <w:p w:rsidR="00141D56" w:rsidRDefault="00141D56" w:rsidP="0021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56" w:rsidRDefault="00141D56" w:rsidP="0021136E">
      <w:pPr>
        <w:spacing w:after="0" w:line="240" w:lineRule="auto"/>
      </w:pPr>
      <w:r>
        <w:separator/>
      </w:r>
    </w:p>
  </w:footnote>
  <w:footnote w:type="continuationSeparator" w:id="0">
    <w:p w:rsidR="00141D56" w:rsidRDefault="00141D56" w:rsidP="0021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2340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1136E" w:rsidRPr="0021136E" w:rsidRDefault="0021136E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21136E">
          <w:rPr>
            <w:rFonts w:ascii="Times New Roman" w:hAnsi="Times New Roman" w:cs="Times New Roman"/>
            <w:sz w:val="28"/>
          </w:rPr>
          <w:fldChar w:fldCharType="begin"/>
        </w:r>
        <w:r w:rsidRPr="0021136E">
          <w:rPr>
            <w:rFonts w:ascii="Times New Roman" w:hAnsi="Times New Roman" w:cs="Times New Roman"/>
            <w:sz w:val="28"/>
          </w:rPr>
          <w:instrText>PAGE   \* MERGEFORMAT</w:instrText>
        </w:r>
        <w:r w:rsidRPr="0021136E">
          <w:rPr>
            <w:rFonts w:ascii="Times New Roman" w:hAnsi="Times New Roman" w:cs="Times New Roman"/>
            <w:sz w:val="28"/>
          </w:rPr>
          <w:fldChar w:fldCharType="separate"/>
        </w:r>
        <w:r w:rsidR="00087F8A">
          <w:rPr>
            <w:rFonts w:ascii="Times New Roman" w:hAnsi="Times New Roman" w:cs="Times New Roman"/>
            <w:noProof/>
            <w:sz w:val="28"/>
          </w:rPr>
          <w:t>7</w:t>
        </w:r>
        <w:r w:rsidRPr="0021136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1136E" w:rsidRDefault="002113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523F"/>
    <w:multiLevelType w:val="hybridMultilevel"/>
    <w:tmpl w:val="0C1015CE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">
    <w:nsid w:val="0B130D53"/>
    <w:multiLevelType w:val="hybridMultilevel"/>
    <w:tmpl w:val="EAF67996"/>
    <w:lvl w:ilvl="0" w:tplc="882C8E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318FF"/>
    <w:multiLevelType w:val="hybridMultilevel"/>
    <w:tmpl w:val="6E3A0E6C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1C0C36BD"/>
    <w:multiLevelType w:val="hybridMultilevel"/>
    <w:tmpl w:val="60505BC6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20E64A9D"/>
    <w:multiLevelType w:val="hybridMultilevel"/>
    <w:tmpl w:val="20FE16F4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5">
    <w:nsid w:val="29A312F1"/>
    <w:multiLevelType w:val="hybridMultilevel"/>
    <w:tmpl w:val="C848F546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6">
    <w:nsid w:val="2ACD4694"/>
    <w:multiLevelType w:val="hybridMultilevel"/>
    <w:tmpl w:val="168A1DF0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01848"/>
    <w:multiLevelType w:val="hybridMultilevel"/>
    <w:tmpl w:val="74ECEA92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3E5205EC"/>
    <w:multiLevelType w:val="hybridMultilevel"/>
    <w:tmpl w:val="DF56A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25C85"/>
    <w:multiLevelType w:val="hybridMultilevel"/>
    <w:tmpl w:val="9FE46E38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0">
    <w:nsid w:val="4B7E5E57"/>
    <w:multiLevelType w:val="hybridMultilevel"/>
    <w:tmpl w:val="CF3253E6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07387"/>
    <w:multiLevelType w:val="hybridMultilevel"/>
    <w:tmpl w:val="9F88CBFE"/>
    <w:lvl w:ilvl="0" w:tplc="E5C2068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>
    <w:nsid w:val="55543F2B"/>
    <w:multiLevelType w:val="hybridMultilevel"/>
    <w:tmpl w:val="6F581762"/>
    <w:lvl w:ilvl="0" w:tplc="D130C63E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83EC5"/>
    <w:multiLevelType w:val="hybridMultilevel"/>
    <w:tmpl w:val="8C1CA84C"/>
    <w:lvl w:ilvl="0" w:tplc="E5C20682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>
    <w:nsid w:val="6D454BC9"/>
    <w:multiLevelType w:val="hybridMultilevel"/>
    <w:tmpl w:val="4ED0F520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5">
    <w:nsid w:val="6D8F6225"/>
    <w:multiLevelType w:val="hybridMultilevel"/>
    <w:tmpl w:val="E8F0C828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C5781"/>
    <w:multiLevelType w:val="hybridMultilevel"/>
    <w:tmpl w:val="5B88E42C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7">
    <w:nsid w:val="7F662F98"/>
    <w:multiLevelType w:val="hybridMultilevel"/>
    <w:tmpl w:val="41887E84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5"/>
  </w:num>
  <w:num w:numId="5">
    <w:abstractNumId w:val="9"/>
  </w:num>
  <w:num w:numId="6">
    <w:abstractNumId w:val="0"/>
  </w:num>
  <w:num w:numId="7">
    <w:abstractNumId w:val="16"/>
  </w:num>
  <w:num w:numId="8">
    <w:abstractNumId w:val="7"/>
  </w:num>
  <w:num w:numId="9">
    <w:abstractNumId w:val="1"/>
  </w:num>
  <w:num w:numId="10">
    <w:abstractNumId w:val="2"/>
  </w:num>
  <w:num w:numId="11">
    <w:abstractNumId w:val="14"/>
  </w:num>
  <w:num w:numId="12">
    <w:abstractNumId w:val="11"/>
  </w:num>
  <w:num w:numId="13">
    <w:abstractNumId w:val="10"/>
  </w:num>
  <w:num w:numId="14">
    <w:abstractNumId w:val="17"/>
  </w:num>
  <w:num w:numId="15">
    <w:abstractNumId w:val="15"/>
  </w:num>
  <w:num w:numId="16">
    <w:abstractNumId w:val="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CA"/>
    <w:rsid w:val="00087F8A"/>
    <w:rsid w:val="00141D56"/>
    <w:rsid w:val="00163805"/>
    <w:rsid w:val="00180402"/>
    <w:rsid w:val="0021136E"/>
    <w:rsid w:val="005B0305"/>
    <w:rsid w:val="00667B65"/>
    <w:rsid w:val="00775CDD"/>
    <w:rsid w:val="008F3FCA"/>
    <w:rsid w:val="00A17F17"/>
    <w:rsid w:val="00A6781A"/>
    <w:rsid w:val="00BD5ACE"/>
    <w:rsid w:val="00CF53F0"/>
    <w:rsid w:val="00E2595A"/>
    <w:rsid w:val="00EE2343"/>
    <w:rsid w:val="00F62A0B"/>
    <w:rsid w:val="00F9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0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136E"/>
  </w:style>
  <w:style w:type="paragraph" w:styleId="a7">
    <w:name w:val="footer"/>
    <w:basedOn w:val="a"/>
    <w:link w:val="a8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1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0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136E"/>
  </w:style>
  <w:style w:type="paragraph" w:styleId="a7">
    <w:name w:val="footer"/>
    <w:basedOn w:val="a"/>
    <w:link w:val="a8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ГЛУШКОВА Елена Юрьевна</cp:lastModifiedBy>
  <cp:revision>2</cp:revision>
  <dcterms:created xsi:type="dcterms:W3CDTF">2023-06-19T08:32:00Z</dcterms:created>
  <dcterms:modified xsi:type="dcterms:W3CDTF">2023-06-19T08:32:00Z</dcterms:modified>
</cp:coreProperties>
</file>