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17" w:rsidRPr="008B1392" w:rsidRDefault="00A17F17" w:rsidP="00A17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37192194"/>
      <w:r w:rsidRPr="008B1392">
        <w:rPr>
          <w:rFonts w:ascii="Times New Roman" w:hAnsi="Times New Roman" w:cs="Times New Roman"/>
          <w:b/>
          <w:sz w:val="28"/>
          <w:szCs w:val="28"/>
        </w:rPr>
        <w:t>ИСХОДНЫЕ ДАННЫЕ ДЛЯ ФОРМИРОВАНИЯ ТЕХНИЧЕСКОГО ЗАДАНИЯ НА ВЫПОЛНЕНИЕ РАБОТ</w:t>
      </w:r>
    </w:p>
    <w:p w:rsidR="006D5603" w:rsidRPr="006D5603" w:rsidRDefault="006D5603" w:rsidP="006D5603">
      <w:pPr>
        <w:jc w:val="center"/>
        <w:rPr>
          <w:rFonts w:ascii="Times New Roman" w:hAnsi="Times New Roman" w:cs="Times New Roman"/>
          <w:b/>
          <w:sz w:val="28"/>
        </w:rPr>
      </w:pPr>
      <w:bookmarkStart w:id="1" w:name="_Toc137192212"/>
      <w:bookmarkEnd w:id="0"/>
      <w:r w:rsidRPr="006D5603">
        <w:rPr>
          <w:rFonts w:ascii="Times New Roman" w:hAnsi="Times New Roman" w:cs="Times New Roman"/>
          <w:b/>
          <w:bCs/>
          <w:sz w:val="28"/>
        </w:rPr>
        <w:t>Создание программно-аппаратного комплекса анализа обращений граждан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84515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5B7B" w:rsidRDefault="00925B7B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25B7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25B7B" w:rsidRPr="00925B7B" w:rsidRDefault="00925B7B" w:rsidP="00925B7B">
          <w:pPr>
            <w:rPr>
              <w:lang w:eastAsia="ru-RU"/>
            </w:rPr>
          </w:pPr>
        </w:p>
        <w:p w:rsidR="00925B7B" w:rsidRPr="00925B7B" w:rsidRDefault="00925B7B">
          <w:pPr>
            <w:pStyle w:val="13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25B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25B7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25B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7248526" w:history="1">
            <w:r w:rsidRPr="00925B7B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Общие требования:</w:t>
            </w:r>
            <w:r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_Toc137248526 \h </w:instrText>
            </w:r>
            <w:r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13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27" w:history="1">
            <w:r w:rsidR="00925B7B" w:rsidRPr="00925B7B">
              <w:rPr>
                <w:rStyle w:val="ad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Определения, обозначения и сокращения: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_Toc137248527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13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28" w:history="1">
            <w:r w:rsidR="00925B7B" w:rsidRPr="00925B7B">
              <w:rPr>
                <w:rStyle w:val="ad"/>
                <w:rFonts w:ascii="Times New Roman" w:eastAsia="Times New Roman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Требования к Сервису анализа обращений: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_Toc137248528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13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29" w:history="1">
            <w:r w:rsidR="00925B7B" w:rsidRPr="00925B7B">
              <w:rPr>
                <w:rStyle w:val="ad"/>
                <w:rFonts w:ascii="Times New Roman" w:eastAsia="Times New Roman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Требования к структуре и функционированию Сервиса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_Toc137248529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21"/>
            <w:tabs>
              <w:tab w:val="left" w:pos="66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0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1.</w:t>
            </w:r>
            <w:r w:rsidR="00925B7B" w:rsidRPr="00925B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Комплекс предоставления данных для анализа</w:t>
            </w:r>
            <w:r w:rsidR="00925B7B" w:rsidRPr="00925B7B">
              <w:rPr>
                <w:rStyle w:val="ad"/>
                <w:rFonts w:ascii="Times New Roman" w:eastAsia="Calibri" w:hAnsi="Times New Roman" w:cs="Times New Roman"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_Toc137248530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31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1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модуль статистических и аналитических отчетов: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_Toc137248531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31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2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модуль картографических отчетов</w:t>
            </w:r>
            <w:r w:rsidR="00925B7B" w:rsidRPr="00925B7B">
              <w:rPr>
                <w:rStyle w:val="ad"/>
                <w:rFonts w:ascii="Times New Roman" w:eastAsia="Calibri" w:hAnsi="Times New Roman" w:cs="Times New Roman"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_Toc137248532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31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3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аналитический портал: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_Toc137248533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21"/>
            <w:tabs>
              <w:tab w:val="left" w:pos="66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4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2.</w:t>
            </w:r>
            <w:r w:rsidR="00925B7B" w:rsidRPr="00925B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Комплекс загрузки и хранения данных: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_Toc137248534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31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5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модуль интеграции данных: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_Toc137248535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31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6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модуль буферной области данных (БОД):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_Toc137248536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31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7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модуль центрального хранилища данных (ЦХД):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_Toc137248537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21"/>
            <w:tabs>
              <w:tab w:val="left" w:pos="66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8" w:history="1"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3.</w:t>
            </w:r>
            <w:r w:rsidR="00925B7B" w:rsidRPr="00925B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25B7B" w:rsidRPr="00925B7B">
              <w:rPr>
                <w:rStyle w:val="ad"/>
                <w:rFonts w:ascii="Times New Roman" w:eastAsia="Calibri" w:hAnsi="Times New Roman" w:cs="Times New Roman"/>
                <w:b/>
                <w:bCs/>
                <w:iCs/>
                <w:noProof/>
                <w:color w:val="auto"/>
                <w:sz w:val="28"/>
                <w:szCs w:val="28"/>
                <w:lang w:eastAsia="ru-RU"/>
              </w:rPr>
              <w:t>Комплекс администрирования: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_Toc137248538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7D1E8C">
          <w:pPr>
            <w:pStyle w:val="13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7248539" w:history="1">
            <w:r w:rsidR="00925B7B" w:rsidRPr="00925B7B">
              <w:rPr>
                <w:rStyle w:val="ad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Иные требования: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_Toc137248539 \h </w:instrTex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5B7B" w:rsidRPr="00925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B7B" w:rsidRPr="00925B7B" w:rsidRDefault="00925B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25B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17F17" w:rsidRDefault="00A17F17">
      <w:pPr>
        <w:rPr>
          <w:rFonts w:ascii="Times New Roman" w:hAnsi="Times New Roman" w:cs="Times New Roman"/>
          <w:b/>
          <w:color w:val="FF0000"/>
          <w:sz w:val="28"/>
        </w:rPr>
      </w:pPr>
    </w:p>
    <w:p w:rsidR="006D5603" w:rsidRPr="002C5245" w:rsidRDefault="006D5603" w:rsidP="00C203C8">
      <w:pPr>
        <w:pStyle w:val="1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37248526"/>
      <w:r w:rsidRPr="00C203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Общие требования</w:t>
      </w:r>
      <w:r w:rsidRPr="002C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2"/>
      <w:r w:rsidRPr="002C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475DB3" w:rsidRPr="00475DB3" w:rsidRDefault="00475DB3" w:rsidP="00475D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 создания </w:t>
      </w:r>
      <w:r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программно</w:t>
      </w:r>
      <w:r w:rsidRPr="002C52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-аппаратного комплекса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анализа обращений граждан –</w:t>
      </w:r>
      <w:r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сбор, агрегирование, анализ и представление в структурированном виде, в том числе посредством визуализаций </w:t>
      </w:r>
      <w:r w:rsidRPr="00475DB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(аналитических выкладок и информационных панелей)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детализированной информации</w:t>
      </w:r>
      <w:r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поступающих в Государственную Думу обращений.</w:t>
      </w:r>
    </w:p>
    <w:p w:rsidR="006D5603" w:rsidRPr="002C5245" w:rsidRDefault="006D5603" w:rsidP="00475D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D5603" w:rsidRPr="002C5245" w:rsidRDefault="006D5603" w:rsidP="006D56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программно-аппаратного комплекса планируется с учетом развития действующих информационных технологий и информационных систем в Государственной Думе:</w:t>
      </w:r>
    </w:p>
    <w:p w:rsidR="006D5603" w:rsidRPr="006D5603" w:rsidRDefault="006D5603" w:rsidP="006D5603">
      <w:pPr>
        <w:pStyle w:val="a3"/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56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обработки и анализа обращений граждан ГАС «Законотворчество» (СООГ);</w:t>
      </w:r>
    </w:p>
    <w:p w:rsidR="006D5603" w:rsidRPr="006D5603" w:rsidRDefault="006D5603" w:rsidP="006D5603">
      <w:pPr>
        <w:pStyle w:val="a3"/>
        <w:numPr>
          <w:ilvl w:val="0"/>
          <w:numId w:val="19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</w:rPr>
      </w:pPr>
      <w:r w:rsidRPr="006D560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автоматизированного делопроизводства и документооборота Государственной Думы (САДД).</w:t>
      </w:r>
    </w:p>
    <w:p w:rsidR="006D5603" w:rsidRDefault="006D5603" w:rsidP="00C203C8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Toc137248527"/>
      <w:r w:rsidRPr="00C203C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Определения, обозначения и сокращения</w:t>
      </w:r>
      <w:r w:rsidRPr="002C52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bookmarkEnd w:id="3"/>
    </w:p>
    <w:p w:rsidR="006D5603" w:rsidRPr="002C5245" w:rsidRDefault="006D5603" w:rsidP="00475DB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Термины и определения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8"/>
        <w:gridCol w:w="6765"/>
      </w:tblGrid>
      <w:tr w:rsidR="006D5603" w:rsidRPr="002C5245" w:rsidTr="00475DB3">
        <w:trPr>
          <w:cantSplit/>
        </w:trPr>
        <w:tc>
          <w:tcPr>
            <w:tcW w:w="1567" w:type="pct"/>
            <w:vAlign w:val="center"/>
          </w:tcPr>
          <w:p w:rsidR="006D5603" w:rsidRPr="002C5245" w:rsidRDefault="006D5603" w:rsidP="00475DB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 xml:space="preserve">Термин </w:t>
            </w:r>
          </w:p>
        </w:tc>
        <w:tc>
          <w:tcPr>
            <w:tcW w:w="3433" w:type="pct"/>
            <w:vAlign w:val="center"/>
          </w:tcPr>
          <w:p w:rsidR="006D5603" w:rsidRPr="002C5245" w:rsidRDefault="006D5603" w:rsidP="00475DB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Определение</w:t>
            </w:r>
          </w:p>
        </w:tc>
      </w:tr>
      <w:tr w:rsidR="006D5603" w:rsidRPr="002C5245" w:rsidTr="00475DB3">
        <w:trPr>
          <w:cantSplit/>
        </w:trPr>
        <w:tc>
          <w:tcPr>
            <w:tcW w:w="1567" w:type="pct"/>
          </w:tcPr>
          <w:p w:rsidR="006D5603" w:rsidRPr="002C5245" w:rsidRDefault="006D5603" w:rsidP="00F5583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Аналитический отчет</w:t>
            </w:r>
          </w:p>
        </w:tc>
        <w:tc>
          <w:tcPr>
            <w:tcW w:w="3433" w:type="pct"/>
          </w:tcPr>
          <w:p w:rsidR="006D5603" w:rsidRPr="002C5245" w:rsidRDefault="006D5603" w:rsidP="006D56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Отчет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, структура и формат которого мо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гут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 быть задан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ы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 пользователем в процессе работы с отчетом.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 xml:space="preserve"> В контексте данного документа, аналитическими отчетами так же называются отчеты, представленные на информационной панели и разработанные с помощью 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инструмента для выполнения произвольных (</w:t>
            </w:r>
            <w:proofErr w:type="spellStart"/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</w:t>
            </w:r>
            <w:proofErr w:type="spellEnd"/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hoc</w:t>
            </w:r>
            <w:proofErr w:type="spellEnd"/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запросов и анализа.</w:t>
            </w:r>
          </w:p>
        </w:tc>
      </w:tr>
      <w:tr w:rsidR="00475DB3" w:rsidRPr="002C5245" w:rsidTr="00555A7D">
        <w:trPr>
          <w:cantSplit/>
        </w:trPr>
        <w:tc>
          <w:tcPr>
            <w:tcW w:w="1567" w:type="pct"/>
          </w:tcPr>
          <w:p w:rsidR="00475DB3" w:rsidRPr="00475DB3" w:rsidRDefault="00475DB3" w:rsidP="00475DB3">
            <w:pPr>
              <w:pStyle w:val="a6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ЕСИА</w:t>
            </w:r>
          </w:p>
        </w:tc>
        <w:tc>
          <w:tcPr>
            <w:tcW w:w="3433" w:type="pct"/>
            <w:vAlign w:val="center"/>
          </w:tcPr>
          <w:p w:rsidR="00475DB3" w:rsidRPr="008B1392" w:rsidRDefault="00475DB3" w:rsidP="00475DB3">
            <w:pPr>
              <w:pStyle w:val="a6"/>
              <w:rPr>
                <w:sz w:val="28"/>
                <w:szCs w:val="28"/>
                <w:lang w:val="ru-RU"/>
              </w:rPr>
            </w:pPr>
            <w:r w:rsidRPr="008B1392">
              <w:rPr>
                <w:sz w:val="28"/>
                <w:szCs w:val="28"/>
                <w:lang w:val="ru-RU"/>
              </w:rPr>
              <w:t>Единая система идентификац</w:t>
            </w:r>
            <w:proofErr w:type="gramStart"/>
            <w:r w:rsidRPr="008B1392">
              <w:rPr>
                <w:sz w:val="28"/>
                <w:szCs w:val="28"/>
                <w:lang w:val="ru-RU"/>
              </w:rPr>
              <w:t>ии и ау</w:t>
            </w:r>
            <w:proofErr w:type="gramEnd"/>
            <w:r w:rsidRPr="008B1392">
              <w:rPr>
                <w:sz w:val="28"/>
                <w:szCs w:val="28"/>
                <w:lang w:val="ru-RU"/>
              </w:rPr>
              <w:t>тентификации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</w:tcPr>
          <w:p w:rsidR="00475DB3" w:rsidRPr="002C5245" w:rsidRDefault="00475DB3" w:rsidP="00475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Заказчик</w:t>
            </w:r>
          </w:p>
        </w:tc>
        <w:tc>
          <w:tcPr>
            <w:tcW w:w="3433" w:type="pct"/>
          </w:tcPr>
          <w:p w:rsidR="00475DB3" w:rsidRPr="002C5245" w:rsidRDefault="00475DB3" w:rsidP="00475D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Аппарат Государственной Думы Федерального Собрания Российской Федерации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1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Закрытая часть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</w:t>
            </w:r>
            <w:r w:rsidR="001865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ервиса анализа </w:t>
            </w:r>
            <w:r w:rsidR="00961D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</w:t>
            </w:r>
            <w:r w:rsidR="00961D0C" w:rsidRPr="00F510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</w:t>
            </w:r>
            <w:r w:rsidR="00961D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ений</w:t>
            </w:r>
          </w:p>
        </w:tc>
        <w:tc>
          <w:tcPr>
            <w:tcW w:w="3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1865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 С</w:t>
            </w:r>
            <w:r w:rsidR="001865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ервиса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 которой относятся данные и функции, доступные для зарегистрированных пользователей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учетом разграничения прав доступа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</w:tcPr>
          <w:p w:rsidR="00475DB3" w:rsidRPr="002C5245" w:rsidRDefault="00475DB3" w:rsidP="00475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Измерение</w:t>
            </w:r>
          </w:p>
        </w:tc>
        <w:tc>
          <w:tcPr>
            <w:tcW w:w="3433" w:type="pct"/>
          </w:tcPr>
          <w:p w:rsidR="00475DB3" w:rsidRPr="002C5245" w:rsidRDefault="00475DB3" w:rsidP="00475D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Сущность, которая служит средством группировки анализируемых числовых величин в многомерном моделировании.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  <w:tcBorders>
              <w:bottom w:val="single" w:sz="4" w:space="0" w:color="auto"/>
            </w:tcBorders>
          </w:tcPr>
          <w:p w:rsidR="00475DB3" w:rsidRPr="002C5245" w:rsidRDefault="00475DB3" w:rsidP="00475D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Информационная панель</w:t>
            </w:r>
          </w:p>
        </w:tc>
        <w:tc>
          <w:tcPr>
            <w:tcW w:w="3433" w:type="pct"/>
            <w:tcBorders>
              <w:bottom w:val="single" w:sz="4" w:space="0" w:color="auto"/>
            </w:tcBorders>
          </w:tcPr>
          <w:p w:rsidR="00475DB3" w:rsidRPr="002C5245" w:rsidRDefault="00475DB3" w:rsidP="00475D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Позволяет сгруппировать наиболее важные показатели в наглядном графическом виде. Предоставляет мгновенный доступ к необходимой консолидированной информации.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475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Незарегистрированный пользователь</w:t>
            </w:r>
          </w:p>
        </w:tc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475D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Незарегистрированный посетитель Системы в сети Интернет.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1865B7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Открытая часть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865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Сервиса анализа обращений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1865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 С</w:t>
            </w:r>
            <w:r w:rsidR="001865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ервиса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 которой относятся данные и функции, доступные незарегистрированным пользователям.</w:t>
            </w:r>
          </w:p>
        </w:tc>
      </w:tr>
      <w:tr w:rsidR="00DB3299" w:rsidRPr="002C5245" w:rsidTr="00475DB3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299" w:rsidRPr="002C5245" w:rsidRDefault="00DB3299" w:rsidP="00475D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Очаг напряженности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3299" w:rsidRPr="002C5245" w:rsidRDefault="00DB3299" w:rsidP="00DB32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DB32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айон, в котором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наблюдается увеличение числа обращений за отчетный период времени и </w:t>
            </w:r>
            <w:r w:rsidRPr="00DB32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длительное время сохраняется обостренная конфликтная обстановка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отношении решения вопросов по одному или нескольким объектам, размещенных на территории этого района.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475D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3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DB3" w:rsidRPr="002C5245" w:rsidRDefault="00475DB3" w:rsidP="00475D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Величина, отражающая количественные характеристики. Показатель представляет собой набор статистической информации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 обращениях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Значения показателя могут быть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цифровым, строковым </w:t>
            </w:r>
            <w:r w:rsidRPr="00475DB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(«Заявители, имеющие наибольшее количество повторных обращений» – список заявителей или их признаков)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логическим, т.е. булевым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75DB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(</w:t>
            </w:r>
            <w:proofErr w:type="spellStart"/>
            <w:r w:rsidRPr="00475DB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многопишущий</w:t>
            </w:r>
            <w:proofErr w:type="spellEnd"/>
            <w:r w:rsidRPr="00475DB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заявитель – да / нет)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</w:p>
        </w:tc>
      </w:tr>
      <w:tr w:rsidR="00475DB3" w:rsidRPr="002C5245" w:rsidTr="00475DB3">
        <w:trPr>
          <w:cantSplit/>
        </w:trPr>
        <w:tc>
          <w:tcPr>
            <w:tcW w:w="1567" w:type="pct"/>
          </w:tcPr>
          <w:p w:rsidR="00475DB3" w:rsidRPr="002C5245" w:rsidRDefault="00475DB3" w:rsidP="00475D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lastRenderedPageBreak/>
              <w:t>Реляционная витрина данных</w:t>
            </w:r>
          </w:p>
        </w:tc>
        <w:tc>
          <w:tcPr>
            <w:tcW w:w="3433" w:type="pct"/>
          </w:tcPr>
          <w:p w:rsidR="00475DB3" w:rsidRPr="002C5245" w:rsidRDefault="00475DB3" w:rsidP="00475D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Тематическая подборка данных организации, хранящихся в реляционной СУБД, доступная для многомерного анализа посредством SQL-запросов.</w:t>
            </w:r>
          </w:p>
        </w:tc>
      </w:tr>
      <w:tr w:rsidR="00475DB3" w:rsidRPr="002C5245" w:rsidTr="000F4602">
        <w:trPr>
          <w:cantSplit/>
        </w:trPr>
        <w:tc>
          <w:tcPr>
            <w:tcW w:w="1567" w:type="pct"/>
          </w:tcPr>
          <w:p w:rsidR="00475DB3" w:rsidRPr="00475DB3" w:rsidRDefault="00475DB3" w:rsidP="00475DB3">
            <w:pPr>
              <w:pStyle w:val="a6"/>
              <w:spacing w:after="0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САДД</w:t>
            </w:r>
          </w:p>
        </w:tc>
        <w:tc>
          <w:tcPr>
            <w:tcW w:w="3433" w:type="pct"/>
            <w:vAlign w:val="center"/>
          </w:tcPr>
          <w:p w:rsidR="00475DB3" w:rsidRPr="008B1392" w:rsidRDefault="00475DB3" w:rsidP="00475DB3">
            <w:pPr>
              <w:pStyle w:val="a6"/>
              <w:spacing w:after="0"/>
              <w:jc w:val="both"/>
              <w:rPr>
                <w:b/>
                <w:sz w:val="28"/>
                <w:szCs w:val="28"/>
                <w:lang w:val="ru-RU"/>
              </w:rPr>
            </w:pPr>
            <w:r w:rsidRPr="008B1392">
              <w:rPr>
                <w:sz w:val="28"/>
                <w:szCs w:val="28"/>
              </w:rPr>
              <w:t>Система автоматизированного делопроизводства и документооборота Государственной Думы</w:t>
            </w:r>
          </w:p>
        </w:tc>
      </w:tr>
      <w:tr w:rsidR="00475DB3" w:rsidRPr="002C5245" w:rsidTr="00475DB3">
        <w:trPr>
          <w:cantSplit/>
        </w:trPr>
        <w:tc>
          <w:tcPr>
            <w:tcW w:w="1567" w:type="pct"/>
          </w:tcPr>
          <w:p w:rsidR="00475DB3" w:rsidRPr="002C5245" w:rsidRDefault="00475DB3" w:rsidP="00475DB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Семантический слой</w:t>
            </w:r>
          </w:p>
        </w:tc>
        <w:tc>
          <w:tcPr>
            <w:tcW w:w="3433" w:type="pct"/>
          </w:tcPr>
          <w:p w:rsidR="00475DB3" w:rsidRDefault="00475DB3" w:rsidP="00475DB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Набор «узнаваемых» пользователем объектов и их атрибутов, представленных в виде каталогов и необходимых для построения отчетности. </w:t>
            </w:r>
          </w:p>
          <w:p w:rsidR="00475DB3" w:rsidRPr="002C5245" w:rsidRDefault="00475DB3" w:rsidP="00475DB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 определением «узнаваемый» подразумеваются объекты, которыми оперируют пользователь в виде терминов в повседневной работе и которые характерны для конкретной предметной области.</w:t>
            </w:r>
          </w:p>
          <w:p w:rsidR="00475DB3" w:rsidRPr="002C5245" w:rsidRDefault="00475DB3" w:rsidP="00475D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семантического слоя ускоряет</w:t>
            </w:r>
            <w:r w:rsid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 ознакомления с Сервисом</w:t>
            </w: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позволяет проектировщику отчетов, не затрачивая большого количества времени на детальное изучение модели данных и ее источников, быстро включиться в работу по написанию производительных отчетов. </w:t>
            </w:r>
          </w:p>
        </w:tc>
      </w:tr>
      <w:tr w:rsidR="00475DB3" w:rsidRPr="002C5245" w:rsidTr="00BE2A1B">
        <w:trPr>
          <w:cantSplit/>
        </w:trPr>
        <w:tc>
          <w:tcPr>
            <w:tcW w:w="1567" w:type="pct"/>
          </w:tcPr>
          <w:p w:rsidR="00475DB3" w:rsidRPr="00475DB3" w:rsidRDefault="00475DB3" w:rsidP="00475DB3">
            <w:pPr>
              <w:pStyle w:val="a6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Сервис анализа обращений</w:t>
            </w:r>
          </w:p>
        </w:tc>
        <w:tc>
          <w:tcPr>
            <w:tcW w:w="3433" w:type="pct"/>
            <w:vAlign w:val="center"/>
          </w:tcPr>
          <w:p w:rsidR="00475DB3" w:rsidRPr="008B1392" w:rsidRDefault="00475DB3" w:rsidP="00475DB3">
            <w:pPr>
              <w:pStyle w:val="a6"/>
              <w:jc w:val="both"/>
              <w:rPr>
                <w:b/>
                <w:sz w:val="28"/>
                <w:szCs w:val="28"/>
                <w:lang w:val="ru-RU"/>
              </w:rPr>
            </w:pPr>
            <w:r w:rsidRPr="008B1392">
              <w:rPr>
                <w:bCs/>
                <w:sz w:val="28"/>
                <w:szCs w:val="28"/>
                <w:lang w:val="ru-RU"/>
              </w:rPr>
              <w:t>П</w:t>
            </w:r>
            <w:proofErr w:type="spellStart"/>
            <w:r w:rsidR="00961D0C" w:rsidRPr="00F510F1">
              <w:rPr>
                <w:bCs/>
                <w:sz w:val="28"/>
                <w:szCs w:val="28"/>
              </w:rPr>
              <w:t>рогр</w:t>
            </w:r>
            <w:r w:rsidR="00961D0C" w:rsidRPr="008B1392">
              <w:rPr>
                <w:bCs/>
                <w:sz w:val="28"/>
                <w:szCs w:val="28"/>
              </w:rPr>
              <w:t>аммно</w:t>
            </w:r>
            <w:proofErr w:type="spellEnd"/>
            <w:r w:rsidRPr="008B1392">
              <w:rPr>
                <w:bCs/>
                <w:sz w:val="28"/>
                <w:szCs w:val="28"/>
              </w:rPr>
              <w:t>-аппаратный комплекс анализа обращений граждан</w:t>
            </w:r>
          </w:p>
        </w:tc>
      </w:tr>
      <w:tr w:rsidR="00475DB3" w:rsidRPr="002C5245" w:rsidTr="00BE2A1B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B3" w:rsidRPr="00475DB3" w:rsidRDefault="00475DB3" w:rsidP="00475DB3">
            <w:pPr>
              <w:pStyle w:val="a6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СОЗД ГАС «Законотворчество»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5DB3" w:rsidRPr="008B1392" w:rsidRDefault="00475DB3" w:rsidP="00475DB3">
            <w:pPr>
              <w:pStyle w:val="a6"/>
              <w:jc w:val="both"/>
              <w:rPr>
                <w:sz w:val="28"/>
                <w:szCs w:val="28"/>
              </w:rPr>
            </w:pPr>
            <w:r w:rsidRPr="008B1392">
              <w:rPr>
                <w:sz w:val="28"/>
                <w:szCs w:val="28"/>
                <w:lang w:val="ru-RU"/>
              </w:rPr>
              <w:t xml:space="preserve">Система обеспечения законодательной деятельности Государственной автоматизированной системы «Законотворчество» </w:t>
            </w:r>
          </w:p>
        </w:tc>
      </w:tr>
      <w:tr w:rsidR="00475DB3" w:rsidRPr="002C5245" w:rsidTr="00BE2A1B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B3" w:rsidRPr="00475DB3" w:rsidRDefault="00475DB3" w:rsidP="00475DB3">
            <w:pPr>
              <w:pStyle w:val="a6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СООГ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5DB3" w:rsidRPr="008B1392" w:rsidRDefault="00475DB3" w:rsidP="00475DB3">
            <w:pPr>
              <w:pStyle w:val="a6"/>
              <w:jc w:val="both"/>
              <w:rPr>
                <w:sz w:val="28"/>
                <w:szCs w:val="28"/>
              </w:rPr>
            </w:pPr>
            <w:r w:rsidRPr="008B1392">
              <w:rPr>
                <w:sz w:val="28"/>
                <w:szCs w:val="28"/>
              </w:rPr>
              <w:t>Система обработки и анализа обращений граждан ГАС «Законотворчество»</w:t>
            </w:r>
          </w:p>
        </w:tc>
      </w:tr>
    </w:tbl>
    <w:p w:rsidR="006D5603" w:rsidRPr="002C5245" w:rsidRDefault="006D5603" w:rsidP="006D5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603" w:rsidRPr="002C5245" w:rsidRDefault="006D5603" w:rsidP="00C203C8">
      <w:pPr>
        <w:pStyle w:val="10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4" w:name="_Toc137248528"/>
      <w:r w:rsidRPr="00C203C8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 xml:space="preserve">Требования к </w:t>
      </w:r>
      <w:r w:rsidR="00475DB3" w:rsidRPr="00C203C8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Сервису анализа обращений</w:t>
      </w:r>
      <w:r w:rsidR="00475DB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  <w:bookmarkEnd w:id="4"/>
    </w:p>
    <w:p w:rsidR="006D5603" w:rsidRPr="002C5245" w:rsidRDefault="006D5603" w:rsidP="006D5603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6D5603" w:rsidRPr="002C5245" w:rsidRDefault="00475DB3" w:rsidP="006D5603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Сервис анализа обращений должен</w:t>
      </w:r>
      <w:r w:rsidR="006D5603" w:rsidRPr="002C524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обеспечивать выполнение следующих задач:</w:t>
      </w:r>
    </w:p>
    <w:p w:rsidR="006D5603" w:rsidRPr="002C5245" w:rsidRDefault="006D5603" w:rsidP="00974F57">
      <w:pPr>
        <w:numPr>
          <w:ilvl w:val="0"/>
          <w:numId w:val="21"/>
        </w:numPr>
        <w:tabs>
          <w:tab w:val="num" w:pos="0"/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импорт данных </w:t>
      </w:r>
      <w:r w:rsidR="00475DB3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из источников данных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;</w:t>
      </w:r>
    </w:p>
    <w:p w:rsidR="006D5603" w:rsidRPr="002C5245" w:rsidRDefault="006D5603" w:rsidP="00974F57">
      <w:pPr>
        <w:numPr>
          <w:ilvl w:val="0"/>
          <w:numId w:val="21"/>
        </w:numPr>
        <w:tabs>
          <w:tab w:val="num" w:pos="0"/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долговременное хранение накопленной информации;</w:t>
      </w:r>
    </w:p>
    <w:p w:rsidR="006D5603" w:rsidRPr="002C5245" w:rsidRDefault="006D5603" w:rsidP="00974F57">
      <w:pPr>
        <w:numPr>
          <w:ilvl w:val="0"/>
          <w:numId w:val="21"/>
        </w:numPr>
        <w:tabs>
          <w:tab w:val="num" w:pos="0"/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выполнение расчетов и подготовки данных для анализа;</w:t>
      </w:r>
    </w:p>
    <w:p w:rsidR="006D5603" w:rsidRPr="002C5245" w:rsidRDefault="006D5603" w:rsidP="00974F57">
      <w:pPr>
        <w:numPr>
          <w:ilvl w:val="0"/>
          <w:numId w:val="21"/>
        </w:numPr>
        <w:tabs>
          <w:tab w:val="num" w:pos="0"/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построение статистической и аналитической отчетности;</w:t>
      </w:r>
    </w:p>
    <w:p w:rsidR="006D5603" w:rsidRPr="002C5245" w:rsidRDefault="006D5603" w:rsidP="00974F57">
      <w:pPr>
        <w:numPr>
          <w:ilvl w:val="0"/>
          <w:numId w:val="21"/>
        </w:numPr>
        <w:tabs>
          <w:tab w:val="num" w:pos="0"/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просмотр </w:t>
      </w:r>
      <w:r w:rsidR="00475DB3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и выгрузка 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статистиче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ской и аналитической отчетности.</w:t>
      </w:r>
    </w:p>
    <w:p w:rsidR="00A17F17" w:rsidRDefault="00A17F17"/>
    <w:p w:rsidR="00974F57" w:rsidRPr="00974F57" w:rsidRDefault="00974F57" w:rsidP="00974F57">
      <w:pPr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74F5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Сервис анализа обращений должен включать в себя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настраиваемые аналитические панели, экраны для руководителей со сводной информацией по различным вопросам</w:t>
      </w:r>
      <w:r w:rsidR="0001515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типовые отчеты, карты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локализа</w:t>
      </w:r>
      <w:r w:rsidR="0001515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ции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проблем. Сервис анализа обращений должен обеспечить оперативный мониторинг </w:t>
      </w:r>
      <w:r w:rsidR="0001515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вопросов, </w:t>
      </w:r>
      <w:r w:rsidR="00015159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волнующих граждан,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 различных 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срезах</w:t>
      </w:r>
      <w:proofErr w:type="gram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данных с гибкими условиями настройки границ анализируемого периода.</w:t>
      </w:r>
    </w:p>
    <w:p w:rsidR="00B3265B" w:rsidRPr="00C203C8" w:rsidRDefault="00B3265B" w:rsidP="00C203C8">
      <w:pPr>
        <w:pStyle w:val="10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5" w:name="_Toc137248529"/>
      <w:r w:rsidRPr="00C203C8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Требования к структуре и функционированию Сервиса</w:t>
      </w:r>
      <w:bookmarkEnd w:id="5"/>
    </w:p>
    <w:p w:rsidR="00B3265B" w:rsidRPr="002C5245" w:rsidRDefault="00B3265B" w:rsidP="00B3265B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B3265B" w:rsidRDefault="00B3265B" w:rsidP="00B3265B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Подсистема должна содержать следующие функциональные части:</w:t>
      </w:r>
    </w:p>
    <w:p w:rsidR="00C129A4" w:rsidRPr="002C5245" w:rsidRDefault="00C129A4" w:rsidP="00B3265B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C129A4" w:rsidRPr="002C5245" w:rsidRDefault="00C129A4" w:rsidP="00C203C8">
      <w:pPr>
        <w:pStyle w:val="2"/>
        <w:numPr>
          <w:ilvl w:val="0"/>
          <w:numId w:val="36"/>
        </w:numPr>
        <w:tabs>
          <w:tab w:val="left" w:pos="709"/>
        </w:tabs>
        <w:ind w:left="0" w:firstLine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bookmarkStart w:id="6" w:name="_Toc137248530"/>
      <w:r w:rsidRPr="00C203C8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 xml:space="preserve">Комплекс предоставления данных для анализа </w:t>
      </w:r>
      <w:r w:rsidRPr="00C203C8">
        <w:rPr>
          <w:rFonts w:ascii="Times New Roman" w:eastAsia="Calibri" w:hAnsi="Times New Roman" w:cs="Times New Roman"/>
          <w:bCs/>
          <w:iCs/>
          <w:color w:val="auto"/>
          <w:sz w:val="28"/>
          <w:szCs w:val="28"/>
          <w:lang w:eastAsia="ru-RU"/>
        </w:rPr>
        <w:t>(предназначен для извлечения, анализа и представления информации для нужд конечных пользователей):</w:t>
      </w:r>
      <w:bookmarkEnd w:id="6"/>
    </w:p>
    <w:p w:rsidR="00C129A4" w:rsidRPr="002C5245" w:rsidRDefault="00C129A4" w:rsidP="00C203C8">
      <w:pPr>
        <w:pStyle w:val="3"/>
        <w:numPr>
          <w:ilvl w:val="0"/>
          <w:numId w:val="37"/>
        </w:numPr>
        <w:tabs>
          <w:tab w:val="left" w:pos="1134"/>
        </w:tabs>
        <w:ind w:hanging="11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bookmarkStart w:id="7" w:name="_Toc137248531"/>
      <w:r w:rsidRPr="00C203C8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>модуль статистических и аналитических отчетов</w:t>
      </w:r>
      <w:r w:rsidRPr="002C5245"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:</w:t>
      </w:r>
      <w:bookmarkEnd w:id="7"/>
    </w:p>
    <w:p w:rsidR="00C129A4" w:rsidRPr="002C5245" w:rsidRDefault="00C129A4" w:rsidP="00C129A4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Обеспечивает создание и просмотр аналитических отчетов</w:t>
      </w:r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и информационно-аналитических материалов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. Работа пользователя в соответствии с правами доступа осуществляется:</w:t>
      </w:r>
    </w:p>
    <w:p w:rsidR="00C129A4" w:rsidRPr="002C5245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C129A4">
        <w:rPr>
          <w:rFonts w:ascii="Times New Roman" w:eastAsia="Calibri" w:hAnsi="Times New Roman" w:cs="Times New Roman"/>
          <w:b/>
          <w:bCs/>
          <w:iCs/>
          <w:sz w:val="28"/>
          <w:szCs w:val="28"/>
          <w:u w:val="single"/>
          <w:lang w:eastAsia="ru-RU"/>
        </w:rPr>
        <w:t>в режиме просмотра аналитического отчета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(возможность пользоваться уже существующими фильтрами в аналитическом отчете, обновлять данные, выполнять печать, экспорт данных);</w:t>
      </w:r>
    </w:p>
    <w:p w:rsidR="00C129A4" w:rsidRPr="00F72882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C129A4">
        <w:rPr>
          <w:rFonts w:ascii="Times New Roman" w:eastAsia="Calibri" w:hAnsi="Times New Roman" w:cs="Times New Roman"/>
          <w:b/>
          <w:bCs/>
          <w:iCs/>
          <w:sz w:val="28"/>
          <w:szCs w:val="28"/>
          <w:u w:val="single"/>
          <w:lang w:eastAsia="ru-RU"/>
        </w:rPr>
        <w:t>в режиме редактирования аналитического отчета</w:t>
      </w:r>
      <w:r w:rsidR="00F72882">
        <w:rPr>
          <w:rFonts w:ascii="Times New Roman" w:eastAsia="Calibri" w:hAnsi="Times New Roman" w:cs="Times New Roman"/>
          <w:b/>
          <w:bCs/>
          <w:iCs/>
          <w:sz w:val="28"/>
          <w:szCs w:val="28"/>
          <w:u w:val="single"/>
          <w:lang w:eastAsia="ru-RU"/>
        </w:rPr>
        <w:t>.</w:t>
      </w:r>
    </w:p>
    <w:p w:rsidR="00F72882" w:rsidRPr="002C5245" w:rsidRDefault="00F72882" w:rsidP="00F72882">
      <w:pPr>
        <w:tabs>
          <w:tab w:val="left" w:pos="567"/>
          <w:tab w:val="left" w:pos="1134"/>
        </w:tabs>
        <w:spacing w:after="0" w:line="240" w:lineRule="auto"/>
        <w:ind w:left="216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:rsidR="00C129A4" w:rsidRPr="00C129A4" w:rsidRDefault="00C129A4" w:rsidP="00C129A4">
      <w:pPr>
        <w:tabs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C129A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Функции модуля статистических и аналитических отчетов (возможности):</w:t>
      </w:r>
    </w:p>
    <w:p w:rsidR="00507669" w:rsidRPr="00507669" w:rsidRDefault="00507669" w:rsidP="00507669">
      <w:pPr>
        <w:pStyle w:val="a3"/>
        <w:numPr>
          <w:ilvl w:val="2"/>
          <w:numId w:val="24"/>
        </w:numP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формирование отчетов в объеме, определяемом имеющимися в базе данных данными;</w:t>
      </w:r>
    </w:p>
    <w:p w:rsidR="00507669" w:rsidRPr="00507669" w:rsidRDefault="00507669" w:rsidP="00507669">
      <w:pPr>
        <w:pStyle w:val="a3"/>
        <w:numPr>
          <w:ilvl w:val="2"/>
          <w:numId w:val="24"/>
        </w:numPr>
        <w:spacing w:after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разработка новых и редактирование имеющихся отчетов в Сервисе может вестись как с использованием специализированного семантического слоя, так и путем обращения к хранилищу данных с помощью SQL-запроса;</w:t>
      </w:r>
    </w:p>
    <w:p w:rsidR="00C129A4" w:rsidRDefault="00C129A4" w:rsidP="00C129A4">
      <w:pPr>
        <w:numPr>
          <w:ilvl w:val="2"/>
          <w:numId w:val="24"/>
        </w:numPr>
        <w:tabs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разработка новых аналитических отчетов в виде таблиц, </w:t>
      </w:r>
      <w:proofErr w:type="gramStart"/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кросс-таблиц</w:t>
      </w:r>
      <w:proofErr w:type="gramEnd"/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, диаграмм и графиков (с вариативностью вы</w:t>
      </w:r>
      <w:r w:rsidR="00B81D0C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бора типов диаграмм и графиков), облака тегов 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 использованием веб-инструмента</w:t>
      </w:r>
      <w:r w:rsidR="00974F5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974F57" w:rsidRPr="00974F57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(конструктор отчетов)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;</w:t>
      </w:r>
    </w:p>
    <w:p w:rsidR="00507669" w:rsidRPr="00507669" w:rsidRDefault="00507669" w:rsidP="00507669">
      <w:pPr>
        <w:pStyle w:val="a3"/>
        <w:numPr>
          <w:ilvl w:val="2"/>
          <w:numId w:val="24"/>
        </w:numPr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доступность для пользователя</w:t>
      </w: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при разработке отчета все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х видов</w:t>
      </w: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фильтров, которые предоставляет инструмент разработки отчетов;</w:t>
      </w:r>
    </w:p>
    <w:p w:rsidR="00F72882" w:rsidRDefault="00C129A4" w:rsidP="00F72882">
      <w:pPr>
        <w:pStyle w:val="a3"/>
        <w:numPr>
          <w:ilvl w:val="2"/>
          <w:numId w:val="24"/>
        </w:numPr>
        <w:spacing w:after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изменение существующих отчетов</w:t>
      </w:r>
      <w:r w:rsidR="00F72882"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: поменять местами строки и столбцы, добавить новые фильтры, вычисляемые показатели, добавить из списка измерения (справочники), показатели (значения);</w:t>
      </w:r>
    </w:p>
    <w:p w:rsidR="00507669" w:rsidRPr="00507669" w:rsidRDefault="00507669" w:rsidP="00507669">
      <w:pPr>
        <w:pStyle w:val="a3"/>
        <w:numPr>
          <w:ilvl w:val="2"/>
          <w:numId w:val="24"/>
        </w:numPr>
        <w:spacing w:after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фиксация </w:t>
      </w: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в отчетах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параметров</w:t>
      </w: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форматирования: цвет и размер шрифта, ширина столбцов, длина строк;</w:t>
      </w:r>
    </w:p>
    <w:p w:rsidR="00C129A4" w:rsidRPr="00507669" w:rsidRDefault="00507669" w:rsidP="00507669">
      <w:pPr>
        <w:pStyle w:val="a3"/>
        <w:numPr>
          <w:ilvl w:val="2"/>
          <w:numId w:val="24"/>
        </w:numPr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lastRenderedPageBreak/>
        <w:t>возможность предварительной генерации отчетов по расписанию;</w:t>
      </w:r>
    </w:p>
    <w:p w:rsidR="00F72882" w:rsidRPr="00F72882" w:rsidRDefault="00F72882" w:rsidP="00F72882">
      <w:pPr>
        <w:pStyle w:val="a3"/>
        <w:numPr>
          <w:ilvl w:val="2"/>
          <w:numId w:val="24"/>
        </w:numPr>
        <w:spacing w:after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сохранение нового сформированного</w:t>
      </w:r>
      <w:r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отчет для своего личного использования</w:t>
      </w:r>
      <w:r w:rsid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, </w:t>
      </w:r>
      <w:r w:rsidR="00507669"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возможность публикации отчетов на аналитическом портале;</w:t>
      </w:r>
    </w:p>
    <w:p w:rsidR="00C129A4" w:rsidRPr="002C5245" w:rsidRDefault="00507669" w:rsidP="00507669">
      <w:pPr>
        <w:numPr>
          <w:ilvl w:val="2"/>
          <w:numId w:val="24"/>
        </w:numPr>
        <w:tabs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формирование</w:t>
      </w:r>
      <w:r w:rsidRPr="00507669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печатных форм и последующая печать сформированных отчетов</w:t>
      </w:r>
      <w:r w:rsidR="00C129A4"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;</w:t>
      </w:r>
    </w:p>
    <w:p w:rsidR="00C129A4" w:rsidRDefault="00C129A4" w:rsidP="00F72882">
      <w:pPr>
        <w:pStyle w:val="a3"/>
        <w:numPr>
          <w:ilvl w:val="2"/>
          <w:numId w:val="24"/>
        </w:numPr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экспорт отчетов в форматы, утвержденные Заказчиком</w:t>
      </w:r>
      <w:r w:rsidR="00F72882"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(</w:t>
      </w:r>
      <w:r w:rsid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необходимо</w:t>
      </w:r>
      <w:r w:rsidR="00F72882"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обеспечивать экспорт содержимого аналитических отчетов в</w:t>
      </w:r>
      <w:r w:rsidR="004067B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закрытой части Сервиса анализа обращений </w:t>
      </w:r>
      <w:r w:rsidR="004067B5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="004067B5" w:rsidRPr="0050766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файлы следующих форматов: </w:t>
      </w:r>
      <w:proofErr w:type="spellStart"/>
      <w:r w:rsidR="004067B5" w:rsidRPr="00507669">
        <w:rPr>
          <w:rFonts w:ascii="Times New Roman" w:eastAsia="Calibri" w:hAnsi="Times New Roman" w:cs="Times New Roman"/>
          <w:sz w:val="28"/>
          <w:szCs w:val="28"/>
          <w:lang w:eastAsia="ru-RU"/>
        </w:rPr>
        <w:t>pdf</w:t>
      </w:r>
      <w:proofErr w:type="spellEnd"/>
      <w:r w:rsidR="004067B5" w:rsidRPr="0050766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067B5" w:rsidRPr="00507669">
        <w:rPr>
          <w:rFonts w:ascii="Times New Roman" w:eastAsia="Calibri" w:hAnsi="Times New Roman" w:cs="Times New Roman"/>
          <w:sz w:val="28"/>
          <w:szCs w:val="28"/>
          <w:lang w:val="x-none" w:eastAsia="ru-RU" w:bidi="en-US"/>
        </w:rPr>
        <w:t>html</w:t>
      </w:r>
      <w:proofErr w:type="spellEnd"/>
      <w:r w:rsidR="004067B5" w:rsidRPr="0050766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067B5" w:rsidRPr="00507669">
        <w:rPr>
          <w:rFonts w:ascii="Times New Roman" w:eastAsia="Calibri" w:hAnsi="Times New Roman" w:cs="Times New Roman"/>
          <w:sz w:val="28"/>
          <w:szCs w:val="28"/>
          <w:lang w:val="x-none" w:eastAsia="ru-RU" w:bidi="en-US"/>
        </w:rPr>
        <w:t>rtf</w:t>
      </w:r>
      <w:proofErr w:type="spellEnd"/>
      <w:r w:rsidR="004067B5" w:rsidRPr="0050766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067B5" w:rsidRPr="00507669">
        <w:rPr>
          <w:rFonts w:ascii="Times New Roman" w:eastAsia="Calibri" w:hAnsi="Times New Roman" w:cs="Times New Roman"/>
          <w:sz w:val="28"/>
          <w:szCs w:val="28"/>
          <w:lang w:val="x-none" w:eastAsia="ru-RU" w:bidi="en-US"/>
        </w:rPr>
        <w:t>xls</w:t>
      </w:r>
      <w:proofErr w:type="spellEnd"/>
      <w:r w:rsidR="00F72882"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,</w:t>
      </w:r>
      <w:r w:rsid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в шаблоны отчета в форматах </w:t>
      </w:r>
      <w:r w:rsidR="00F72882">
        <w:rPr>
          <w:rFonts w:ascii="Times New Roman" w:eastAsia="Calibri" w:hAnsi="Times New Roman" w:cs="Times New Roman"/>
          <w:bCs/>
          <w:iCs/>
          <w:sz w:val="28"/>
          <w:szCs w:val="28"/>
          <w:lang w:val="en-US" w:eastAsia="ru-RU"/>
        </w:rPr>
        <w:t>doc</w:t>
      </w:r>
      <w:r w:rsid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и </w:t>
      </w:r>
      <w:proofErr w:type="spellStart"/>
      <w:r w:rsidR="00F72882">
        <w:rPr>
          <w:rFonts w:ascii="Times New Roman" w:eastAsia="Calibri" w:hAnsi="Times New Roman" w:cs="Times New Roman"/>
          <w:bCs/>
          <w:iCs/>
          <w:sz w:val="28"/>
          <w:szCs w:val="28"/>
          <w:lang w:val="en-US" w:eastAsia="ru-RU"/>
        </w:rPr>
        <w:t>docx</w:t>
      </w:r>
      <w:proofErr w:type="spellEnd"/>
      <w:r w:rsidR="00F72882"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, в том числе </w:t>
      </w:r>
      <w:r w:rsid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иные форматы, исходя из перечня </w:t>
      </w:r>
      <w:r w:rsidR="00F72882"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приложений</w:t>
      </w:r>
      <w:r w:rsid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, применяемых Заказчиком</w:t>
      </w:r>
      <w:r w:rsidR="00F72882"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)</w:t>
      </w:r>
      <w:r w:rsidRPr="00F72882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.</w:t>
      </w:r>
    </w:p>
    <w:p w:rsidR="00F72882" w:rsidRPr="00F72882" w:rsidRDefault="00F72882" w:rsidP="00F72882">
      <w:pPr>
        <w:pStyle w:val="a3"/>
        <w:numPr>
          <w:ilvl w:val="2"/>
          <w:numId w:val="24"/>
        </w:numPr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настройка уведомлений пользователей о важных изменениях аналитических показателей </w:t>
      </w:r>
      <w:r w:rsidRPr="00F72882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(на этапе технического проектирования необходимо определить: список ключевых аналитических показателей, об изменении которых необходимо уведомлять пользователей; группы пользователей, получающих уведомление; правила, параметры или границы для каждого показателя, при достижении которых пользователь должен получать уведомление)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. </w:t>
      </w:r>
    </w:p>
    <w:p w:rsidR="00C129A4" w:rsidRPr="002C5245" w:rsidRDefault="00C129A4" w:rsidP="00925B7B">
      <w:pPr>
        <w:pStyle w:val="3"/>
        <w:numPr>
          <w:ilvl w:val="0"/>
          <w:numId w:val="38"/>
        </w:numPr>
        <w:tabs>
          <w:tab w:val="left" w:pos="1134"/>
        </w:tabs>
        <w:ind w:hanging="11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bookmarkStart w:id="8" w:name="_Toc137248532"/>
      <w:r w:rsidRPr="00925B7B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>модуль картографических отчетов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:</w:t>
      </w:r>
      <w:bookmarkEnd w:id="8"/>
    </w:p>
    <w:p w:rsidR="00C129A4" w:rsidRPr="002C5245" w:rsidRDefault="00C129A4" w:rsidP="00C129A4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Картографический отчет – представление данных для анализа на географической карте. </w:t>
      </w:r>
    </w:p>
    <w:p w:rsidR="00C129A4" w:rsidRPr="002C5245" w:rsidRDefault="00C129A4" w:rsidP="00C129A4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Требования к модулю картографических отчетов:</w:t>
      </w:r>
    </w:p>
    <w:p w:rsidR="00C129A4" w:rsidRPr="002C5245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обеспечение возможности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импорта и 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использования пространственных данных при визуализации информации;</w:t>
      </w:r>
    </w:p>
    <w:p w:rsidR="00C129A4" w:rsidRPr="002C5245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осуществление загрузки данных на картографические панели;</w:t>
      </w:r>
    </w:p>
    <w:p w:rsidR="00C129A4" w:rsidRPr="002C5245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реализация печати картографических отчетов;</w:t>
      </w:r>
    </w:p>
    <w:p w:rsidR="00C129A4" w:rsidRPr="002C5245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обеспечение возможности представления картографических и аналитических отчетов на одной веб-странице;</w:t>
      </w:r>
    </w:p>
    <w:p w:rsidR="00C129A4" w:rsidRPr="002C5245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возможност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ь редактировать картографические отчеты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;</w:t>
      </w:r>
    </w:p>
    <w:p w:rsidR="00C129A4" w:rsidRPr="002C5245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возможность встраивания отчета в аналитический портал;</w:t>
      </w:r>
    </w:p>
    <w:p w:rsidR="00C129A4" w:rsidRDefault="00C129A4" w:rsidP="00C129A4">
      <w:pPr>
        <w:numPr>
          <w:ilvl w:val="2"/>
          <w:numId w:val="24"/>
        </w:num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поддержка разделения прав доступа на просмотр объектов на карте.</w:t>
      </w:r>
    </w:p>
    <w:p w:rsidR="00C129A4" w:rsidRDefault="00C129A4" w:rsidP="00C129A4">
      <w:pPr>
        <w:tabs>
          <w:tab w:val="left" w:pos="567"/>
          <w:tab w:val="left" w:pos="1134"/>
        </w:tabs>
        <w:spacing w:after="0" w:line="240" w:lineRule="auto"/>
        <w:ind w:left="216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:rsidR="00F72882" w:rsidRDefault="00F72882" w:rsidP="00F72882">
      <w:pPr>
        <w:tabs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C129A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Функции модуля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картографических</w:t>
      </w:r>
      <w:r w:rsidRPr="00C129A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отчетов (возможности):</w:t>
      </w:r>
    </w:p>
    <w:p w:rsidR="00F72882" w:rsidRPr="00C129A4" w:rsidRDefault="00F72882" w:rsidP="00F72882">
      <w:pPr>
        <w:tabs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453126" w:rsidRDefault="00453126" w:rsidP="00F72882">
      <w:pPr>
        <w:pStyle w:val="a3"/>
        <w:numPr>
          <w:ilvl w:val="0"/>
          <w:numId w:val="29"/>
        </w:numPr>
        <w:tabs>
          <w:tab w:val="left" w:pos="567"/>
          <w:tab w:val="left" w:pos="1134"/>
        </w:tabs>
        <w:spacing w:after="0" w:line="240" w:lineRule="auto"/>
        <w:ind w:left="2127" w:hanging="284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возможность</w:t>
      </w:r>
      <w:r w:rsidR="000211DE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формирования карты Российской Федерации с представлением данных в территориальном разрезе (с </w:t>
      </w:r>
      <w:r w:rsidR="000211DE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lastRenderedPageBreak/>
        <w:t>детализацией от федеральных округов до регионов, населенных пунктов, зданий с привязкой к элементам улично-дорожной сети</w:t>
      </w:r>
      <w:r w:rsidR="0064445F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, отображением информации о количестве обращений, числе поднятых вопросов, заявителей, в том числе с отображением динамики показателей </w:t>
      </w:r>
      <w:r w:rsidR="00BE0E5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в сравнении с предыдущим периодом</w:t>
      </w:r>
      <w:r w:rsidR="000211DE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); </w:t>
      </w:r>
    </w:p>
    <w:p w:rsidR="008216F2" w:rsidRDefault="008216F2" w:rsidP="00F72882">
      <w:pPr>
        <w:pStyle w:val="a3"/>
        <w:numPr>
          <w:ilvl w:val="0"/>
          <w:numId w:val="29"/>
        </w:numPr>
        <w:tabs>
          <w:tab w:val="left" w:pos="567"/>
          <w:tab w:val="left" w:pos="1134"/>
        </w:tabs>
        <w:spacing w:after="0" w:line="240" w:lineRule="auto"/>
        <w:ind w:left="2127" w:hanging="284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возможность формирования тепловой карты Российской Федерации с возможностью создания и наложения слоев путем обозначения границ произвольной территории с целью обеспечения мониторинга активности на указанном участке, исходя из потребностей пользователей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(возможность настройки периода, территории построения тепловой карты (</w:t>
      </w:r>
      <w:r w:rsidRPr="00A670D1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страна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 xml:space="preserve">/ федеральный округ/ регион и пр.), режима отображения обращений по адресу объекта или адресу автора и выбора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пр</w:t>
      </w:r>
      <w:proofErr w:type="gramStart"/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.п</w:t>
      </w:r>
      <w:proofErr w:type="gramEnd"/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араметров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 xml:space="preserve"> с настройкой отображения легенды и вычисляемых показателей)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. </w:t>
      </w:r>
    </w:p>
    <w:p w:rsidR="00F72882" w:rsidRDefault="00453126" w:rsidP="00F72882">
      <w:pPr>
        <w:pStyle w:val="a3"/>
        <w:numPr>
          <w:ilvl w:val="0"/>
          <w:numId w:val="29"/>
        </w:numPr>
        <w:tabs>
          <w:tab w:val="left" w:pos="567"/>
          <w:tab w:val="left" w:pos="1134"/>
        </w:tabs>
        <w:spacing w:after="0" w:line="240" w:lineRule="auto"/>
        <w:ind w:left="2127" w:hanging="284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возможность формирования карты л</w:t>
      </w:r>
      <w:bookmarkStart w:id="9" w:name="_GoBack"/>
      <w:bookmarkEnd w:id="9"/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окализаци</w:t>
      </w:r>
      <w:r w:rsidR="00BE0E5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и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проблем</w:t>
      </w:r>
      <w:r w:rsidR="00BE0E5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с формированием</w:t>
      </w:r>
      <w:r w:rsidR="000211DE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очаг</w:t>
      </w:r>
      <w:r w:rsidR="00BE0E5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ов</w:t>
      </w:r>
      <w:r w:rsidR="000211DE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напряженности</w:t>
      </w:r>
      <w:r w:rsidR="0064445F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(</w:t>
      </w:r>
      <w:r w:rsidR="00BE0E5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 отображением динамики показателей в сравнении с предыдущим периодом)</w:t>
      </w:r>
      <w:r w:rsidR="000211DE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.</w:t>
      </w:r>
    </w:p>
    <w:p w:rsidR="00BE0E55" w:rsidRDefault="00BE0E55" w:rsidP="00BE0E55">
      <w:pPr>
        <w:tabs>
          <w:tab w:val="left" w:pos="567"/>
          <w:tab w:val="left" w:pos="1134"/>
        </w:tabs>
        <w:spacing w:before="240" w:after="0" w:line="240" w:lineRule="auto"/>
        <w:ind w:left="1843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Информационная панель по очагам напряженности помимо карты должны содержать:</w:t>
      </w:r>
    </w:p>
    <w:p w:rsidR="00BE0E55" w:rsidRDefault="00BE0E55" w:rsidP="00BE0E55">
      <w:pPr>
        <w:pStyle w:val="a3"/>
        <w:numPr>
          <w:ilvl w:val="0"/>
          <w:numId w:val="31"/>
        </w:numPr>
        <w:tabs>
          <w:tab w:val="left" w:pos="567"/>
          <w:tab w:val="left" w:pos="1134"/>
        </w:tabs>
        <w:spacing w:before="240" w:after="0" w:line="24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 w:rsidRPr="00BE0E55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 xml:space="preserve">статистический показатель – «количество вопросов с объектами» с отображением доли таких вопросов в общем количестве вопросов; </w:t>
      </w:r>
    </w:p>
    <w:p w:rsidR="00BE0E55" w:rsidRDefault="00BE0E55" w:rsidP="00BE0E55">
      <w:pPr>
        <w:pStyle w:val="a3"/>
        <w:numPr>
          <w:ilvl w:val="0"/>
          <w:numId w:val="31"/>
        </w:numPr>
        <w:tabs>
          <w:tab w:val="left" w:pos="567"/>
          <w:tab w:val="left" w:pos="1134"/>
        </w:tabs>
        <w:spacing w:before="240" w:after="0" w:line="24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 w:rsidRPr="00BE0E55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 xml:space="preserve">таблицу по ТОП-5/ТОП-10 очагов напряженности с указанием: </w:t>
      </w:r>
    </w:p>
    <w:p w:rsidR="00BE0E55" w:rsidRDefault="00BE0E55" w:rsidP="00BE0E55">
      <w:pPr>
        <w:pStyle w:val="a3"/>
        <w:numPr>
          <w:ilvl w:val="1"/>
          <w:numId w:val="31"/>
        </w:numPr>
        <w:tabs>
          <w:tab w:val="left" w:pos="567"/>
          <w:tab w:val="left" w:pos="1134"/>
        </w:tabs>
        <w:spacing w:before="240" w:after="0" w:line="24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 w:rsidRPr="00BE0E55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 xml:space="preserve">причины напряженности, </w:t>
      </w:r>
    </w:p>
    <w:p w:rsidR="00BE0E55" w:rsidRDefault="00BE0E55" w:rsidP="00BE0E55">
      <w:pPr>
        <w:pStyle w:val="a3"/>
        <w:numPr>
          <w:ilvl w:val="1"/>
          <w:numId w:val="31"/>
        </w:numPr>
        <w:tabs>
          <w:tab w:val="left" w:pos="567"/>
          <w:tab w:val="left" w:pos="1134"/>
        </w:tabs>
        <w:spacing w:before="240" w:after="0" w:line="24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 w:rsidRPr="00BE0E55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количества недель попадания очага в топ;</w:t>
      </w:r>
    </w:p>
    <w:p w:rsidR="00BE0E55" w:rsidRDefault="00BE0E55" w:rsidP="00BE0E55">
      <w:pPr>
        <w:pStyle w:val="a3"/>
        <w:numPr>
          <w:ilvl w:val="1"/>
          <w:numId w:val="31"/>
        </w:numPr>
        <w:tabs>
          <w:tab w:val="left" w:pos="567"/>
          <w:tab w:val="left" w:pos="1134"/>
        </w:tabs>
        <w:spacing w:before="240" w:after="0" w:line="24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 w:rsidRPr="00BE0E55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 xml:space="preserve">количества вопросов, относящихся к очагу напряженности; </w:t>
      </w:r>
    </w:p>
    <w:p w:rsidR="00BE0E55" w:rsidRDefault="00BE0E55" w:rsidP="00BE0E55">
      <w:pPr>
        <w:pStyle w:val="a3"/>
        <w:numPr>
          <w:ilvl w:val="1"/>
          <w:numId w:val="31"/>
        </w:numPr>
        <w:tabs>
          <w:tab w:val="left" w:pos="567"/>
          <w:tab w:val="left" w:pos="1134"/>
        </w:tabs>
        <w:spacing w:before="240" w:after="0" w:line="24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 w:rsidRPr="00BE0E55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 xml:space="preserve">адреса очага; </w:t>
      </w:r>
    </w:p>
    <w:p w:rsidR="00BE0E55" w:rsidRPr="00BE0E55" w:rsidRDefault="00BE0E55" w:rsidP="00BE0E55">
      <w:pPr>
        <w:pStyle w:val="a3"/>
        <w:numPr>
          <w:ilvl w:val="1"/>
          <w:numId w:val="31"/>
        </w:numPr>
        <w:tabs>
          <w:tab w:val="left" w:pos="567"/>
          <w:tab w:val="left" w:pos="1134"/>
        </w:tabs>
        <w:spacing w:before="240" w:after="0" w:line="24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</w:pPr>
      <w:r w:rsidRPr="00BE0E55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типа объекта.</w:t>
      </w:r>
    </w:p>
    <w:p w:rsidR="000211DE" w:rsidRPr="00F72882" w:rsidRDefault="000211DE" w:rsidP="000211DE">
      <w:pPr>
        <w:pStyle w:val="a3"/>
        <w:tabs>
          <w:tab w:val="left" w:pos="567"/>
          <w:tab w:val="left" w:pos="1134"/>
        </w:tabs>
        <w:spacing w:after="0" w:line="240" w:lineRule="auto"/>
        <w:ind w:left="212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:rsidR="00C129A4" w:rsidRPr="002C5245" w:rsidRDefault="00C129A4" w:rsidP="00925B7B">
      <w:pPr>
        <w:pStyle w:val="3"/>
        <w:numPr>
          <w:ilvl w:val="0"/>
          <w:numId w:val="39"/>
        </w:numPr>
        <w:tabs>
          <w:tab w:val="left" w:pos="1134"/>
        </w:tabs>
        <w:ind w:hanging="11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bookmarkStart w:id="10" w:name="_Toc137248533"/>
      <w:r w:rsidRPr="00925B7B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>аналитический портал</w:t>
      </w:r>
      <w:r w:rsidRPr="002C5245"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:</w:t>
      </w:r>
      <w:bookmarkEnd w:id="10"/>
    </w:p>
    <w:p w:rsidR="00C129A4" w:rsidRPr="002C5245" w:rsidRDefault="00C129A4" w:rsidP="00C129A4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Должен предоставлять конечным </w:t>
      </w:r>
      <w:r w:rsidRPr="007A022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пользователям 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Сервиса анализа обращений</w:t>
      </w:r>
      <w:r w:rsidRPr="007A022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средства </w:t>
      </w:r>
      <w:r w:rsidRPr="002C524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просмотра</w:t>
      </w:r>
      <w:proofErr w:type="gramEnd"/>
      <w:r w:rsidRPr="002C524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 анализа данных через веб-интерфейс. </w:t>
      </w:r>
    </w:p>
    <w:p w:rsidR="00C129A4" w:rsidRDefault="00C129A4" w:rsidP="00C129A4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Аналитический портал должен реализовывать публикацию на портале данных в виде неизменяемых веб-страниц, статистических и аналитических отчетов, картографических панелей. Аналитический порта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</w:t>
      </w:r>
      <w:r w:rsidRPr="002C524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также должен предоставить веб-версии инструментария формирования аналитических отчетов.</w:t>
      </w:r>
    </w:p>
    <w:p w:rsidR="00C129A4" w:rsidRDefault="00C129A4" w:rsidP="00C129A4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 аналитическом портале необходимо использовать общий стиль визуального оформления веб-страниц по согласованию с Заказчиком.</w:t>
      </w:r>
    </w:p>
    <w:p w:rsidR="00C129A4" w:rsidRPr="002C5245" w:rsidRDefault="00C129A4" w:rsidP="00C129A4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B3265B" w:rsidRPr="00925B7B" w:rsidRDefault="00B3265B" w:rsidP="00925B7B">
      <w:pPr>
        <w:pStyle w:val="2"/>
        <w:numPr>
          <w:ilvl w:val="0"/>
          <w:numId w:val="40"/>
        </w:numPr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1" w:name="_Toc137248534"/>
      <w:r w:rsidRPr="00925B7B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>Комплекс загрузки и хранения данных:</w:t>
      </w:r>
      <w:bookmarkEnd w:id="11"/>
    </w:p>
    <w:p w:rsidR="004067B5" w:rsidRPr="002C5245" w:rsidRDefault="004067B5" w:rsidP="004067B5">
      <w:p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</w:p>
    <w:p w:rsidR="00B3265B" w:rsidRPr="002C5245" w:rsidRDefault="00B3265B" w:rsidP="00925B7B">
      <w:pPr>
        <w:pStyle w:val="3"/>
        <w:numPr>
          <w:ilvl w:val="0"/>
          <w:numId w:val="41"/>
        </w:numPr>
        <w:tabs>
          <w:tab w:val="left" w:pos="1134"/>
        </w:tabs>
        <w:ind w:hanging="11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bookmarkStart w:id="12" w:name="_Toc137248535"/>
      <w:r w:rsidRPr="00925B7B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>модуль интеграции данных</w:t>
      </w:r>
      <w:r w:rsidRPr="002C5245"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:</w:t>
      </w:r>
      <w:bookmarkEnd w:id="12"/>
    </w:p>
    <w:p w:rsidR="00B3265B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Предназначен для загрузки данных </w:t>
      </w:r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из </w:t>
      </w:r>
      <w:proofErr w:type="gramStart"/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источников</w:t>
      </w:r>
      <w:proofErr w:type="gramEnd"/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данных </w:t>
      </w:r>
      <w:r w:rsidR="001865B7" w:rsidRP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в </w:t>
      </w:r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единое </w:t>
      </w:r>
      <w:r w:rsidR="001865B7" w:rsidRP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информационное хранилище </w:t>
      </w:r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и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их трансформации. В модуле должны б</w:t>
      </w:r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ыть реализованы функции: ведение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описания формата и структуры входных данных и выходных данных для анализа, контроль правил проверки входных данных на корректность, преобразование и консолидация данных в процессе загрузки данных в текущие модули, ведение системного журнала загрузки, мониторинг процесса загрузки.</w:t>
      </w:r>
    </w:p>
    <w:p w:rsidR="001865B7" w:rsidRPr="001865B7" w:rsidRDefault="001865B7" w:rsidP="001865B7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</w:pP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 xml:space="preserve">На этапе проектирования </w:t>
      </w: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Сервиса</w:t>
      </w: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анализа обращений </w:t>
      </w: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>требуется провести уточнение списка данны</w:t>
      </w: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х,</w:t>
      </w: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 xml:space="preserve"> необходимы</w:t>
      </w: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х</w:t>
      </w:r>
      <w:r w:rsidRPr="001865B7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 xml:space="preserve"> для построения отчетности.</w:t>
      </w:r>
    </w:p>
    <w:p w:rsidR="00B3265B" w:rsidRPr="002C5245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Проверка входных данных на корректность должна включать следующие стандартные правила: первичный ключ и уникальность, обязательное заполнение атрибута, ссылочная целостность, вхождение в диапазонный и списочный домены, длина значения, соответствие типу данных.</w:t>
      </w:r>
      <w:proofErr w:type="gramEnd"/>
    </w:p>
    <w:p w:rsidR="00B3265B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</w:pPr>
      <w:r w:rsidRPr="00B3265B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На этапе технического проектирования необходима разработка решения по обеспечению требуемого уровня качества данных на входе и выходе. </w:t>
      </w:r>
      <w:r w:rsidRPr="00B3265B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>Регламент загрузки данных должен быть разработан на этапе технического проектирования и согласован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 xml:space="preserve"> с Заказчиком.</w:t>
      </w:r>
    </w:p>
    <w:p w:rsidR="001865B7" w:rsidRDefault="001865B7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</w:pPr>
    </w:p>
    <w:p w:rsidR="004067B5" w:rsidRPr="004067B5" w:rsidRDefault="004067B5" w:rsidP="004067B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В рамках работы модуля д</w:t>
      </w:r>
      <w:proofErr w:type="spellStart"/>
      <w:r w:rsidRPr="004067B5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олжна</w:t>
      </w:r>
      <w:proofErr w:type="spellEnd"/>
      <w:r w:rsidRPr="004067B5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быть обеспечена</w:t>
      </w:r>
      <w:r w:rsidRPr="004067B5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загрузка следующих данных: </w:t>
      </w:r>
    </w:p>
    <w:p w:rsidR="004067B5" w:rsidRDefault="004067B5" w:rsidP="004067B5">
      <w:pPr>
        <w:numPr>
          <w:ilvl w:val="0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A022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детальные данные по обращениям граждан и организаций, зарегистрированным в САДД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4067B5" w:rsidRPr="002C5245" w:rsidRDefault="004067B5" w:rsidP="004067B5">
      <w:pPr>
        <w:spacing w:after="12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067B5" w:rsidRPr="002C5245" w:rsidRDefault="004067B5" w:rsidP="004067B5">
      <w:pPr>
        <w:numPr>
          <w:ilvl w:val="1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Данные о заявителе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ФИО, </w:t>
      </w:r>
      <w:r w:rsidRPr="002C524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e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Pr="002C524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mail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адрес </w:t>
      </w:r>
      <w:r w:rsidR="007766B9">
        <w:rPr>
          <w:rFonts w:ascii="Times New Roman" w:eastAsia="Calibri" w:hAnsi="Times New Roman" w:cs="Times New Roman"/>
          <w:sz w:val="28"/>
          <w:szCs w:val="28"/>
          <w:lang w:eastAsia="ru-RU"/>
        </w:rPr>
        <w:t>заявителя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категория заявителя (пенсионер, инвалид, многодетная семья, дети-сироты и пр.), кратность обращения; </w:t>
      </w:r>
      <w:proofErr w:type="spellStart"/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многопишущий</w:t>
      </w:r>
      <w:proofErr w:type="spellEnd"/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/не </w:t>
      </w:r>
      <w:proofErr w:type="spellStart"/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многопишущий</w:t>
      </w:r>
      <w:proofErr w:type="spellEnd"/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; является представителем организации или не является; в случае подачи обращения через СООГ информация: авторизован с помощью ЕСИА или путем самостоятельной регистрации на сайте.</w:t>
      </w:r>
    </w:p>
    <w:p w:rsidR="004067B5" w:rsidRPr="007766B9" w:rsidRDefault="004067B5" w:rsidP="004067B5">
      <w:pPr>
        <w:numPr>
          <w:ilvl w:val="1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  <w:proofErr w:type="gramStart"/>
      <w:r w:rsidRPr="002C524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Общая информация об обращении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№, дата, картотека регистрации, </w:t>
      </w:r>
      <w:r w:rsid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канал поступления обращения, 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кому адресован, </w:t>
      </w:r>
      <w:r w:rsidR="0064445F">
        <w:rPr>
          <w:rFonts w:ascii="Times New Roman" w:eastAsia="Calibri" w:hAnsi="Times New Roman" w:cs="Times New Roman"/>
          <w:sz w:val="28"/>
          <w:szCs w:val="28"/>
          <w:lang w:eastAsia="ru-RU"/>
        </w:rPr>
        <w:t>объект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64445F">
        <w:rPr>
          <w:rFonts w:ascii="Times New Roman" w:eastAsia="Calibri" w:hAnsi="Times New Roman" w:cs="Times New Roman"/>
          <w:sz w:val="28"/>
          <w:szCs w:val="28"/>
          <w:lang w:eastAsia="ru-RU"/>
        </w:rPr>
        <w:t>вопроса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коллективное/не коллективное; количество подписей (в случае выбора коллективное); </w:t>
      </w:r>
      <w:r w:rsidR="000151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дублирующее/ не дублирующее; 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повторное / не повторное; в случае обращения к депутату определяется: учитывает заявитель территориальную принадлежнос</w:t>
      </w:r>
      <w:r w:rsidR="007766B9">
        <w:rPr>
          <w:rFonts w:ascii="Times New Roman" w:eastAsia="Calibri" w:hAnsi="Times New Roman" w:cs="Times New Roman"/>
          <w:sz w:val="28"/>
          <w:szCs w:val="28"/>
          <w:lang w:eastAsia="ru-RU"/>
        </w:rPr>
        <w:t>ть или нет); краткое содержание.</w:t>
      </w:r>
      <w:proofErr w:type="gramEnd"/>
      <w:r w:rsid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203C8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="007766B9" w:rsidRPr="007766B9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Примеры детализации:</w:t>
      </w:r>
    </w:p>
    <w:p w:rsidR="007766B9" w:rsidRDefault="007766B9" w:rsidP="007766B9">
      <w:pPr>
        <w:numPr>
          <w:ilvl w:val="2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картотека</w:t>
      </w:r>
      <w:r w:rsidRP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регистрации обращения 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r w:rsidRPr="007766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картотеки Управления по работе с обращениями граждан, Управления документационного обеспечения, картотеки аппаратов комитетов и комиссий, картотеки депутатов Государственной Думы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:rsidR="007766B9" w:rsidRPr="007766B9" w:rsidRDefault="007766B9" w:rsidP="007766B9">
      <w:pPr>
        <w:numPr>
          <w:ilvl w:val="2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канал поступления обращения 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СООГ, лично, по почте, МЭДО, передано через региональную приемную депутата, передано депутату на личном приеме и пр.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4067B5" w:rsidRDefault="004067B5" w:rsidP="004067B5">
      <w:pPr>
        <w:numPr>
          <w:ilvl w:val="1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gramStart"/>
      <w:r w:rsidRPr="002C524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Тематическая характеристика обращения: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тип обращения (предложение/заявление/жалоба</w:t>
      </w:r>
      <w:r w:rsidR="00015159">
        <w:rPr>
          <w:rFonts w:ascii="Times New Roman" w:eastAsia="Calibri" w:hAnsi="Times New Roman" w:cs="Times New Roman"/>
          <w:sz w:val="28"/>
          <w:szCs w:val="28"/>
          <w:lang w:eastAsia="ru-RU"/>
        </w:rPr>
        <w:t>/благодарность/без сути</w:t>
      </w:r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>), тематика обращения; касающееся законопроектной деятельности / не касающееся; номер законопроекта и отношение к законопроекту (в случае, если обращение касается законопроекта); относится к ведению Государственной Думы / не относится; уровень решения вопроса (федеральный/региональный/местный); наличие или отсутствие ответов по данному вопросу от иных органов, в которые ранее заявитель направлял обращения;</w:t>
      </w:r>
      <w:proofErr w:type="gramEnd"/>
      <w:r w:rsidRPr="002C52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 выборе комитета учитывается, относится ли законопроект и/или вопрос к ведению того комитета и/или комиссии, который выбрал заявитель.</w:t>
      </w:r>
      <w:r w:rsidR="00C203C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203C8" w:rsidRPr="00C203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Примеры детализации</w:t>
      </w:r>
      <w:r w:rsidR="00C203C8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C203C8" w:rsidRDefault="00C203C8" w:rsidP="00C203C8">
      <w:pPr>
        <w:numPr>
          <w:ilvl w:val="2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тип обращения:</w:t>
      </w:r>
    </w:p>
    <w:p w:rsidR="00C203C8" w:rsidRPr="002C5245" w:rsidRDefault="00C203C8" w:rsidP="00C203C8">
      <w:pPr>
        <w:numPr>
          <w:ilvl w:val="1"/>
          <w:numId w:val="20"/>
        </w:numPr>
        <w:spacing w:after="0" w:line="240" w:lineRule="auto"/>
        <w:ind w:left="2552" w:hanging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Предложение: в федеральное законодательство, в подзаконные акты, региональное законодательство, предложение, не касающееся законотворческой деятельности.</w:t>
      </w:r>
    </w:p>
    <w:p w:rsidR="00C203C8" w:rsidRPr="002C5245" w:rsidRDefault="00C203C8" w:rsidP="00C203C8">
      <w:pPr>
        <w:numPr>
          <w:ilvl w:val="1"/>
          <w:numId w:val="20"/>
        </w:numPr>
        <w:spacing w:after="0" w:line="240" w:lineRule="auto"/>
        <w:ind w:left="2552" w:hanging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Жалобы: на депутатов Государственной Думы (действие, бездействие), на деятельность Государственной Думы / Аппарата Государственной Думы, на деятельность ФГО, региональных органов власти, органов МСУ, юридических лиц, физических лиц (действие / бездействие).</w:t>
      </w:r>
    </w:p>
    <w:p w:rsidR="00C203C8" w:rsidRDefault="00C203C8" w:rsidP="00C203C8">
      <w:pPr>
        <w:numPr>
          <w:ilvl w:val="1"/>
          <w:numId w:val="20"/>
        </w:numPr>
        <w:spacing w:after="0" w:line="240" w:lineRule="auto"/>
        <w:ind w:left="2552" w:hanging="425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Не обращение: маркировка поступающих сообщений по содержанию не относящихся к обращениям. </w:t>
      </w:r>
    </w:p>
    <w:p w:rsidR="00C203C8" w:rsidRPr="00C203C8" w:rsidRDefault="00C203C8" w:rsidP="00C203C8">
      <w:pPr>
        <w:numPr>
          <w:ilvl w:val="2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Тематика – законопроектная</w:t>
      </w:r>
      <w:r w:rsidRPr="00C203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деятельность 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>(необходима информация с целью сопоставления данных об активности заявителей по отправке обращений в связи с внесением или рассмотрением законопроекта)</w:t>
      </w:r>
      <w:r w:rsidRPr="00C203C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:</w:t>
      </w:r>
    </w:p>
    <w:p w:rsidR="00C203C8" w:rsidRPr="00C203C8" w:rsidRDefault="00C203C8" w:rsidP="00C203C8">
      <w:pPr>
        <w:numPr>
          <w:ilvl w:val="3"/>
          <w:numId w:val="20"/>
        </w:numPr>
        <w:spacing w:after="0" w:line="240" w:lineRule="auto"/>
        <w:ind w:left="2552" w:hanging="425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регистрационный номер законопроекта;</w:t>
      </w:r>
    </w:p>
    <w:p w:rsidR="00C203C8" w:rsidRPr="00C203C8" w:rsidRDefault="00C203C8" w:rsidP="00C203C8">
      <w:pPr>
        <w:numPr>
          <w:ilvl w:val="3"/>
          <w:numId w:val="20"/>
        </w:numPr>
        <w:spacing w:after="0" w:line="240" w:lineRule="auto"/>
        <w:ind w:left="2552" w:hanging="425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статус законопроекта 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(на рассмотрении/ в архиве </w:t>
      </w:r>
      <w:proofErr w:type="gramStart"/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>принят/ в архиве отклонен</w:t>
      </w:r>
      <w:proofErr w:type="gramEnd"/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>/ в архиве снят с рассмотрения)</w:t>
      </w: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;</w:t>
      </w:r>
    </w:p>
    <w:p w:rsidR="00C203C8" w:rsidRPr="00C203C8" w:rsidRDefault="00C203C8" w:rsidP="00C203C8">
      <w:pPr>
        <w:numPr>
          <w:ilvl w:val="3"/>
          <w:numId w:val="20"/>
        </w:numPr>
        <w:spacing w:after="0" w:line="240" w:lineRule="auto"/>
        <w:ind w:left="2552" w:hanging="425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номер созыва, в котором законопроект внесен;</w:t>
      </w:r>
    </w:p>
    <w:p w:rsidR="00C203C8" w:rsidRPr="00C203C8" w:rsidRDefault="00C203C8" w:rsidP="00C203C8">
      <w:pPr>
        <w:numPr>
          <w:ilvl w:val="3"/>
          <w:numId w:val="20"/>
        </w:numPr>
        <w:spacing w:after="0" w:line="240" w:lineRule="auto"/>
        <w:ind w:left="2552" w:hanging="425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отрасль законодательства 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(в соответствии с отраслями, предусмотренными в СОЗД), </w:t>
      </w: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субъект права законодательной инициативы, профильный / </w:t>
      </w: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 xml:space="preserve">ответственный комитет, предмет ведения (РФ, совместное ведение), сроки предоставления отзывов и поправок 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(необходимо учитывать, чтобы оперативно реагировать на отклик людей в связи с готовящимися к рассмотрению в 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 w:eastAsia="ru-RU"/>
        </w:rPr>
        <w:t>I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, 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 w:eastAsia="ru-RU"/>
        </w:rPr>
        <w:t>II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, 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 w:eastAsia="ru-RU"/>
        </w:rPr>
        <w:t>III</w:t>
      </w:r>
      <w:r w:rsidRPr="00C203C8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  <w:t xml:space="preserve"> чтениях законопроектами)</w:t>
      </w:r>
      <w:r w:rsidRPr="00C203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C203C8" w:rsidRDefault="00C203C8" w:rsidP="00C203C8">
      <w:p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766B9" w:rsidRPr="002C5245" w:rsidRDefault="007766B9" w:rsidP="007766B9">
      <w:pPr>
        <w:spacing w:after="12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067B5" w:rsidRDefault="004067B5" w:rsidP="004067B5">
      <w:pPr>
        <w:numPr>
          <w:ilvl w:val="0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A022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детальные данные по результатам рассмотрения обращений граждан и</w:t>
      </w:r>
      <w:r w:rsidR="0001515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организаций, зарегистрированных</w:t>
      </w:r>
      <w:r w:rsidRPr="007A022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 САДД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502633" w:rsidRPr="00502633" w:rsidRDefault="00502633" w:rsidP="00502633">
      <w:pPr>
        <w:spacing w:before="240" w:after="120" w:line="240" w:lineRule="auto"/>
        <w:ind w:left="709" w:firstLine="425"/>
        <w:contextualSpacing/>
        <w:jc w:val="both"/>
        <w:rPr>
          <w:rFonts w:ascii="Times New Roman" w:eastAsia="Calibri" w:hAnsi="Times New Roman" w:cs="Times New Roman"/>
          <w:sz w:val="16"/>
          <w:szCs w:val="28"/>
          <w:lang w:eastAsia="ru-RU"/>
        </w:rPr>
      </w:pPr>
    </w:p>
    <w:p w:rsidR="00015159" w:rsidRDefault="00015159" w:rsidP="00502633">
      <w:pPr>
        <w:spacing w:before="240" w:after="120" w:line="240" w:lineRule="auto"/>
        <w:ind w:left="709" w:firstLine="425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целях мониторинга объемов поступ</w:t>
      </w:r>
      <w:r w:rsidR="00502633">
        <w:rPr>
          <w:rFonts w:ascii="Times New Roman" w:eastAsia="Calibri" w:hAnsi="Times New Roman" w:cs="Times New Roman"/>
          <w:sz w:val="28"/>
          <w:szCs w:val="28"/>
          <w:lang w:eastAsia="ru-RU"/>
        </w:rPr>
        <w:t>ающих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обращений по адресатам, оценки нагрузки сотрудников, рассматривающих обращения, обеспечения контроля регламентных сроков</w:t>
      </w:r>
      <w:r w:rsidR="0050263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обработки и рассмотрения обращений в соответствии с требованиями законодательства, исполнения поручений по ним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502633">
        <w:rPr>
          <w:rFonts w:ascii="Times New Roman" w:eastAsia="Calibri" w:hAnsi="Times New Roman" w:cs="Times New Roman"/>
          <w:sz w:val="28"/>
          <w:szCs w:val="28"/>
          <w:lang w:eastAsia="ru-RU"/>
        </w:rPr>
        <w:t>необходима разработка информационной панели для формирования отчетов по этапам «жизненного цикла» процесса рассмотрения обращения.</w:t>
      </w:r>
    </w:p>
    <w:p w:rsidR="007766B9" w:rsidRDefault="007766B9" w:rsidP="00502633">
      <w:pPr>
        <w:spacing w:before="240" w:after="120" w:line="240" w:lineRule="auto"/>
        <w:ind w:left="709" w:firstLine="425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766B9" w:rsidRDefault="007766B9" w:rsidP="007766B9">
      <w:pPr>
        <w:spacing w:after="120" w:line="240" w:lineRule="auto"/>
        <w:ind w:left="709" w:firstLine="425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Перечень и объем данных определяется на этапе технического проектирования после реализации в САДД обязательного протокола работы с регистрационной карточкой обращения и ответа на него (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подготовлен ответ/ не подготовлен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; нарушен срок/ не нарушен; фактический срок рассмотрения обращения; количество не рассмотренных обращений исполнителем; наличие запроса (да/нет); наличие предварительного ответа (да/нет); исполнитель (с учетом иерархии поручений); своевременное исполнение поручения (да/нет). </w:t>
      </w:r>
    </w:p>
    <w:p w:rsidR="00502633" w:rsidRDefault="00502633" w:rsidP="00015159">
      <w:pPr>
        <w:spacing w:after="120" w:line="240" w:lineRule="auto"/>
        <w:ind w:left="709" w:firstLine="425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766B9" w:rsidRPr="00F27953" w:rsidRDefault="007766B9" w:rsidP="007766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Пример данных (по статусам рассмотрения обращения)</w:t>
      </w:r>
      <w:r w:rsidRPr="00F2795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7766B9" w:rsidRDefault="007766B9" w:rsidP="007766B9">
      <w:pPr>
        <w:pStyle w:val="a3"/>
        <w:ind w:left="144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766B9" w:rsidRPr="007766B9" w:rsidRDefault="007766B9" w:rsidP="007766B9">
      <w:pPr>
        <w:pStyle w:val="a3"/>
        <w:numPr>
          <w:ilvl w:val="1"/>
          <w:numId w:val="20"/>
        </w:num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Статус рассмотрения обращений (находится на рассмотрении 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(предусмотреть детализацию до уровня: срок </w:t>
      </w:r>
      <w:proofErr w:type="gramStart"/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истек</w:t>
      </w:r>
      <w:proofErr w:type="gramEnd"/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/ не истек)</w:t>
      </w:r>
      <w:r w:rsidRP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; находится на рассмотрении 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(предусмотреть детализацию: на рассмотрении у адресата / направлен на рассмотрению в иное структурное подразделение / во фракцию/ депутату)</w:t>
      </w:r>
      <w:r w:rsidRP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; рассмотрение продлено 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(заявитель уведомлен / не уведомлен)</w:t>
      </w:r>
      <w:r w:rsidRP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; дан ответ автору 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(с нарушением срока / без нарушения срока)</w:t>
      </w:r>
      <w:r w:rsidRP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; направлено по компетенции </w:t>
      </w:r>
      <w:r w:rsidRPr="007766B9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(в рамках запроса информации с дальнейшим направлением ответа заявителю / направление по компетенции с контролем с уведомлением Государственной Думы / направление по компетенции с просьбой ответить заявителю без уведомления Государственной Думы)</w:t>
      </w:r>
      <w:r w:rsidRPr="007766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502633" w:rsidRPr="007A022C" w:rsidRDefault="00502633" w:rsidP="00502633">
      <w:pPr>
        <w:spacing w:after="12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067B5" w:rsidRDefault="004067B5" w:rsidP="004067B5">
      <w:pPr>
        <w:numPr>
          <w:ilvl w:val="0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B30D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данные о регистрациях пользователей и организаций </w:t>
      </w:r>
      <w:r w:rsidR="000B678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в целях </w:t>
      </w:r>
      <w:r w:rsidRPr="004B30D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формирования статистической отчетности по посетителям Приемной Государственной Думы, для формирования статистической отчетности по активности пользователей сайта Приемной Государственной Думы (СООГ)</w:t>
      </w:r>
      <w:r w:rsidR="000B6781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0B6781" w:rsidRDefault="000C68EB" w:rsidP="000B6781">
      <w:pPr>
        <w:numPr>
          <w:ilvl w:val="1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показатели активности граждан, направивши</w:t>
      </w:r>
      <w:r w:rsidR="00DF3003" w:rsidRPr="00DF3003">
        <w:rPr>
          <w:rFonts w:ascii="Times New Roman" w:eastAsia="Calibri" w:hAnsi="Times New Roman" w:cs="Times New Roman"/>
          <w:color w:val="FF0000"/>
          <w:sz w:val="28"/>
          <w:szCs w:val="28"/>
          <w:lang w:eastAsia="ru-RU"/>
        </w:rPr>
        <w:t>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обращения через СООГ (порядок направления обращения: с созданием личного кабинета, без создания личного кабинета, с авторизацией посредством ЕСИА; активность пользователей: количество сессий за день, обращения в техническую поддержку, количество граждан, сформировавших обращение, но не подтвердивших отправку по электронной почте; количество записей на приемы фракций в Государственной Думе и пр.);</w:t>
      </w:r>
      <w:proofErr w:type="gramEnd"/>
    </w:p>
    <w:p w:rsidR="000C68EB" w:rsidRDefault="000C68EB" w:rsidP="000B6781">
      <w:pPr>
        <w:numPr>
          <w:ilvl w:val="1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показатели активности сотрудников на СООГ (количество созданных записей личного приема, количество заведенных карточек приема фракциями, нагрузка на сотрудника и пр.);</w:t>
      </w:r>
    </w:p>
    <w:p w:rsidR="000C68EB" w:rsidRDefault="000C68EB" w:rsidP="000B6781">
      <w:pPr>
        <w:numPr>
          <w:ilvl w:val="1"/>
          <w:numId w:val="20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показатели, собираемые установленной в Приемной Государственной Думы системы электронной очереди (количество посетителей за отчетный период, цель посещения, результат посещения, время ожидания в очереди).</w:t>
      </w:r>
    </w:p>
    <w:p w:rsidR="000B6781" w:rsidRDefault="000B6781" w:rsidP="000B6781">
      <w:pPr>
        <w:spacing w:after="12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067B5" w:rsidRPr="004B30DB" w:rsidRDefault="004067B5" w:rsidP="004067B5">
      <w:pPr>
        <w:numPr>
          <w:ilvl w:val="0"/>
          <w:numId w:val="20"/>
        </w:numPr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B30D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данные о</w:t>
      </w:r>
      <w:r w:rsidRPr="004B30DB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 xml:space="preserve"> гражданах, обращающихся в Справочную службу, включая характеристику заявителей и характер поступающих звонков</w:t>
      </w:r>
      <w:r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>:</w:t>
      </w:r>
    </w:p>
    <w:p w:rsidR="004067B5" w:rsidRPr="004B30DB" w:rsidRDefault="004067B5" w:rsidP="004067B5">
      <w:pPr>
        <w:numPr>
          <w:ilvl w:val="1"/>
          <w:numId w:val="20"/>
        </w:numPr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перечень и объем данных определяется на этапе технического проектирования после внедрения программного обеспечения</w:t>
      </w:r>
      <w:r w:rsidR="000B678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повышения эффективности работы Справочной службы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позволяющего: </w:t>
      </w:r>
    </w:p>
    <w:p w:rsidR="004067B5" w:rsidRPr="004B30DB" w:rsidRDefault="004067B5" w:rsidP="004067B5">
      <w:pPr>
        <w:numPr>
          <w:ilvl w:val="2"/>
          <w:numId w:val="20"/>
        </w:numPr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идентифицировать гражданина, обратившегося в Справочную службу;</w:t>
      </w:r>
    </w:p>
    <w:p w:rsidR="004067B5" w:rsidRPr="004B30DB" w:rsidRDefault="004067B5" w:rsidP="004067B5">
      <w:pPr>
        <w:numPr>
          <w:ilvl w:val="2"/>
          <w:numId w:val="20"/>
        </w:numPr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сохранить и отображать историю его звонков;</w:t>
      </w:r>
    </w:p>
    <w:p w:rsidR="004067B5" w:rsidRPr="004B30DB" w:rsidRDefault="004067B5" w:rsidP="004067B5">
      <w:pPr>
        <w:numPr>
          <w:ilvl w:val="2"/>
          <w:numId w:val="20"/>
        </w:numPr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вести историю комментариев о гражданине и тематике его прежних обращений;</w:t>
      </w:r>
    </w:p>
    <w:p w:rsidR="004067B5" w:rsidRPr="004B30DB" w:rsidRDefault="004067B5" w:rsidP="004067B5">
      <w:pPr>
        <w:pStyle w:val="a3"/>
        <w:numPr>
          <w:ilvl w:val="2"/>
          <w:numId w:val="20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B30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определять тональность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речи</w:t>
      </w:r>
      <w:r w:rsidRPr="004B30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оперативного реагирования на особо критичные 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бращения.</w:t>
      </w:r>
    </w:p>
    <w:p w:rsidR="004067B5" w:rsidRPr="004067B5" w:rsidRDefault="004067B5" w:rsidP="004067B5">
      <w:pPr>
        <w:tabs>
          <w:tab w:val="num" w:pos="0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:rsidR="00B3265B" w:rsidRPr="002C5245" w:rsidRDefault="00B3265B" w:rsidP="00925B7B">
      <w:pPr>
        <w:pStyle w:val="3"/>
        <w:numPr>
          <w:ilvl w:val="0"/>
          <w:numId w:val="42"/>
        </w:numPr>
        <w:tabs>
          <w:tab w:val="left" w:pos="1134"/>
        </w:tabs>
        <w:ind w:left="709" w:firstLine="0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bookmarkStart w:id="13" w:name="_Toc137248536"/>
      <w:r w:rsidRPr="00925B7B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>модуль буферной области данных (БОД)</w:t>
      </w:r>
      <w:r w:rsidRPr="002C5245"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:</w:t>
      </w:r>
      <w:bookmarkEnd w:id="13"/>
    </w:p>
    <w:p w:rsidR="00B3265B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должен осуществлять извлечение данных, а также производить первичную обработку загруженных данных.</w:t>
      </w:r>
    </w:p>
    <w:p w:rsidR="00DB3299" w:rsidRPr="002C5245" w:rsidRDefault="00DB3299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:rsidR="00B3265B" w:rsidRPr="002C5245" w:rsidRDefault="00B3265B" w:rsidP="00925B7B">
      <w:pPr>
        <w:pStyle w:val="3"/>
        <w:numPr>
          <w:ilvl w:val="0"/>
          <w:numId w:val="43"/>
        </w:numPr>
        <w:tabs>
          <w:tab w:val="left" w:pos="1134"/>
        </w:tabs>
        <w:ind w:hanging="11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bookmarkStart w:id="14" w:name="_Toc137248537"/>
      <w:r w:rsidRPr="00925B7B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модуль центрального хранилища данных (ЦХД)</w:t>
      </w:r>
      <w:r w:rsidRPr="002C5245"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:</w:t>
      </w:r>
      <w:bookmarkEnd w:id="14"/>
    </w:p>
    <w:p w:rsidR="001865B7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предназначен для хранения всех накопленных исторических данных, включая данные перенесенные в архив. </w:t>
      </w:r>
      <w:proofErr w:type="gramEnd"/>
    </w:p>
    <w:p w:rsidR="00B3265B" w:rsidRPr="002C5245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1865B7">
        <w:rPr>
          <w:rFonts w:ascii="Times New Roman" w:eastAsia="Calibri" w:hAnsi="Times New Roman" w:cs="Times New Roman"/>
          <w:bCs/>
          <w:iCs/>
          <w:color w:val="FF0000"/>
          <w:sz w:val="28"/>
          <w:szCs w:val="28"/>
          <w:lang w:eastAsia="ru-RU"/>
        </w:rPr>
        <w:t>Срок хранения данных в ЦХД – 10 лет.</w:t>
      </w:r>
    </w:p>
    <w:p w:rsidR="00B3265B" w:rsidRPr="002C5245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Для эффективного управления историческими данными при создании ЦХД требуется использовать секционирование (разбиение больших таблиц на несколько мелких секций с последующей индексацией данных). Необходимо проработать вопрос экономного использования устройств постоянного хранения информации. При проектировании структур данных ЦХД следует во всех возможных случаях использовать третью нормальную форму реляционного представления данных. </w:t>
      </w:r>
    </w:p>
    <w:p w:rsidR="00B3265B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  <w:t xml:space="preserve">Модуль ЦХД должен содержать данные с актуальностью за прошедший день. </w:t>
      </w:r>
    </w:p>
    <w:p w:rsidR="00DB3299" w:rsidRPr="002C5245" w:rsidRDefault="00DB3299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x-none" w:eastAsia="ru-RU"/>
        </w:rPr>
      </w:pPr>
    </w:p>
    <w:p w:rsidR="00B3265B" w:rsidRPr="002C5245" w:rsidRDefault="00B3265B" w:rsidP="00B3265B">
      <w:pPr>
        <w:numPr>
          <w:ilvl w:val="1"/>
          <w:numId w:val="23"/>
        </w:numPr>
        <w:tabs>
          <w:tab w:val="num" w:pos="0"/>
          <w:tab w:val="left" w:pos="567"/>
          <w:tab w:val="left" w:pos="1134"/>
        </w:tabs>
        <w:spacing w:after="0" w:line="240" w:lineRule="auto"/>
        <w:ind w:left="709" w:firstLine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модуль реляционных витрин данных (РВД)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:</w:t>
      </w:r>
    </w:p>
    <w:p w:rsidR="00B3265B" w:rsidRPr="007A022C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Предназначен</w:t>
      </w:r>
      <w:proofErr w:type="gramEnd"/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для создания собственно тематических подборок данных (витрин данных) для обеспечения требуемой скорости формирования отчетов. В модуле должны </w:t>
      </w:r>
      <w:r w:rsidRPr="007A022C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формироваться витрины данных, используемые в качестве источников данных для статистической отчетности в от</w:t>
      </w:r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крытой и закрытой частях Сервиса анализа обращений</w:t>
      </w:r>
      <w:r w:rsidRPr="007A022C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, а также для аналитической и картографической отчетности в закрытой части </w:t>
      </w:r>
      <w:r w:rsidR="001865B7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Сервиса анализа обращений</w:t>
      </w:r>
      <w:r w:rsidRPr="007A022C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.</w:t>
      </w:r>
    </w:p>
    <w:p w:rsidR="00B3265B" w:rsidRPr="002C5245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Модуль должен обеспечивать предварительный расчет сводных и аналитических показателей, используемых в отчетах, а также обеспечивать возможность расширения путем создания новых тематических витрин данных.</w:t>
      </w:r>
    </w:p>
    <w:p w:rsidR="00B3265B" w:rsidRDefault="00B3265B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Для управления жизненным циклом данных </w:t>
      </w:r>
      <w:r w:rsidRPr="001865B7">
        <w:rPr>
          <w:rFonts w:ascii="Times New Roman" w:eastAsia="Calibri" w:hAnsi="Times New Roman" w:cs="Times New Roman"/>
          <w:bCs/>
          <w:i/>
          <w:iCs/>
          <w:sz w:val="28"/>
          <w:szCs w:val="28"/>
          <w:lang w:eastAsia="ru-RU"/>
        </w:rPr>
        <w:t>(по мере уменьшения актуальности данных)</w:t>
      </w: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должен быть разработан регламент административных действий, а также инструкции для администратора системы. </w:t>
      </w:r>
    </w:p>
    <w:p w:rsidR="00DB3299" w:rsidRDefault="00DB3299" w:rsidP="00B3265B">
      <w:pPr>
        <w:tabs>
          <w:tab w:val="num" w:pos="0"/>
          <w:tab w:val="left" w:pos="567"/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:rsidR="00B3265B" w:rsidRPr="00C129A4" w:rsidRDefault="00B3265B" w:rsidP="00925B7B">
      <w:pPr>
        <w:pStyle w:val="2"/>
        <w:numPr>
          <w:ilvl w:val="0"/>
          <w:numId w:val="45"/>
        </w:numPr>
        <w:ind w:hanging="720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bookmarkStart w:id="15" w:name="_Toc137248538"/>
      <w:r w:rsidRPr="00925B7B">
        <w:rPr>
          <w:rFonts w:ascii="Times New Roman" w:eastAsia="Calibri" w:hAnsi="Times New Roman" w:cs="Times New Roman"/>
          <w:b/>
          <w:bCs/>
          <w:iCs/>
          <w:color w:val="auto"/>
          <w:sz w:val="28"/>
          <w:szCs w:val="28"/>
          <w:lang w:eastAsia="ru-RU"/>
        </w:rPr>
        <w:t>Комплекс администрирования</w:t>
      </w:r>
      <w:r w:rsidRPr="00C129A4"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:</w:t>
      </w:r>
      <w:bookmarkEnd w:id="15"/>
    </w:p>
    <w:p w:rsidR="00B3265B" w:rsidRPr="002C5245" w:rsidRDefault="00B3265B" w:rsidP="00B3265B">
      <w:pPr>
        <w:numPr>
          <w:ilvl w:val="1"/>
          <w:numId w:val="25"/>
        </w:numPr>
        <w:tabs>
          <w:tab w:val="num" w:pos="0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модуль «АРМ администрирования»;</w:t>
      </w:r>
    </w:p>
    <w:p w:rsidR="00B3265B" w:rsidRPr="002C5245" w:rsidRDefault="00B3265B" w:rsidP="00B3265B">
      <w:pPr>
        <w:numPr>
          <w:ilvl w:val="1"/>
          <w:numId w:val="25"/>
        </w:numPr>
        <w:tabs>
          <w:tab w:val="num" w:pos="0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2C5245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модуль резервного копирования и восстановления.</w:t>
      </w:r>
    </w:p>
    <w:p w:rsidR="00B3265B" w:rsidRDefault="00B3265B"/>
    <w:p w:rsidR="00F27953" w:rsidRDefault="00F27953" w:rsidP="00925B7B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6" w:name="_Toc137248539"/>
      <w:r w:rsidRPr="00925B7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Иные требования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bookmarkEnd w:id="16"/>
    </w:p>
    <w:p w:rsidR="00F27953" w:rsidRDefault="00F27953" w:rsidP="000C68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68EB" w:rsidRDefault="000C68EB" w:rsidP="000C68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Сервисе анализа обращений </w:t>
      </w:r>
      <w:r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должны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вестись</w:t>
      </w:r>
      <w:r w:rsidRPr="000C68EB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 справочники</w:t>
      </w:r>
    </w:p>
    <w:p w:rsidR="000C68EB" w:rsidRPr="000C68EB" w:rsidRDefault="000C68EB" w:rsidP="000C68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0C68EB" w:rsidRPr="000C68EB" w:rsidRDefault="000C68EB" w:rsidP="000C68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0C68E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Сервисе должна </w:t>
      </w:r>
      <w:r w:rsidRPr="000C68E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быть реализована поддержка версионности справочников. </w:t>
      </w:r>
    </w:p>
    <w:p w:rsidR="000C68EB" w:rsidRPr="000C68EB" w:rsidRDefault="000C68EB" w:rsidP="000C68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0C68E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lastRenderedPageBreak/>
        <w:t xml:space="preserve">Хранение данных должно быть реализовано с учетом истории. Требуется сохранять и отображать все исторические изменения состояния данных для исторических справочников. </w:t>
      </w:r>
    </w:p>
    <w:p w:rsidR="000C68EB" w:rsidRPr="000C68EB" w:rsidRDefault="000C68EB" w:rsidP="000C68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0C68E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Перечни исторических и неисторических справочников должны быть уточнены на этапе технического проектирования.</w:t>
      </w:r>
    </w:p>
    <w:p w:rsidR="000C68EB" w:rsidRPr="000C68EB" w:rsidRDefault="000C68EB" w:rsidP="000C68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0C68E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Возможность просмотра данных должн</w:t>
      </w:r>
      <w:r w:rsidRPr="000C68EB">
        <w:rPr>
          <w:rFonts w:ascii="Times New Roman" w:eastAsia="Times New Roman" w:hAnsi="Times New Roman" w:cs="Times New Roman"/>
          <w:sz w:val="28"/>
          <w:szCs w:val="28"/>
          <w:lang w:eastAsia="ru-RU"/>
        </w:rPr>
        <w:t>а быть обеспечена</w:t>
      </w:r>
      <w:r w:rsidRPr="000C68E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как с учетом произошедших исторических изменений на определенный период времени, так и на последнее актуальное состояние справочной информации.</w:t>
      </w:r>
    </w:p>
    <w:p w:rsidR="00C129A4" w:rsidRDefault="00C129A4" w:rsidP="000C68EB">
      <w:pPr>
        <w:ind w:firstLine="709"/>
        <w:rPr>
          <w:lang w:val="x-none"/>
        </w:rPr>
      </w:pPr>
    </w:p>
    <w:p w:rsidR="00F27953" w:rsidRPr="00F27953" w:rsidRDefault="00F27953" w:rsidP="00F279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274304486"/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настройке семантического слоя</w:t>
      </w:r>
      <w:bookmarkEnd w:id="17"/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27953" w:rsidRPr="00F27953" w:rsidRDefault="00F27953" w:rsidP="00F279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слой представляет собой н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абор «узнаваемых» пользователем объектов и их атрибутов, представленных в виде каталогов и необходимых для построения отчетности. 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определением «узнаваемый» подразумеваются объекты, которыми оперируют пользователь в виде терминов в повседневной работе и которые характерны для конкретной предметной области.</w:t>
      </w:r>
    </w:p>
    <w:p w:rsid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семантического слоя ускоряет процесс ознакомления с Сервисом и позволяет проектировщику отчетов, не затрачивая большого количества времени на детальное изучение модели данных и ее источников, быстро включиться в работу по написанию производительных отчетов.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Семантический слой должен быть настроен согласно следующим требованиям:</w:t>
      </w:r>
    </w:p>
    <w:p w:rsidR="00F27953" w:rsidRPr="00F27953" w:rsidRDefault="00F27953" w:rsidP="00F27953">
      <w:pPr>
        <w:numPr>
          <w:ilvl w:val="0"/>
          <w:numId w:val="32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eastAsia="ru-RU"/>
        </w:rPr>
        <w:t>объекты семантического слоя и их атрибуты должны иметь наименования на русском языке;</w:t>
      </w:r>
    </w:p>
    <w:p w:rsidR="00F27953" w:rsidRPr="00F27953" w:rsidRDefault="00F27953" w:rsidP="00F27953">
      <w:pPr>
        <w:numPr>
          <w:ilvl w:val="0"/>
          <w:numId w:val="32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eastAsia="ru-RU"/>
        </w:rPr>
        <w:t>семантический слой должен быть настроен на структуру витрин данных Сервиса.</w:t>
      </w:r>
    </w:p>
    <w:p w:rsidR="000C68EB" w:rsidRDefault="000C68EB" w:rsidP="00F27953"/>
    <w:p w:rsidR="00F27953" w:rsidRPr="00F27953" w:rsidRDefault="00F27953" w:rsidP="00F279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Ref272406453"/>
      <w:bookmarkStart w:id="19" w:name="_Ref272406462"/>
      <w:bookmarkStart w:id="20" w:name="_Ref272406486"/>
      <w:bookmarkStart w:id="21" w:name="_Toc274304487"/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предметным областям</w:t>
      </w:r>
      <w:bookmarkEnd w:id="18"/>
      <w:bookmarkEnd w:id="19"/>
      <w:bookmarkEnd w:id="20"/>
      <w:bookmarkEnd w:id="21"/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27953" w:rsidRPr="00F27953" w:rsidRDefault="00F27953" w:rsidP="00F279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Предметные области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доступные 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Сервисе,</w:t>
      </w: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должны содержать набор </w:t>
      </w:r>
      <w:r w:rsidRPr="00F27953">
        <w:rPr>
          <w:rFonts w:ascii="Times New Roman" w:eastAsia="Times New Roman" w:hAnsi="Times New Roman" w:cs="Times New Roman"/>
          <w:i/>
          <w:sz w:val="28"/>
          <w:szCs w:val="28"/>
          <w:lang w:val="x-none" w:eastAsia="ru-RU"/>
        </w:rPr>
        <w:t>измерений</w:t>
      </w: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 </w:t>
      </w:r>
      <w:r w:rsidRPr="00F27953">
        <w:rPr>
          <w:rFonts w:ascii="Times New Roman" w:eastAsia="Times New Roman" w:hAnsi="Times New Roman" w:cs="Times New Roman"/>
          <w:i/>
          <w:sz w:val="28"/>
          <w:szCs w:val="28"/>
          <w:lang w:val="x-none" w:eastAsia="ru-RU"/>
        </w:rPr>
        <w:t>показателей</w:t>
      </w:r>
      <w:r w:rsidRPr="00F279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достаточных для построения отчетов каждой предметной области.</w:t>
      </w:r>
    </w:p>
    <w:p w:rsid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2795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Примеры измерений: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>Измерение «Календарь»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Измерение «Календарь» должно содержать следующие атрибуты, доступные пользователю при построении отчетов.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482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7042"/>
      </w:tblGrid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Атрибуты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Созыв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Диапазон дат (период), настроенный под день начала </w:t>
            </w: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созыва Государственной Думы и день окончания созыва Государственной Думы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Год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 по григорианскому календарю.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Сессия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 дат (период), настроенный под день начала сессии (весенняя/осенняя) и день окончания сессии.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Квартал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Квартал по григорианскому календарю.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квартала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Квартал по григорианскому календарю, не привязанный к году. Например, I квартал, II квартал, III квартал, IV квартал.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Месяц по григорианскому календарю. Например, январь 2011 года.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месяца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Месяц по григорианскому календарю, не привязанный к кварталу и году. Например, январь, февраль, март, апрель и т.д.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по григорианскому календарю.</w:t>
            </w:r>
          </w:p>
        </w:tc>
      </w:tr>
      <w:tr w:rsidR="00F27953" w:rsidRPr="00F27953" w:rsidTr="00F5583A">
        <w:tc>
          <w:tcPr>
            <w:tcW w:w="1300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 рабочего дня</w:t>
            </w:r>
          </w:p>
        </w:tc>
        <w:tc>
          <w:tcPr>
            <w:tcW w:w="3700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Признак, определяющий рабочие дни.</w:t>
            </w:r>
          </w:p>
        </w:tc>
      </w:tr>
    </w:tbl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Атрибуты измерения «Календарь» должны образовывать иерархию, связывающую различные уровни детализации данных:</w:t>
      </w:r>
    </w:p>
    <w:p w:rsidR="00F27953" w:rsidRPr="00F27953" w:rsidRDefault="00F27953" w:rsidP="00F27953">
      <w:pPr>
        <w:numPr>
          <w:ilvl w:val="0"/>
          <w:numId w:val="33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eastAsia="ru-RU"/>
        </w:rPr>
        <w:t>Год. Верхний уровень иерархии. Год детализируется до кварталов;</w:t>
      </w:r>
    </w:p>
    <w:p w:rsidR="00F27953" w:rsidRPr="00F27953" w:rsidRDefault="00F27953" w:rsidP="00F27953">
      <w:pPr>
        <w:numPr>
          <w:ilvl w:val="0"/>
          <w:numId w:val="33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eastAsia="ru-RU"/>
        </w:rPr>
        <w:t>Квартал детализируется до месяцев;</w:t>
      </w:r>
    </w:p>
    <w:p w:rsidR="00F27953" w:rsidRPr="00F27953" w:rsidRDefault="00F27953" w:rsidP="00F27953">
      <w:pPr>
        <w:numPr>
          <w:ilvl w:val="0"/>
          <w:numId w:val="33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eastAsia="ru-RU"/>
        </w:rPr>
        <w:t>Месяц детализируется до дней;</w:t>
      </w:r>
    </w:p>
    <w:p w:rsidR="00F27953" w:rsidRPr="00F27953" w:rsidRDefault="00F27953" w:rsidP="00F27953">
      <w:pPr>
        <w:numPr>
          <w:ilvl w:val="0"/>
          <w:numId w:val="33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eastAsia="ru-RU"/>
        </w:rPr>
        <w:t>День. Нижний уровень иерархии.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Для удобства анализа данных в аналитических отчетах пользователь должен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F27953" w:rsidRPr="00F27953" w:rsidRDefault="00F27953" w:rsidP="00F27953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val="x-none" w:eastAsia="ru-RU"/>
        </w:rPr>
        <w:t xml:space="preserve">иметь возможность осуществлять переходы вниз между уровнями иерархии </w:t>
      </w:r>
      <w:r w:rsidRPr="00F27953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(например,</w:t>
      </w:r>
      <w:r w:rsidRPr="00F27953">
        <w:rPr>
          <w:rFonts w:ascii="Times New Roman" w:eastAsia="Calibri" w:hAnsi="Times New Roman" w:cs="Times New Roman"/>
          <w:i/>
          <w:sz w:val="28"/>
          <w:szCs w:val="28"/>
          <w:lang w:val="x-none" w:eastAsia="ru-RU"/>
        </w:rPr>
        <w:t xml:space="preserve"> выбрав в отчете атрибут «</w:t>
      </w:r>
      <w:r w:rsidRPr="00F27953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Г</w:t>
      </w:r>
      <w:r w:rsidRPr="00F27953">
        <w:rPr>
          <w:rFonts w:ascii="Times New Roman" w:eastAsia="Calibri" w:hAnsi="Times New Roman" w:cs="Times New Roman"/>
          <w:i/>
          <w:sz w:val="28"/>
          <w:szCs w:val="28"/>
          <w:lang w:val="x-none" w:eastAsia="ru-RU"/>
        </w:rPr>
        <w:t>од», пользователь может детализировать данные и опуститься вниз по иерархии до квартала, затем до месяца и дня</w:t>
      </w:r>
      <w:r w:rsidRPr="00F27953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);</w:t>
      </w:r>
    </w:p>
    <w:p w:rsidR="00F27953" w:rsidRDefault="00F27953" w:rsidP="00F27953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Calibri" w:hAnsi="Times New Roman" w:cs="Times New Roman"/>
          <w:sz w:val="28"/>
          <w:szCs w:val="28"/>
          <w:lang w:eastAsia="ru-RU"/>
        </w:rPr>
        <w:t>самостоятельно настраивать диапазон дат и выбирать периоды для сравнения.</w:t>
      </w:r>
      <w:r w:rsidRPr="00F27953">
        <w:rPr>
          <w:rFonts w:ascii="Times New Roman" w:eastAsia="Calibri" w:hAnsi="Times New Roman" w:cs="Times New Roman"/>
          <w:sz w:val="28"/>
          <w:szCs w:val="28"/>
          <w:lang w:val="x-none" w:eastAsia="ru-RU"/>
        </w:rPr>
        <w:t xml:space="preserve"> </w:t>
      </w:r>
    </w:p>
    <w:p w:rsidR="00F27953" w:rsidRDefault="00F27953" w:rsidP="00F2795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x-none" w:eastAsia="ru-RU"/>
        </w:rPr>
      </w:pPr>
    </w:p>
    <w:p w:rsidR="00F27953" w:rsidRPr="00F27953" w:rsidRDefault="00F27953" w:rsidP="00F2795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При построении отчетов по умолчанию необходимо отображать сравнение установленного текущего отчетного периода не менее чем с 3 аналогичными периодами прошлых лет.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>Измерение «</w:t>
      </w:r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</w:t>
      </w:r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>»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Измерение «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» должно содержать данные об административно-территориальном делении Российской Федерации. 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proofErr w:type="spellStart"/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Адресообразующие</w:t>
      </w:r>
      <w:proofErr w:type="spellEnd"/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– страна, федеральный округ </w:t>
      </w:r>
      <w:r w:rsidRPr="00F279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(не является </w:t>
      </w:r>
      <w:proofErr w:type="spellStart"/>
      <w:r w:rsidRPr="00F279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адресообразующим</w:t>
      </w:r>
      <w:proofErr w:type="spellEnd"/>
      <w:r w:rsidRPr="00F279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элементом в соответствии с постановлением Правительства РФ от 19.11.2014, необходим для сбора в целях формирование </w:t>
      </w:r>
      <w:r w:rsidRPr="00F2795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отчетов по округам)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, субъект Российской Федерации, федеральная территория, муниципальное образование, населенный пункт, элемент улично-дорожной сети, элемент планировочной структуры и идентификационный элемент (элементы) объекта адресации.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Измерение «Территория» должно содержать следующие атрибуты, доступные пользователю при построении отчетов</w:t>
      </w: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7953" w:rsidRPr="00F27953" w:rsidRDefault="00F27953" w:rsidP="00F279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2" w:name="_Ref272485969"/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bookmarkEnd w:id="22"/>
      <w:r w:rsidRPr="00F279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 измерения «Адрес»: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6"/>
        <w:gridCol w:w="7077"/>
      </w:tblGrid>
      <w:tr w:rsidR="00F27953" w:rsidRPr="00F27953" w:rsidTr="00F5583A">
        <w:trPr>
          <w:tblHeader/>
        </w:trPr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Атрибуты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Страна. Содержит один элемент: Российская Федерация </w:t>
            </w:r>
            <w:r w:rsidRPr="00F2795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(предусмотреть возможность учета обращений из иностранных государств)</w:t>
            </w: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Федеральный округ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Федеральные округа Российской Федерации. Содержит восемь элементов.</w:t>
            </w: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 Российской Федерации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Включает республики, края, области, города федерального значения, автономную область, автономный округ, входящий в состав Российской Федерации.</w:t>
            </w: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Муниципальный район, муниципальный округ, городской округ или внутригородская территория (для городов федерального значения) в составе субъекта Российской Федерации, федеральной территории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Городское или сельское поселение в составе муниципального района (для муниципального района) или внутригородской район городского округа (за исключением объектов адресации, </w:t>
            </w: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расположенных на федеральных территориях) 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Населенный пункт 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Населенный пункт, за исключением объектов адресации, расположенных вне границ населенных пунктов.</w:t>
            </w: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улично-дорожной сети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улица, проспект, переулок, проезд, набережная, площадь, бульвар, тупик, съезд, шоссе, аллея и иное</w:t>
            </w:r>
            <w:proofErr w:type="gramEnd"/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планировочной структуры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зона (массив), район (в том числе жилой район, микрорайон, квартал, промышленный район), территория ведения гражданами садоводства или огородничества для собственных нужд</w:t>
            </w: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Идентификационный элемент (элементы) объекта адресации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номера земельных участков, типы и номера иных объектов адресации</w:t>
            </w:r>
          </w:p>
        </w:tc>
      </w:tr>
      <w:tr w:rsidR="00F27953" w:rsidRPr="00F27953" w:rsidTr="00F5583A">
        <w:tc>
          <w:tcPr>
            <w:tcW w:w="1284" w:type="pct"/>
          </w:tcPr>
          <w:p w:rsidR="00F27953" w:rsidRPr="00F27953" w:rsidRDefault="00F27953" w:rsidP="00F2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79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 номер здания</w:t>
            </w:r>
          </w:p>
        </w:tc>
        <w:tc>
          <w:tcPr>
            <w:tcW w:w="3716" w:type="pct"/>
          </w:tcPr>
          <w:p w:rsidR="00F27953" w:rsidRPr="00F27953" w:rsidRDefault="00F27953" w:rsidP="00F27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Для удобства анализа данных в аналитических отчетах пользователь должен иметь возможность осуществлять переходы вниз между уровнями иерархии. Например, выбрав в отчете атрибут «Федеральный округ», пользователь может детализировать данные и опуститься вниз по иерархии до любого уровня.</w:t>
      </w:r>
    </w:p>
    <w:p w:rsidR="00F27953" w:rsidRPr="00F27953" w:rsidRDefault="00F27953" w:rsidP="00F27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9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интеграции систем СООГ и САДД с Государственным адресным реестром адресная часть должна соответствовать порядку заполнения адресов в СООГ и САДД.</w:t>
      </w:r>
    </w:p>
    <w:p w:rsidR="00F27953" w:rsidRDefault="00F27953" w:rsidP="00F27953">
      <w:pPr>
        <w:ind w:firstLine="709"/>
      </w:pPr>
    </w:p>
    <w:p w:rsidR="007766B9" w:rsidRPr="00F27953" w:rsidRDefault="007766B9" w:rsidP="00F27953">
      <w:pPr>
        <w:ind w:firstLine="709"/>
      </w:pPr>
    </w:p>
    <w:sectPr w:rsidR="007766B9" w:rsidRPr="00F27953" w:rsidSect="00925B7B">
      <w:head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8C" w:rsidRDefault="007D1E8C" w:rsidP="00925B7B">
      <w:pPr>
        <w:spacing w:after="0" w:line="240" w:lineRule="auto"/>
      </w:pPr>
      <w:r>
        <w:separator/>
      </w:r>
    </w:p>
  </w:endnote>
  <w:endnote w:type="continuationSeparator" w:id="0">
    <w:p w:rsidR="007D1E8C" w:rsidRDefault="007D1E8C" w:rsidP="00925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8C" w:rsidRDefault="007D1E8C" w:rsidP="00925B7B">
      <w:pPr>
        <w:spacing w:after="0" w:line="240" w:lineRule="auto"/>
      </w:pPr>
      <w:r>
        <w:separator/>
      </w:r>
    </w:p>
  </w:footnote>
  <w:footnote w:type="continuationSeparator" w:id="0">
    <w:p w:rsidR="007D1E8C" w:rsidRDefault="007D1E8C" w:rsidP="00925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52935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25B7B" w:rsidRPr="00925B7B" w:rsidRDefault="00925B7B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925B7B">
          <w:rPr>
            <w:rFonts w:ascii="Times New Roman" w:hAnsi="Times New Roman" w:cs="Times New Roman"/>
            <w:sz w:val="28"/>
          </w:rPr>
          <w:fldChar w:fldCharType="begin"/>
        </w:r>
        <w:r w:rsidRPr="00925B7B">
          <w:rPr>
            <w:rFonts w:ascii="Times New Roman" w:hAnsi="Times New Roman" w:cs="Times New Roman"/>
            <w:sz w:val="28"/>
          </w:rPr>
          <w:instrText>PAGE   \* MERGEFORMAT</w:instrText>
        </w:r>
        <w:r w:rsidRPr="00925B7B">
          <w:rPr>
            <w:rFonts w:ascii="Times New Roman" w:hAnsi="Times New Roman" w:cs="Times New Roman"/>
            <w:sz w:val="28"/>
          </w:rPr>
          <w:fldChar w:fldCharType="separate"/>
        </w:r>
        <w:r w:rsidR="00A670D1">
          <w:rPr>
            <w:rFonts w:ascii="Times New Roman" w:hAnsi="Times New Roman" w:cs="Times New Roman"/>
            <w:noProof/>
            <w:sz w:val="28"/>
          </w:rPr>
          <w:t>15</w:t>
        </w:r>
        <w:r w:rsidRPr="00925B7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925B7B" w:rsidRDefault="00925B7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8E6"/>
    <w:multiLevelType w:val="hybridMultilevel"/>
    <w:tmpl w:val="631469B4"/>
    <w:lvl w:ilvl="0" w:tplc="B5B68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30C00"/>
    <w:multiLevelType w:val="hybridMultilevel"/>
    <w:tmpl w:val="CB527E8C"/>
    <w:lvl w:ilvl="0" w:tplc="2D36E8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523F"/>
    <w:multiLevelType w:val="hybridMultilevel"/>
    <w:tmpl w:val="0C1015CE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3">
    <w:nsid w:val="0B130D53"/>
    <w:multiLevelType w:val="hybridMultilevel"/>
    <w:tmpl w:val="EAF67996"/>
    <w:lvl w:ilvl="0" w:tplc="882C8E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855FB"/>
    <w:multiLevelType w:val="hybridMultilevel"/>
    <w:tmpl w:val="35B279D4"/>
    <w:lvl w:ilvl="0" w:tplc="E5C206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F3228DF"/>
    <w:multiLevelType w:val="hybridMultilevel"/>
    <w:tmpl w:val="81401084"/>
    <w:lvl w:ilvl="0" w:tplc="D5968C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44556"/>
    <w:multiLevelType w:val="hybridMultilevel"/>
    <w:tmpl w:val="6BFC0E84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34E5187"/>
    <w:multiLevelType w:val="hybridMultilevel"/>
    <w:tmpl w:val="74CC13EA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40A76"/>
    <w:multiLevelType w:val="hybridMultilevel"/>
    <w:tmpl w:val="38E2AC50"/>
    <w:lvl w:ilvl="0" w:tplc="16E4A2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318FF"/>
    <w:multiLevelType w:val="hybridMultilevel"/>
    <w:tmpl w:val="6E3A0E6C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>
    <w:nsid w:val="1BEB4D07"/>
    <w:multiLevelType w:val="hybridMultilevel"/>
    <w:tmpl w:val="A7D40E4C"/>
    <w:lvl w:ilvl="0" w:tplc="44060F78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C36BD"/>
    <w:multiLevelType w:val="hybridMultilevel"/>
    <w:tmpl w:val="60505BC6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>
    <w:nsid w:val="1E380B46"/>
    <w:multiLevelType w:val="hybridMultilevel"/>
    <w:tmpl w:val="67A83688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3322C1"/>
    <w:multiLevelType w:val="hybridMultilevel"/>
    <w:tmpl w:val="98D46E08"/>
    <w:lvl w:ilvl="0" w:tplc="6D92FB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B3112"/>
    <w:multiLevelType w:val="hybridMultilevel"/>
    <w:tmpl w:val="78E0BB0A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85E43"/>
    <w:multiLevelType w:val="hybridMultilevel"/>
    <w:tmpl w:val="A15AA4D0"/>
    <w:lvl w:ilvl="0" w:tplc="6788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64A9D"/>
    <w:multiLevelType w:val="hybridMultilevel"/>
    <w:tmpl w:val="20FE16F4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7">
    <w:nsid w:val="26856BBC"/>
    <w:multiLevelType w:val="hybridMultilevel"/>
    <w:tmpl w:val="B8B6CE72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73A240C"/>
    <w:multiLevelType w:val="hybridMultilevel"/>
    <w:tmpl w:val="3B162358"/>
    <w:lvl w:ilvl="0" w:tplc="0419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9">
    <w:nsid w:val="29A312F1"/>
    <w:multiLevelType w:val="hybridMultilevel"/>
    <w:tmpl w:val="C848F546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0">
    <w:nsid w:val="29FD0A71"/>
    <w:multiLevelType w:val="hybridMultilevel"/>
    <w:tmpl w:val="375C0BB6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2E6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D01848"/>
    <w:multiLevelType w:val="hybridMultilevel"/>
    <w:tmpl w:val="74ECEA92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2D123F1A"/>
    <w:multiLevelType w:val="hybridMultilevel"/>
    <w:tmpl w:val="2EE8E298"/>
    <w:lvl w:ilvl="0" w:tplc="E5C206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9356B77"/>
    <w:multiLevelType w:val="hybridMultilevel"/>
    <w:tmpl w:val="A94068E0"/>
    <w:lvl w:ilvl="0" w:tplc="CCD0FB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25C85"/>
    <w:multiLevelType w:val="hybridMultilevel"/>
    <w:tmpl w:val="9FE46E38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5">
    <w:nsid w:val="47CE5F6B"/>
    <w:multiLevelType w:val="hybridMultilevel"/>
    <w:tmpl w:val="50A0A330"/>
    <w:lvl w:ilvl="0" w:tplc="8BA225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9A7942"/>
    <w:multiLevelType w:val="hybridMultilevel"/>
    <w:tmpl w:val="39A28440"/>
    <w:lvl w:ilvl="0" w:tplc="E5C206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B7E5E57"/>
    <w:multiLevelType w:val="hybridMultilevel"/>
    <w:tmpl w:val="CF3253E6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07387"/>
    <w:multiLevelType w:val="hybridMultilevel"/>
    <w:tmpl w:val="9F88CBFE"/>
    <w:lvl w:ilvl="0" w:tplc="E5C2068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9">
    <w:nsid w:val="53EB158C"/>
    <w:multiLevelType w:val="hybridMultilevel"/>
    <w:tmpl w:val="AC2EDD4A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543F2B"/>
    <w:multiLevelType w:val="hybridMultilevel"/>
    <w:tmpl w:val="6F581762"/>
    <w:lvl w:ilvl="0" w:tplc="D130C63E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6C347EA"/>
    <w:multiLevelType w:val="hybridMultilevel"/>
    <w:tmpl w:val="8F52A150"/>
    <w:lvl w:ilvl="0" w:tplc="27FA02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2F5754"/>
    <w:multiLevelType w:val="hybridMultilevel"/>
    <w:tmpl w:val="FE966824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F7633"/>
    <w:multiLevelType w:val="hybridMultilevel"/>
    <w:tmpl w:val="20BADCCE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D46F7B"/>
    <w:multiLevelType w:val="hybridMultilevel"/>
    <w:tmpl w:val="29DA05DC"/>
    <w:lvl w:ilvl="0" w:tplc="44060F78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A30366"/>
    <w:multiLevelType w:val="hybridMultilevel"/>
    <w:tmpl w:val="3D181F56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F58F9"/>
    <w:multiLevelType w:val="hybridMultilevel"/>
    <w:tmpl w:val="3494961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83EC5"/>
    <w:multiLevelType w:val="hybridMultilevel"/>
    <w:tmpl w:val="8C1CA84C"/>
    <w:lvl w:ilvl="0" w:tplc="E5C20682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8">
    <w:nsid w:val="66CF5F93"/>
    <w:multiLevelType w:val="hybridMultilevel"/>
    <w:tmpl w:val="AFE0C4CC"/>
    <w:lvl w:ilvl="0" w:tplc="E5C206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0A3E2C"/>
    <w:multiLevelType w:val="multilevel"/>
    <w:tmpl w:val="1C0C6AE2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0">
    <w:nsid w:val="6D454BC9"/>
    <w:multiLevelType w:val="hybridMultilevel"/>
    <w:tmpl w:val="4ED0F520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41">
    <w:nsid w:val="6D8F6225"/>
    <w:multiLevelType w:val="hybridMultilevel"/>
    <w:tmpl w:val="E8F0C828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9C5781"/>
    <w:multiLevelType w:val="hybridMultilevel"/>
    <w:tmpl w:val="5B88E42C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43">
    <w:nsid w:val="769B5CF6"/>
    <w:multiLevelType w:val="hybridMultilevel"/>
    <w:tmpl w:val="D8860CEA"/>
    <w:lvl w:ilvl="0" w:tplc="AACE17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62F98"/>
    <w:multiLevelType w:val="hybridMultilevel"/>
    <w:tmpl w:val="41887E84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37"/>
  </w:num>
  <w:num w:numId="4">
    <w:abstractNumId w:val="19"/>
  </w:num>
  <w:num w:numId="5">
    <w:abstractNumId w:val="24"/>
  </w:num>
  <w:num w:numId="6">
    <w:abstractNumId w:val="2"/>
  </w:num>
  <w:num w:numId="7">
    <w:abstractNumId w:val="42"/>
  </w:num>
  <w:num w:numId="8">
    <w:abstractNumId w:val="21"/>
  </w:num>
  <w:num w:numId="9">
    <w:abstractNumId w:val="3"/>
  </w:num>
  <w:num w:numId="10">
    <w:abstractNumId w:val="9"/>
  </w:num>
  <w:num w:numId="11">
    <w:abstractNumId w:val="40"/>
  </w:num>
  <w:num w:numId="12">
    <w:abstractNumId w:val="28"/>
  </w:num>
  <w:num w:numId="13">
    <w:abstractNumId w:val="27"/>
  </w:num>
  <w:num w:numId="14">
    <w:abstractNumId w:val="44"/>
  </w:num>
  <w:num w:numId="15">
    <w:abstractNumId w:val="41"/>
  </w:num>
  <w:num w:numId="16">
    <w:abstractNumId w:val="11"/>
  </w:num>
  <w:num w:numId="17">
    <w:abstractNumId w:val="39"/>
  </w:num>
  <w:num w:numId="18">
    <w:abstractNumId w:val="12"/>
  </w:num>
  <w:num w:numId="19">
    <w:abstractNumId w:val="14"/>
  </w:num>
  <w:num w:numId="20">
    <w:abstractNumId w:val="0"/>
  </w:num>
  <w:num w:numId="21">
    <w:abstractNumId w:val="35"/>
  </w:num>
  <w:num w:numId="22">
    <w:abstractNumId w:val="15"/>
  </w:num>
  <w:num w:numId="23">
    <w:abstractNumId w:val="29"/>
  </w:num>
  <w:num w:numId="24">
    <w:abstractNumId w:val="20"/>
  </w:num>
  <w:num w:numId="25">
    <w:abstractNumId w:val="32"/>
  </w:num>
  <w:num w:numId="26">
    <w:abstractNumId w:val="17"/>
  </w:num>
  <w:num w:numId="27">
    <w:abstractNumId w:val="36"/>
  </w:num>
  <w:num w:numId="28">
    <w:abstractNumId w:val="4"/>
  </w:num>
  <w:num w:numId="29">
    <w:abstractNumId w:val="6"/>
  </w:num>
  <w:num w:numId="30">
    <w:abstractNumId w:val="33"/>
  </w:num>
  <w:num w:numId="31">
    <w:abstractNumId w:val="18"/>
  </w:num>
  <w:num w:numId="32">
    <w:abstractNumId w:val="38"/>
  </w:num>
  <w:num w:numId="33">
    <w:abstractNumId w:val="22"/>
  </w:num>
  <w:num w:numId="34">
    <w:abstractNumId w:val="26"/>
  </w:num>
  <w:num w:numId="35">
    <w:abstractNumId w:val="7"/>
  </w:num>
  <w:num w:numId="36">
    <w:abstractNumId w:val="25"/>
  </w:num>
  <w:num w:numId="37">
    <w:abstractNumId w:val="31"/>
  </w:num>
  <w:num w:numId="38">
    <w:abstractNumId w:val="23"/>
  </w:num>
  <w:num w:numId="39">
    <w:abstractNumId w:val="43"/>
  </w:num>
  <w:num w:numId="40">
    <w:abstractNumId w:val="13"/>
  </w:num>
  <w:num w:numId="41">
    <w:abstractNumId w:val="1"/>
  </w:num>
  <w:num w:numId="42">
    <w:abstractNumId w:val="5"/>
  </w:num>
  <w:num w:numId="43">
    <w:abstractNumId w:val="8"/>
  </w:num>
  <w:num w:numId="44">
    <w:abstractNumId w:val="34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CA"/>
    <w:rsid w:val="00015159"/>
    <w:rsid w:val="000211DE"/>
    <w:rsid w:val="000A2095"/>
    <w:rsid w:val="000B6781"/>
    <w:rsid w:val="000C68EB"/>
    <w:rsid w:val="00163805"/>
    <w:rsid w:val="001865B7"/>
    <w:rsid w:val="00205906"/>
    <w:rsid w:val="00251858"/>
    <w:rsid w:val="004067B5"/>
    <w:rsid w:val="00453126"/>
    <w:rsid w:val="00475DB3"/>
    <w:rsid w:val="00502633"/>
    <w:rsid w:val="00507669"/>
    <w:rsid w:val="0064445F"/>
    <w:rsid w:val="006D5603"/>
    <w:rsid w:val="00730980"/>
    <w:rsid w:val="00775CDD"/>
    <w:rsid w:val="007766B9"/>
    <w:rsid w:val="007D1E8C"/>
    <w:rsid w:val="008216F2"/>
    <w:rsid w:val="00876010"/>
    <w:rsid w:val="008F3FCA"/>
    <w:rsid w:val="009211F7"/>
    <w:rsid w:val="00925B7B"/>
    <w:rsid w:val="00961D0C"/>
    <w:rsid w:val="00974F57"/>
    <w:rsid w:val="00A17F17"/>
    <w:rsid w:val="00A670D1"/>
    <w:rsid w:val="00A6781A"/>
    <w:rsid w:val="00B3265B"/>
    <w:rsid w:val="00B81D0C"/>
    <w:rsid w:val="00BE0E55"/>
    <w:rsid w:val="00C129A4"/>
    <w:rsid w:val="00C203C8"/>
    <w:rsid w:val="00C85133"/>
    <w:rsid w:val="00CF53F0"/>
    <w:rsid w:val="00DB3299"/>
    <w:rsid w:val="00DF3003"/>
    <w:rsid w:val="00F27953"/>
    <w:rsid w:val="00F510F1"/>
    <w:rsid w:val="00F62A0B"/>
    <w:rsid w:val="00F7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paragraph" w:styleId="10">
    <w:name w:val="heading 1"/>
    <w:basedOn w:val="a"/>
    <w:next w:val="a"/>
    <w:link w:val="11"/>
    <w:uiPriority w:val="9"/>
    <w:qFormat/>
    <w:rsid w:val="00C2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2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aliases w:val="Num Bullet 1,Bullet Number,Индексы,Маркированный список_уровень1,Colorful List Accent 1,Colorful List - Accent 11,Цветной список - Акцент 11,ОбычныйМаркер1,Маркер,Bullet List,FooterText,numbered,Абзац списка нумерованный,lp1,Table-Normal"/>
    <w:basedOn w:val="a"/>
    <w:link w:val="a5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Num Bullet 1 Знак,Bullet Number Знак,Индексы Знак,Маркированный список_уровень1 Знак,Colorful List Accent 1 Знак,Colorful List - Accent 11 Знак,Цветной список - Акцент 11 Знак,ОбычныйМаркер1 Знак,Маркер Знак,Bullet List Знак,lp1 Знак"/>
    <w:link w:val="a3"/>
    <w:uiPriority w:val="34"/>
    <w:locked/>
    <w:rsid w:val="006D5603"/>
  </w:style>
  <w:style w:type="paragraph" w:customStyle="1" w:styleId="a6">
    <w:name w:val="Таблицы"/>
    <w:basedOn w:val="a"/>
    <w:link w:val="a7"/>
    <w:qFormat/>
    <w:rsid w:val="00475D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Таблицы Знак"/>
    <w:link w:val="a6"/>
    <w:rsid w:val="00475DB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20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20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0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25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5B7B"/>
  </w:style>
  <w:style w:type="paragraph" w:styleId="aa">
    <w:name w:val="footer"/>
    <w:basedOn w:val="a"/>
    <w:link w:val="ab"/>
    <w:uiPriority w:val="99"/>
    <w:unhideWhenUsed/>
    <w:rsid w:val="00925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5B7B"/>
  </w:style>
  <w:style w:type="paragraph" w:styleId="ac">
    <w:name w:val="TOC Heading"/>
    <w:basedOn w:val="10"/>
    <w:next w:val="a"/>
    <w:uiPriority w:val="39"/>
    <w:unhideWhenUsed/>
    <w:qFormat/>
    <w:rsid w:val="00925B7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25B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5B7B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25B7B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6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61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paragraph" w:styleId="10">
    <w:name w:val="heading 1"/>
    <w:basedOn w:val="a"/>
    <w:next w:val="a"/>
    <w:link w:val="11"/>
    <w:uiPriority w:val="9"/>
    <w:qFormat/>
    <w:rsid w:val="00C2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2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aliases w:val="Num Bullet 1,Bullet Number,Индексы,Маркированный список_уровень1,Colorful List Accent 1,Colorful List - Accent 11,Цветной список - Акцент 11,ОбычныйМаркер1,Маркер,Bullet List,FooterText,numbered,Абзац списка нумерованный,lp1,Table-Normal"/>
    <w:basedOn w:val="a"/>
    <w:link w:val="a5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Num Bullet 1 Знак,Bullet Number Знак,Индексы Знак,Маркированный список_уровень1 Знак,Colorful List Accent 1 Знак,Colorful List - Accent 11 Знак,Цветной список - Акцент 11 Знак,ОбычныйМаркер1 Знак,Маркер Знак,Bullet List Знак,lp1 Знак"/>
    <w:link w:val="a3"/>
    <w:uiPriority w:val="34"/>
    <w:locked/>
    <w:rsid w:val="006D5603"/>
  </w:style>
  <w:style w:type="paragraph" w:customStyle="1" w:styleId="a6">
    <w:name w:val="Таблицы"/>
    <w:basedOn w:val="a"/>
    <w:link w:val="a7"/>
    <w:qFormat/>
    <w:rsid w:val="00475D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Таблицы Знак"/>
    <w:link w:val="a6"/>
    <w:rsid w:val="00475DB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20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20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0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25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5B7B"/>
  </w:style>
  <w:style w:type="paragraph" w:styleId="aa">
    <w:name w:val="footer"/>
    <w:basedOn w:val="a"/>
    <w:link w:val="ab"/>
    <w:uiPriority w:val="99"/>
    <w:unhideWhenUsed/>
    <w:rsid w:val="00925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5B7B"/>
  </w:style>
  <w:style w:type="paragraph" w:styleId="ac">
    <w:name w:val="TOC Heading"/>
    <w:basedOn w:val="10"/>
    <w:next w:val="a"/>
    <w:uiPriority w:val="39"/>
    <w:unhideWhenUsed/>
    <w:qFormat/>
    <w:rsid w:val="00925B7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25B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5B7B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25B7B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6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61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72785-F263-4727-99DB-553FEB83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4029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ГЛУШКОВА Елена Юрьевна</cp:lastModifiedBy>
  <cp:revision>2</cp:revision>
  <cp:lastPrinted>2023-06-16T13:14:00Z</cp:lastPrinted>
  <dcterms:created xsi:type="dcterms:W3CDTF">2023-06-19T08:33:00Z</dcterms:created>
  <dcterms:modified xsi:type="dcterms:W3CDTF">2023-06-19T08:33:00Z</dcterms:modified>
</cp:coreProperties>
</file>