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88736" cy="1353312"/>
            <wp:docPr id="1" name="Picture 1"/>
            <wp:cNvGraphicFramePr>
              <a:graphicFrameLocks noChangeAspect="1"/>
            </wp:cNvGraphicFramePr>
            <a:graphic>
              <a:graphicData uri="http://schemas.openxmlformats.org/drawingml/2006/picture">
                <pic:pic>
                  <pic:nvPicPr>
                    <pic:cNvPr id="0" name="Image9.jpg"/>
                    <pic:cNvPicPr/>
                  </pic:nvPicPr>
                  <pic:blipFill>
                    <a:blip r:embed="rId10"/>
                    <a:stretch>
                      <a:fillRect/>
                    </a:stretch>
                  </pic:blipFill>
                  <pic:spPr>
                    <a:xfrm>
                      <a:off x="0" y="0"/>
                      <a:ext cx="5888736" cy="1353312"/>
                    </a:xfrm>
                    <a:prstGeom prst="rect"/>
                  </pic:spPr>
                </pic:pic>
              </a:graphicData>
            </a:graphic>
          </wp:inline>
        </w:drawing>
      </w:r>
    </w:p>
    <w:p>
      <w:pPr>
        <w:spacing w:after="220"/>
        <w:jc w:val="center"/>
      </w:pPr>
      <w:r>
        <w:rPr>
          <w:rFonts w:ascii="Times New Roman" w:hAnsi="Times New Roman"/>
          <w:b w:val="0"/>
          <w:sz w:val="28"/>
        </w:rPr>
        <w:t>A Report on</w:t>
      </w:r>
    </w:p>
    <w:p>
      <w:pPr>
        <w:pStyle w:val="Title"/>
      </w:pPr>
      <w:r>
        <w:rPr>
          <w:rFonts w:ascii="Times New Roman" w:hAnsi="Times New Roman"/>
          <w:color w:val="000000"/>
        </w:rPr>
        <w:t>GridPulse</w:t>
        <w:br/>
        <w:t>Urban Smart Electricity Consumer Assistance</w:t>
        <w:br/>
        <w:t>and Energy Monitoring System</w:t>
      </w:r>
    </w:p>
    <w:p>
      <w:pPr>
        <w:spacing w:after="140"/>
        <w:jc w:val="center"/>
      </w:pPr>
      <w:r>
        <w:rPr>
          <w:rFonts w:ascii="Times New Roman" w:hAnsi="Times New Roman"/>
          <w:b w:val="0"/>
          <w:sz w:val="26"/>
        </w:rPr>
        <w:t>for</w:t>
      </w:r>
    </w:p>
    <w:p>
      <w:pPr>
        <w:spacing w:after="140"/>
        <w:jc w:val="center"/>
      </w:pPr>
      <w:r>
        <w:rPr>
          <w:rFonts w:ascii="Times New Roman" w:hAnsi="Times New Roman"/>
          <w:b/>
          <w:sz w:val="28"/>
        </w:rPr>
        <w:t>IDEA LAB-V (Course code: 12212506)</w:t>
      </w:r>
    </w:p>
    <w:p>
      <w:pPr>
        <w:spacing w:after="140"/>
        <w:jc w:val="center"/>
      </w:pPr>
      <w:r>
        <w:rPr>
          <w:rFonts w:ascii="Times New Roman" w:hAnsi="Times New Roman"/>
          <w:b w:val="0"/>
          <w:sz w:val="26"/>
        </w:rPr>
        <w:t>Theme: Urban System</w:t>
      </w:r>
    </w:p>
    <w:p>
      <w:pPr>
        <w:spacing w:after="140"/>
        <w:jc w:val="center"/>
      </w:pPr>
      <w:r>
        <w:rPr>
          <w:rFonts w:ascii="Times New Roman" w:hAnsi="Times New Roman"/>
          <w:b w:val="0"/>
          <w:sz w:val="26"/>
        </w:rPr>
        <w:t>of</w:t>
      </w:r>
    </w:p>
    <w:p>
      <w:pPr>
        <w:spacing w:after="180"/>
        <w:jc w:val="center"/>
      </w:pPr>
      <w:r>
        <w:rPr>
          <w:rFonts w:ascii="Times New Roman" w:hAnsi="Times New Roman"/>
          <w:b/>
          <w:sz w:val="28"/>
        </w:rPr>
        <w:t>Third Year (TE Sem-V)</w:t>
        <w:br/>
        <w:t>Computer Engineering</w:t>
      </w:r>
    </w:p>
    <w:p>
      <w:pPr>
        <w:spacing w:after="220"/>
        <w:jc w:val="center"/>
      </w:pPr>
      <w:r>
        <w:rPr>
          <w:rFonts w:ascii="Times New Roman" w:hAnsi="Times New Roman"/>
          <w:b w:val="0"/>
          <w:sz w:val="24"/>
        </w:rPr>
        <w:t>Academic Year 2026-2027</w:t>
      </w:r>
    </w:p>
    <w:p>
      <w:pPr>
        <w:spacing w:after="140"/>
        <w:jc w:val="center"/>
      </w:pPr>
      <w:r>
        <w:rPr>
          <w:rFonts w:ascii="Times New Roman" w:hAnsi="Times New Roman"/>
          <w:b w:val="0"/>
          <w:sz w:val="26"/>
        </w:rPr>
        <w:t>by</w:t>
      </w:r>
    </w:p>
    <w:p>
      <w:pPr>
        <w:spacing w:after="140"/>
        <w:jc w:val="center"/>
      </w:pPr>
      <w:r>
        <w:rPr>
          <w:rFonts w:ascii="Times New Roman" w:hAnsi="Times New Roman"/>
          <w:b/>
          <w:sz w:val="30"/>
        </w:rPr>
        <w:t>Pawan Suryakant Tiwari</w:t>
      </w:r>
    </w:p>
    <w:p>
      <w:pPr>
        <w:spacing w:after="100"/>
        <w:jc w:val="center"/>
      </w:pPr>
      <w:r>
        <w:rPr>
          <w:rFonts w:ascii="Times New Roman" w:hAnsi="Times New Roman"/>
          <w:b w:val="0"/>
          <w:sz w:val="26"/>
        </w:rPr>
        <w:t>TE / CMPN-C</w:t>
      </w:r>
    </w:p>
    <w:p>
      <w:pPr>
        <w:spacing w:after="280"/>
        <w:jc w:val="center"/>
      </w:pPr>
      <w:r>
        <w:rPr>
          <w:rFonts w:ascii="Times New Roman" w:hAnsi="Times New Roman"/>
          <w:b w:val="0"/>
          <w:sz w:val="26"/>
        </w:rPr>
        <w:t>Roll no. 53</w:t>
      </w:r>
    </w:p>
    <w:p>
      <w:pPr>
        <w:spacing w:after="140"/>
        <w:jc w:val="center"/>
      </w:pPr>
      <w:r>
        <w:rPr>
          <w:rFonts w:ascii="Times New Roman" w:hAnsi="Times New Roman"/>
          <w:b w:val="0"/>
          <w:sz w:val="24"/>
        </w:rPr>
        <w:t>Under the guidance of</w:t>
      </w:r>
    </w:p>
    <w:p>
      <w:pPr>
        <w:jc w:val="center"/>
      </w:pPr>
      <w:r>
        <w:rPr>
          <w:rFonts w:ascii="Times New Roman" w:hAnsi="Times New Roman"/>
          <w:b/>
          <w:sz w:val="28"/>
        </w:rPr>
        <w:t>Dr. Uma Goradiya</w:t>
      </w:r>
    </w:p>
    <w:p>
      <w:r>
        <w:rPr>
          <w:rFonts w:ascii="Times New Roman" w:hAnsi="Times New Roman"/>
        </w:rPr>
        <w:br w:type="page"/>
      </w:r>
    </w:p>
    <w:p>
      <w:pPr>
        <w:spacing w:after="2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88736" cy="1353312"/>
            <wp:docPr id="2" name="Picture 2"/>
            <wp:cNvGraphicFramePr>
              <a:graphicFrameLocks noChangeAspect="1"/>
            </wp:cNvGraphicFramePr>
            <a:graphic>
              <a:graphicData uri="http://schemas.openxmlformats.org/drawingml/2006/picture">
                <pic:pic>
                  <pic:nvPicPr>
                    <pic:cNvPr id="0" name="Image9.jpg"/>
                    <pic:cNvPicPr/>
                  </pic:nvPicPr>
                  <pic:blipFill>
                    <a:blip r:embed="rId10"/>
                    <a:stretch>
                      <a:fillRect/>
                    </a:stretch>
                  </pic:blipFill>
                  <pic:spPr>
                    <a:xfrm>
                      <a:off x="0" y="0"/>
                      <a:ext cx="5888736" cy="1353312"/>
                    </a:xfrm>
                    <a:prstGeom prst="rect"/>
                  </pic:spPr>
                </pic:pic>
              </a:graphicData>
            </a:graphic>
          </wp:inline>
        </w:drawing>
      </w:r>
    </w:p>
    <w:p>
      <w:pPr>
        <w:spacing w:after="140"/>
        <w:jc w:val="center"/>
      </w:pPr>
      <w:r>
        <w:rPr>
          <w:rFonts w:ascii="Times New Roman" w:hAnsi="Times New Roman"/>
          <w:b/>
          <w:sz w:val="24"/>
        </w:rPr>
        <w:t>AY 2026-2027</w:t>
      </w:r>
    </w:p>
    <w:p>
      <w:pPr>
        <w:spacing w:after="200"/>
        <w:jc w:val="center"/>
      </w:pPr>
      <w:r>
        <w:rPr>
          <w:rFonts w:ascii="Times New Roman" w:hAnsi="Times New Roman"/>
          <w:b/>
          <w:sz w:val="28"/>
        </w:rPr>
        <w:t>DEPARTMENT OF COMPUTER ENGINEERING</w:t>
      </w:r>
    </w:p>
    <w:p>
      <w:pPr>
        <w:spacing w:after="360"/>
        <w:jc w:val="center"/>
      </w:pPr>
      <w:r>
        <w:rPr>
          <w:rFonts w:ascii="Times New Roman" w:hAnsi="Times New Roman"/>
          <w:b/>
          <w:sz w:val="40"/>
        </w:rPr>
        <w:t>Certificate</w:t>
      </w:r>
    </w:p>
    <w:p>
      <w:pPr>
        <w:spacing w:after="700"/>
      </w:pPr>
      <w:r>
        <w:rPr>
          <w:rFonts w:ascii="Times New Roman" w:hAnsi="Times New Roman"/>
          <w:b w:val="0"/>
        </w:rPr>
        <w:t>This is to certify that Mr. Pawan Suryakant Tiwari, Class: TE CMPN/C, Roll No. 53, Exam Seat No. ____________, of Fifth Semester of Degree in Computer Engineering has completed the required Practicals / Term Work / Project in the subject IDEA LAB-V from the Department of Computer Engineering during the academic year 2026-2027 as prescribed in the curriculum.</w:t>
      </w:r>
    </w:p>
    <w:p>
      <w:pPr>
        <w:spacing w:after="500"/>
      </w:pPr>
      <w:r>
        <w:rPr>
          <w:rFonts w:ascii="Times New Roman" w:hAnsi="Times New Roman"/>
          <w:b w:val="0"/>
        </w:rPr>
        <w:t>Faculty in-Charge                                                   Date:</w:t>
      </w:r>
    </w:p>
    <w:p>
      <w:pPr>
        <w:spacing w:after="500"/>
      </w:pPr>
      <w:r>
        <w:rPr>
          <w:rFonts w:ascii="Times New Roman" w:hAnsi="Times New Roman"/>
          <w:b w:val="0"/>
        </w:rPr>
        <w:t>External Examiner                                                  Date:</w:t>
      </w:r>
    </w:p>
    <w:p>
      <w:pPr>
        <w:jc w:val="left"/>
      </w:pPr>
      <w:r>
        <w:rPr>
          <w:rFonts w:ascii="Times New Roman" w:hAnsi="Times New Roman"/>
          <w:b w:val="0"/>
        </w:rPr>
        <w:t>Seal of</w:t>
        <w:br/>
        <w:t>Institution</w:t>
      </w:r>
    </w:p>
    <w:p>
      <w:pPr>
        <w:sectPr>
          <w:footerReference w:type="default" r:id="rId9"/>
          <w:pgSz w:w="12240" w:h="15840"/>
          <w:pgMar w:top="288" w:right="1382" w:bottom="1613" w:left="1584" w:header="259" w:footer="274" w:gutter="0"/>
          <w:cols w:space="720"/>
          <w:docGrid w:linePitch="360"/>
        </w:sectPr>
      </w:pPr>
    </w:p>
    <w:p>
      <w:pPr>
        <w:pStyle w:val="Heading1"/>
      </w:pPr>
      <w:r>
        <w:rPr>
          <w:rFonts w:ascii="Times New Roman" w:hAnsi="Times New Roman"/>
          <w:color w:val="000000"/>
        </w:rPr>
        <w:t>ACKNOWLEDGEMENT</w:t>
      </w:r>
    </w:p>
    <w:p>
      <w:r>
        <w:rPr>
          <w:rFonts w:ascii="Times New Roman" w:hAnsi="Times New Roman"/>
          <w:b w:val="0"/>
        </w:rPr>
        <w:t>I would like to express my sincere gratitude to Dr. Uma Goradiya for guiding me throughout my IDEA LAB-V project, “GridPulse: Urban Smart Electricity Consumer Assistance and Energy Monitoring System”. Her guidance helped me connect the Urban System theme with a practical application for monitoring electricity consumption and improving complaint handling.</w:t>
      </w:r>
    </w:p>
    <w:p>
      <w:r>
        <w:rPr>
          <w:rFonts w:ascii="Times New Roman" w:hAnsi="Times New Roman"/>
          <w:b w:val="0"/>
        </w:rPr>
        <w:t>I am thankful to the Head of the Department, Dr. Bhushan Kumar Nemade, for his encouragement and support. I also thank our Principal, Dr. Umesh Bhadade, for providing an environment that supports project development and practical learning.</w:t>
      </w:r>
    </w:p>
    <w:p>
      <w:r>
        <w:rPr>
          <w:rFonts w:ascii="Times New Roman" w:hAnsi="Times New Roman"/>
          <w:b w:val="0"/>
        </w:rPr>
        <w:t>I thank the Department of Computer Engineering for the laboratory facilities and academic resources that supported the development of the web prototype and the preparation of this report. I am also grateful to my classmates and friends for their suggestions during the project.</w:t>
      </w:r>
    </w:p>
    <w:p>
      <w:r>
        <w:rPr>
          <w:rFonts w:ascii="Times New Roman" w:hAnsi="Times New Roman"/>
          <w:b w:val="0"/>
        </w:rPr>
        <w:t>This project helped me apply frontend development, REST API design, data modelling, tariff calculations and workflow testing to an urban service problem. The experience strengthened my understanding of how a simple software system can make consumer information clearer and service requests easier to follow.</w:t>
      </w:r>
    </w:p>
    <w:p>
      <w:pPr>
        <w:jc w:val="left"/>
      </w:pPr>
      <w:r>
        <w:rPr>
          <w:rFonts w:ascii="Times New Roman" w:hAnsi="Times New Roman"/>
          <w:b/>
          <w:sz w:val="24"/>
        </w:rPr>
        <w:t>Pawan Suryakant Tiwari</w:t>
        <w:br/>
        <w:t>TE / CMPN-C</w:t>
        <w:br/>
        <w:t>Roll no. 53</w:t>
      </w:r>
    </w:p>
    <w:p>
      <w:r>
        <w:rPr>
          <w:rFonts w:ascii="Times New Roman" w:hAnsi="Times New Roman"/>
        </w:rPr>
        <w:br w:type="page"/>
      </w:r>
    </w:p>
    <w:p>
      <w:pPr>
        <w:pStyle w:val="Heading1"/>
      </w:pPr>
      <w:r>
        <w:rPr>
          <w:rFonts w:ascii="Times New Roman" w:hAnsi="Times New Roman"/>
          <w:color w:val="000000"/>
        </w:rPr>
        <w:t>INDEX</w:t>
      </w:r>
    </w:p>
    <w:tbl>
      <w:tblPr>
        <w:tblW w:type="auto" w:w="0"/>
        <w:tblLayout w:type="fixed"/>
        <w:tblLook w:firstColumn="1" w:firstRow="1" w:lastColumn="0" w:lastRow="0" w:noHBand="0" w:noVBand="1" w:val="04A0"/>
      </w:tblPr>
      <w:tblGrid>
        <w:gridCol w:w="3091"/>
        <w:gridCol w:w="3091"/>
        <w:gridCol w:w="3091"/>
      </w:tblGrid>
      <w:tr>
        <w:trPr>
          <w:tblHeade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Sr. No</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Name Of Topic</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Page No</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1</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Abstract</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1</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2</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Theme and Problem Statement</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2</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3</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Introduction</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3</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4</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Literature Review</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4</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5</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Existing Systems</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5</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6</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Proposed Solution 1</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6</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7</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Proposed Solution 2</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7</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8</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Proposed Recommended Solution</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8</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9</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Flow Diagram / Architecture of Proposed System</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9</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10</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Technical Requirements (HW/SW)</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35</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11</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Applications</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36</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12</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Future Scope</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37</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13</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Conclusion</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38</w:t>
            </w:r>
          </w:p>
        </w:tc>
      </w:tr>
      <w:tr>
        <w:trPr>
          <w:cantSplit/>
        </w:trPr>
        <w:tc>
          <w:tcPr>
            <w:tcW w:type="dxa" w:w="86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14</w:t>
            </w:r>
          </w:p>
        </w:tc>
        <w:tc>
          <w:tcPr>
            <w:tcW w:type="dxa" w:w="711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References</w:t>
            </w:r>
          </w:p>
        </w:tc>
        <w:tc>
          <w:tcPr>
            <w:tcW w:type="dxa" w:w="1152"/>
            <w:tcBorders>
              <w:top w:val="single" w:sz="4" w:color="777777"/>
              <w:left w:val="single" w:sz="4" w:color="777777"/>
              <w:bottom w:val="single" w:sz="4" w:color="777777"/>
              <w:right w:val="single" w:sz="4" w:color="777777"/>
            </w:tcBorders>
            <w:tcMar>
              <w:top w:w="75" w:type="dxa"/>
              <w:left w:w="75" w:type="dxa"/>
              <w:bottom w:w="75" w:type="dxa"/>
              <w:right w:w="75" w:type="dxa"/>
            </w:tcMar>
          </w:tcPr>
          <w:p>
            <w:r>
              <w:rPr>
                <w:sz w:val="21"/>
              </w:rPr>
              <w:t>39</w:t>
            </w:r>
          </w:p>
        </w:tc>
      </w:tr>
    </w:tbl>
    <w:p>
      <w:pPr>
        <w:spacing w:after="40"/>
      </w:pPr>
      <w:r>
        <w:rPr>
          <w:rFonts w:ascii="Times New Roman" w:hAnsi="Times New Roman"/>
          <w:b w:val="0"/>
        </w:rPr>
      </w:r>
    </w:p>
    <w:p>
      <w:pPr>
        <w:sectPr>
          <w:footerReference w:type="default" r:id="rId11"/>
          <w:pgSz w:w="12240" w:h="15840"/>
          <w:pgMar w:top="2477" w:right="1382" w:bottom="1613" w:left="1584" w:header="259" w:footer="274" w:gutter="0"/>
          <w:cols w:space="720"/>
          <w:docGrid w:linePitch="360"/>
        </w:sectPr>
      </w:pPr>
    </w:p>
    <w:p>
      <w:pPr>
        <w:pStyle w:val="Heading1"/>
      </w:pPr>
      <w:r>
        <w:rPr>
          <w:rFonts w:ascii="Times New Roman" w:hAnsi="Times New Roman"/>
          <w:color w:val="000000"/>
        </w:rPr>
        <w:t>1. ABSTRACT</w:t>
      </w:r>
    </w:p>
    <w:p>
      <w:r>
        <w:rPr>
          <w:rFonts w:ascii="Times New Roman" w:hAnsi="Times New Roman"/>
          <w:b w:val="0"/>
        </w:rPr>
        <w:t>Electricity is a core urban service, but households often understand their consumption only after receiving a monthly bill. When the billed amount appears unusual, consumers must collect information, raise a complaint and coordinate a support visit. Utility staff also need a consolidated view of complaints and locality-level demand to plan their response. GridPulse brings these activities into one browser-based prototype under the Urban System theme.</w:t>
      </w:r>
    </w:p>
    <w:p>
      <w:r>
        <w:rPr>
          <w:rFonts w:ascii="Times New Roman" w:hAnsi="Times New Roman"/>
          <w:b w:val="0"/>
        </w:rPr>
        <w:t>The system combines live simulated meter readings, monthly bill estimation, budget-based suggestions, bill comparison, complaint tokens and online or offline consultation scheduling. Consumers can follow a complaint through Submitted, Under Review, In Progress and Resolved. Appointment mode changes are allowed until four hours before the assigned slot; offline is the default mode. The utility operations interface displays complaint categories, locality demand, support assignments and consultation schedules.</w:t>
      </w:r>
    </w:p>
    <w:p>
      <w:r>
        <w:rPr>
          <w:rFonts w:ascii="Times New Roman" w:hAnsi="Times New Roman"/>
          <w:b w:val="0"/>
        </w:rPr>
        <w:t>The prototype uses React and Vite for the frontend, FastAPI for the backend, and a MongoDB-compatible data layer. During local demonstration it uses an asynchronous in-memory store when MongoDB is unavailable. The bill estimate applies a seven-day consumption average and an illustrative slab tariff. A variance of Rs 150 or more is flagged for review. The software demonstrates the intended sensor-to-service workflow using simulated consumption rather than a physical smart meter.</w:t>
      </w:r>
    </w:p>
    <w:p>
      <w:r>
        <w:rPr>
          <w:rFonts w:ascii="Times New Roman" w:hAnsi="Times New Roman"/>
          <w:b w:val="0"/>
        </w:rPr>
        <w:t>Targeted verification covered tariff boundaries, complaint creation and progression, bill comparison and appointment locking. The project provides a practical base for connecting measured consumption with consumer support. Physical IoT integration, trained forecasting models, authenticated access and reliable external reminder delivery remain the next development steps.</w:t>
      </w:r>
    </w:p>
    <w:p>
      <w:r>
        <w:rPr>
          <w:rFonts w:ascii="Times New Roman" w:hAnsi="Times New Roman"/>
        </w:rPr>
        <w:br w:type="page"/>
      </w:r>
    </w:p>
    <w:p>
      <w:pPr>
        <w:pStyle w:val="Heading1"/>
      </w:pPr>
      <w:r>
        <w:rPr>
          <w:rFonts w:ascii="Times New Roman" w:hAnsi="Times New Roman"/>
          <w:color w:val="000000"/>
        </w:rPr>
        <w:t>2. Theme and Problem Statement</w:t>
      </w:r>
    </w:p>
    <w:p>
      <w:pPr>
        <w:pStyle w:val="Heading2"/>
      </w:pPr>
      <w:r>
        <w:rPr>
          <w:rFonts w:ascii="Times New Roman" w:hAnsi="Times New Roman"/>
          <w:color w:val="000000"/>
        </w:rPr>
        <w:t>Theme: Urban System</w:t>
      </w:r>
    </w:p>
    <w:p>
      <w:r>
        <w:rPr>
          <w:rFonts w:ascii="Times New Roman" w:hAnsi="Times New Roman"/>
          <w:b w:val="0"/>
        </w:rPr>
        <w:t>The Urban System theme examines services that keep a city functioning and asks how observed operational patterns can guide a basic improvement. This project studies electricity consumption, billing queries and the coordination of consumer support. It connects household information with the utility’s view of complaints and demand.</w:t>
      </w:r>
    </w:p>
    <w:p>
      <w:pPr>
        <w:pStyle w:val="Heading2"/>
      </w:pPr>
      <w:r>
        <w:rPr>
          <w:rFonts w:ascii="Times New Roman" w:hAnsi="Times New Roman"/>
          <w:color w:val="000000"/>
        </w:rPr>
        <w:t>Teacher Problem Statement</w:t>
      </w:r>
    </w:p>
    <w:p>
      <w:r>
        <w:rPr>
          <w:rFonts w:ascii="Times New Roman" w:hAnsi="Times New Roman"/>
          <w:b w:val="0"/>
        </w:rPr>
        <w:t>“Observe operational patterns in urban environments and demonstrate a very basic system for improvement.”</w:t>
      </w:r>
    </w:p>
    <w:p>
      <w:pPr>
        <w:pStyle w:val="Heading2"/>
      </w:pPr>
      <w:r>
        <w:rPr>
          <w:rFonts w:ascii="Times New Roman" w:hAnsi="Times New Roman"/>
          <w:color w:val="000000"/>
        </w:rPr>
        <w:t>Project Problem Statement</w:t>
      </w:r>
    </w:p>
    <w:p>
      <w:r>
        <w:rPr>
          <w:rFonts w:ascii="Times New Roman" w:hAnsi="Times New Roman"/>
          <w:b w:val="0"/>
        </w:rPr>
        <w:t>Urban electricity consumers need a clear way to understand ongoing consumption, estimate monthly expenditure, identify unusual bills and obtain scheduled support. Utility teams need a shared view of complaint categories, pending cases, locality demand and consultation workloads. Separate monitoring and support activities make the complete consumer journey difficult to follow.</w:t>
      </w:r>
    </w:p>
    <w:p>
      <w:pPr>
        <w:pStyle w:val="Heading2"/>
      </w:pPr>
      <w:r>
        <w:rPr>
          <w:rFonts w:ascii="Times New Roman" w:hAnsi="Times New Roman"/>
          <w:color w:val="000000"/>
        </w:rPr>
        <w:t>Operational Patterns Considered</w:t>
      </w:r>
    </w:p>
    <w:p>
      <w:pPr>
        <w:spacing w:after="120"/>
        <w:ind w:left="240" w:hanging="240"/>
      </w:pPr>
      <w:r>
        <w:rPr>
          <w:rFonts w:ascii="Times New Roman" w:hAnsi="Times New Roman"/>
          <w:b w:val="0"/>
        </w:rPr>
        <w:t>• Daily consumption and periods of higher household demand.</w:t>
      </w:r>
    </w:p>
    <w:p>
      <w:pPr>
        <w:spacing w:after="120"/>
        <w:ind w:left="240" w:hanging="240"/>
      </w:pPr>
      <w:r>
        <w:rPr>
          <w:rFonts w:ascii="Times New Roman" w:hAnsi="Times New Roman"/>
          <w:b w:val="0"/>
        </w:rPr>
        <w:t>• Monthly spending relative to a consumer-selected budget.</w:t>
      </w:r>
    </w:p>
    <w:p>
      <w:pPr>
        <w:spacing w:after="120"/>
        <w:ind w:left="240" w:hanging="240"/>
      </w:pPr>
      <w:r>
        <w:rPr>
          <w:rFonts w:ascii="Times New Roman" w:hAnsi="Times New Roman"/>
          <w:b w:val="0"/>
        </w:rPr>
        <w:t>• Differences between the estimated amount and an entered bill.</w:t>
      </w:r>
    </w:p>
    <w:p>
      <w:pPr>
        <w:spacing w:after="120"/>
        <w:ind w:left="240" w:hanging="240"/>
      </w:pPr>
      <w:r>
        <w:rPr>
          <w:rFonts w:ascii="Times New Roman" w:hAnsi="Times New Roman"/>
          <w:b w:val="0"/>
        </w:rPr>
        <w:t>• Complaint categories, locality distribution and pending support cases.</w:t>
      </w:r>
    </w:p>
    <w:p>
      <w:pPr>
        <w:spacing w:after="120"/>
        <w:ind w:left="240" w:hanging="240"/>
      </w:pPr>
      <w:r>
        <w:rPr>
          <w:rFonts w:ascii="Times New Roman" w:hAnsi="Times New Roman"/>
          <w:b w:val="0"/>
        </w:rPr>
        <w:t>• Upcoming online and offline consultation appointments.</w:t>
      </w:r>
    </w:p>
    <w:p>
      <w:pPr>
        <w:pStyle w:val="Heading2"/>
      </w:pPr>
      <w:r>
        <w:rPr>
          <w:rFonts w:ascii="Times New Roman" w:hAnsi="Times New Roman"/>
          <w:color w:val="000000"/>
        </w:rPr>
        <w:t>Alignment with Sustainable Development Goals</w:t>
      </w:r>
    </w:p>
    <w:p>
      <w:r>
        <w:rPr>
          <w:rFonts w:ascii="Times New Roman" w:hAnsi="Times New Roman"/>
          <w:b w:val="0"/>
        </w:rPr>
        <w:t>The intended applications support SDG 7 through better energy-use awareness, SDG 11 through accessible urban utility services, and SDG 12 through more informed consumption decisions. These are design objectives; the prototype does not establish measured city-wide energy savings.</w:t>
      </w:r>
    </w:p>
    <w:p>
      <w:r>
        <w:rPr>
          <w:rFonts w:ascii="Times New Roman" w:hAnsi="Times New Roman"/>
        </w:rPr>
        <w:br w:type="page"/>
      </w:r>
    </w:p>
    <w:p>
      <w:pPr>
        <w:pStyle w:val="Heading1"/>
      </w:pPr>
      <w:r>
        <w:rPr>
          <w:rFonts w:ascii="Times New Roman" w:hAnsi="Times New Roman"/>
          <w:color w:val="000000"/>
        </w:rPr>
        <w:t>3. Introduction</w:t>
      </w:r>
    </w:p>
    <w:p>
      <w:r>
        <w:rPr>
          <w:rFonts w:ascii="Times New Roman" w:hAnsi="Times New Roman"/>
          <w:b w:val="0"/>
        </w:rPr>
        <w:t>An electricity bill reflects accumulated consumption and the applicable tariff, while consumers make appliance-use decisions throughout the month. A household that can see recent usage and a running estimate has more opportunity to adjust consumption before the billing cycle ends. When the final bill differs from expectations, consumption history can also provide a useful starting point for a support discussion.</w:t>
      </w:r>
    </w:p>
    <w:p>
      <w:r>
        <w:rPr>
          <w:rFonts w:ascii="Times New Roman" w:hAnsi="Times New Roman"/>
          <w:b w:val="0"/>
        </w:rPr>
        <w:t>The original project idea combines two needs: energy monitoring and electricity consumer assistance. The consumer raises a ticket, receives a token and an appointment, and chooses an online consultation or an office visit. The four-hour mode-change rule gives staff time to plan the consultation. The proposed two-hour customer-service reminder supports preparation on both sides.</w:t>
      </w:r>
    </w:p>
    <w:p>
      <w:r>
        <w:rPr>
          <w:rFonts w:ascii="Times New Roman" w:hAnsi="Times New Roman"/>
          <w:b w:val="0"/>
        </w:rPr>
        <w:t>GridPulse implements this concept as a full-stack web prototype. Its citizen dashboard presents live telemetry, a monthly estimate, spending targets and bill verification. The complaint and appointment views make service requests visible. The operations interface provides charts, a complaint queue, staff assignment, a consumer directory and a shared consultation calendar.</w:t>
      </w:r>
    </w:p>
    <w:p>
      <w:pPr>
        <w:pStyle w:val="Heading2"/>
      </w:pPr>
      <w:r>
        <w:rPr>
          <w:rFonts w:ascii="Times New Roman" w:hAnsi="Times New Roman"/>
          <w:color w:val="000000"/>
        </w:rPr>
        <w:t>Project Objectives</w:t>
      </w:r>
    </w:p>
    <w:p>
      <w:pPr>
        <w:spacing w:after="120"/>
        <w:ind w:left="240" w:hanging="240"/>
      </w:pPr>
      <w:r>
        <w:rPr>
          <w:rFonts w:ascii="Times New Roman" w:hAnsi="Times New Roman"/>
          <w:b w:val="0"/>
        </w:rPr>
        <w:t>• Display current and historical consumption in a form a household can understand.</w:t>
      </w:r>
    </w:p>
    <w:p>
      <w:pPr>
        <w:spacing w:after="120"/>
        <w:ind w:left="240" w:hanging="240"/>
      </w:pPr>
      <w:r>
        <w:rPr>
          <w:rFonts w:ascii="Times New Roman" w:hAnsi="Times New Roman"/>
          <w:b w:val="0"/>
        </w:rPr>
        <w:t>• Estimate monthly expenditure using an explicit and inspectable tariff calculation.</w:t>
      </w:r>
    </w:p>
    <w:p>
      <w:pPr>
        <w:spacing w:after="120"/>
        <w:ind w:left="240" w:hanging="240"/>
      </w:pPr>
      <w:r>
        <w:rPr>
          <w:rFonts w:ascii="Times New Roman" w:hAnsi="Times New Roman"/>
          <w:b w:val="0"/>
        </w:rPr>
        <w:t>• Connect a suspected billing discrepancy with a traceable support ticket.</w:t>
      </w:r>
    </w:p>
    <w:p>
      <w:pPr>
        <w:spacing w:after="120"/>
        <w:ind w:left="240" w:hanging="240"/>
      </w:pPr>
      <w:r>
        <w:rPr>
          <w:rFonts w:ascii="Times New Roman" w:hAnsi="Times New Roman"/>
          <w:b w:val="0"/>
        </w:rPr>
        <w:t>• Demonstrate appointment selection, default offline mode and the four-hour lock.</w:t>
      </w:r>
    </w:p>
    <w:p>
      <w:pPr>
        <w:spacing w:after="120"/>
        <w:ind w:left="240" w:hanging="240"/>
      </w:pPr>
      <w:r>
        <w:rPr>
          <w:rFonts w:ascii="Times New Roman" w:hAnsi="Times New Roman"/>
          <w:b w:val="0"/>
        </w:rPr>
        <w:t>• Provide an operations view of complaint and demand patterns for utility staff.</w:t>
      </w:r>
    </w:p>
    <w:p>
      <w:r>
        <w:rPr>
          <w:rFonts w:ascii="Times New Roman" w:hAnsi="Times New Roman"/>
          <w:b w:val="0"/>
        </w:rPr>
        <w:t>The report describes alternative solutions, the recommended architecture, implemented modules, working screens and targeted test results. The demonstration uses sample consumers and simulated readings. It is an academic implementation of the service workflow rather than an operational utility billing platform.</w:t>
      </w:r>
    </w:p>
    <w:p>
      <w:r>
        <w:rPr>
          <w:rFonts w:ascii="Times New Roman" w:hAnsi="Times New Roman"/>
        </w:rPr>
        <w:br w:type="page"/>
      </w:r>
    </w:p>
    <w:p>
      <w:pPr>
        <w:pStyle w:val="Heading1"/>
      </w:pPr>
      <w:r>
        <w:rPr>
          <w:rFonts w:ascii="Times New Roman" w:hAnsi="Times New Roman"/>
          <w:color w:val="000000"/>
        </w:rPr>
        <w:t>4. Literature Review</w:t>
      </w:r>
    </w:p>
    <w:tbl>
      <w:tblPr>
        <w:tblW w:type="auto" w:w="0"/>
        <w:tblLayout w:type="fixed"/>
        <w:tblLook w:firstColumn="1" w:firstRow="1" w:lastColumn="0" w:lastRow="0" w:noHBand="0" w:noVBand="1" w:val="04A0"/>
      </w:tblPr>
      <w:tblGrid>
        <w:gridCol w:w="3091"/>
        <w:gridCol w:w="3091"/>
        <w:gridCol w:w="3091"/>
      </w:tblGrid>
      <w:tr>
        <w:trPr>
          <w:tblHeader/>
          <w:cantSplit/>
        </w:trPr>
        <w:tc>
          <w:tcPr>
            <w:tcW w:type="dxa" w:w="3384"/>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Author(s) and Paper Title</w:t>
            </w:r>
          </w:p>
        </w:tc>
        <w:tc>
          <w:tcPr>
            <w:tcW w:type="dxa" w:w="1224"/>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Year / Source</w:t>
            </w:r>
          </w:p>
        </w:tc>
        <w:tc>
          <w:tcPr>
            <w:tcW w:type="dxa" w:w="4522"/>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Key Contribution and Relevance</w:t>
            </w:r>
          </w:p>
        </w:tc>
      </w:tr>
      <w:tr>
        <w:trPr>
          <w:cantSplit/>
        </w:trPr>
        <w:tc>
          <w:tcPr>
            <w:tcW w:type="dxa" w:w="338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Y. Wang, Q. Chen, T. Hong and C. Kang</w:t>
              <w:br/>
              <w:t>Review of Smart Meter Data Analytics: Applications, Methodologies, and Challenges [1]</w:t>
            </w:r>
          </w:p>
        </w:tc>
        <w:tc>
          <w:tcPr>
            <w:tcW w:type="dxa" w:w="122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2018</w:t>
              <w:br/>
              <w:t>arXiv</w:t>
            </w:r>
          </w:p>
        </w:tc>
        <w:tc>
          <w:tcPr>
            <w:tcW w:type="dxa" w:w="452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Organises smart-meter analytics into descriptive, predictive and prescriptive tasks. Informs the separation of monitoring, forecasting and recommendations.</w:t>
            </w:r>
          </w:p>
        </w:tc>
      </w:tr>
      <w:tr>
        <w:trPr>
          <w:cantSplit/>
        </w:trPr>
        <w:tc>
          <w:tcPr>
            <w:tcW w:type="dxa" w:w="338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 Arora and J. W. Taylor</w:t>
              <w:br/>
              <w:t>Forecasting Electricity Smart Meter Data Using Conditional Kernel Density Estimation [2]</w:t>
            </w:r>
          </w:p>
        </w:tc>
        <w:tc>
          <w:tcPr>
            <w:tcW w:type="dxa" w:w="122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2014</w:t>
              <w:br/>
              <w:t>arXiv</w:t>
            </w:r>
          </w:p>
        </w:tc>
        <w:tc>
          <w:tcPr>
            <w:tcW w:type="dxa" w:w="452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Uses conditional density estimation to capture consumption seasonality and uncertainty. Supports future probabilistic forecasts instead of a single estimate.</w:t>
            </w:r>
          </w:p>
        </w:tc>
      </w:tr>
      <w:tr>
        <w:trPr>
          <w:cantSplit/>
        </w:trPr>
        <w:tc>
          <w:tcPr>
            <w:tcW w:type="dxa" w:w="338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 Bansal et al.</w:t>
              <w:br/>
              <w:t>Energy Consumption Forecasting for Smart Meters [3]</w:t>
            </w:r>
          </w:p>
        </w:tc>
        <w:tc>
          <w:tcPr>
            <w:tcW w:type="dxa" w:w="122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2015</w:t>
              <w:br/>
              <w:t>arXiv</w:t>
            </w:r>
          </w:p>
        </w:tc>
        <w:tc>
          <w:tcPr>
            <w:tcW w:type="dxa" w:w="452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Studies boosted decision-tree regression and time-series feature engineering. Offers a possible trained-model upgrade for the current baseline.</w:t>
            </w:r>
          </w:p>
        </w:tc>
      </w:tr>
      <w:tr>
        <w:trPr>
          <w:cantSplit/>
        </w:trPr>
        <w:tc>
          <w:tcPr>
            <w:tcW w:type="dxa" w:w="338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J. Kelly and W. Knottenbelt</w:t>
              <w:br/>
              <w:t>The UK-DALE Dataset [4]</w:t>
            </w:r>
          </w:p>
        </w:tc>
        <w:tc>
          <w:tcPr>
            <w:tcW w:type="dxa" w:w="122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2015</w:t>
              <w:br/>
              <w:t>Scientific Data</w:t>
            </w:r>
          </w:p>
        </w:tc>
        <w:tc>
          <w:tcPr>
            <w:tcW w:type="dxa" w:w="452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Provides aggregate and appliance-level measurements from five homes. Shows why appliance attribution needs measured ground-truth data.</w:t>
            </w:r>
          </w:p>
        </w:tc>
      </w:tr>
      <w:tr>
        <w:trPr>
          <w:cantSplit/>
        </w:trPr>
        <w:tc>
          <w:tcPr>
            <w:tcW w:type="dxa" w:w="338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D. Murray, L. Stankovic and V. Stankovic</w:t>
              <w:br/>
              <w:t>An Electrical Load Measurements Dataset of United Kingdom Households [5]</w:t>
            </w:r>
          </w:p>
        </w:tc>
        <w:tc>
          <w:tcPr>
            <w:tcW w:type="dxa" w:w="122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2017</w:t>
              <w:br/>
              <w:t>Scientific Data</w:t>
            </w:r>
          </w:p>
        </w:tc>
        <w:tc>
          <w:tcPr>
            <w:tcW w:type="dxa" w:w="452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Presents REFIT household and appliance measurements. Provides a candidate dataset for testing forecasting and disaggregation methods.</w:t>
            </w:r>
          </w:p>
        </w:tc>
      </w:tr>
    </w:tbl>
    <w:p>
      <w:pPr>
        <w:spacing w:after="40"/>
      </w:pPr>
      <w:r>
        <w:rPr>
          <w:rFonts w:ascii="Times New Roman" w:hAnsi="Times New Roman"/>
          <w:b w:val="0"/>
        </w:rPr>
      </w:r>
    </w:p>
    <w:p>
      <w:pPr>
        <w:pStyle w:val="Heading2"/>
      </w:pPr>
      <w:r>
        <w:rPr>
          <w:rFonts w:ascii="Times New Roman" w:hAnsi="Times New Roman"/>
          <w:color w:val="000000"/>
        </w:rPr>
        <w:t>Summary and Research Gap</w:t>
      </w:r>
    </w:p>
    <w:p>
      <w:r>
        <w:rPr>
          <w:rFonts w:ascii="Times New Roman" w:hAnsi="Times New Roman"/>
          <w:b w:val="0"/>
        </w:rPr>
        <w:t>The reviewed work informs forecasting, load analysis and appliance-level measurement. GridPulse applies these ideas to an integrated consumer workflow: usage visibility, a spending target, bill comparison, a complaint token and a scheduled consultation. The research gap addressed here is this workflow integration in a demonstrable student prototype; it is not a claim that existing utilities lack digital complaint services.</w:t>
      </w:r>
    </w:p>
    <w:p>
      <w:r>
        <w:rPr>
          <w:rFonts w:ascii="Times New Roman" w:hAnsi="Times New Roman"/>
        </w:rPr>
        <w:br w:type="page"/>
      </w:r>
    </w:p>
    <w:p>
      <w:pPr>
        <w:pStyle w:val="Heading1"/>
      </w:pPr>
      <w:r>
        <w:rPr>
          <w:rFonts w:ascii="Times New Roman" w:hAnsi="Times New Roman"/>
          <w:color w:val="000000"/>
        </w:rPr>
        <w:t>5. Existing Systems</w:t>
      </w:r>
    </w:p>
    <w:p>
      <w:pPr>
        <w:pStyle w:val="Heading2"/>
      </w:pPr>
      <w:r>
        <w:rPr>
          <w:rFonts w:ascii="Times New Roman" w:hAnsi="Times New Roman"/>
          <w:color w:val="000000"/>
        </w:rPr>
        <w:t>1. Utility Consumer Portals</w:t>
      </w:r>
    </w:p>
    <w:p>
      <w:r>
        <w:rPr>
          <w:rFonts w:ascii="Times New Roman" w:hAnsi="Times New Roman"/>
          <w:b w:val="0"/>
        </w:rPr>
        <w:t>MSEDCL’s Web Self Service provides billing and payment history, service requests, complaints and consumption-estimation tools [6]. Its consumer portal also links to complaint registration and tracking. These functions show that digital consumer assistance is already an established approach.</w:t>
      </w:r>
    </w:p>
    <w:p>
      <w:r>
        <w:rPr>
          <w:rFonts w:ascii="Times New Roman" w:hAnsi="Times New Roman"/>
          <w:b w:val="0"/>
        </w:rPr>
        <w:t>Study focus: a consumer still benefits from a single guided journey that connects an understandable usage estimate with a disputed amount, a support token and an appointment mode. The publicly reviewed material does not establish whether every existing portal offers GridPulse’s exact four-hour consultation rule or the same unified dashboard.</w:t>
      </w:r>
    </w:p>
    <w:p>
      <w:pPr>
        <w:pStyle w:val="Heading2"/>
      </w:pPr>
      <w:r>
        <w:rPr>
          <w:rFonts w:ascii="Times New Roman" w:hAnsi="Times New Roman"/>
          <w:color w:val="000000"/>
        </w:rPr>
        <w:t>2. Smart Meter Monitoring Systems</w:t>
      </w:r>
    </w:p>
    <w:p>
      <w:r>
        <w:rPr>
          <w:rFonts w:ascii="Times New Roman" w:hAnsi="Times New Roman"/>
          <w:b w:val="0"/>
        </w:rPr>
        <w:t>Smart-meter applications provide granular readings that support load analysis and forecasting [1]. Their primary strength is visibility into consumption. A monitoring dashboard alone does not necessarily define staff assignment, appointment selection or the handling of a billing query.</w:t>
      </w:r>
    </w:p>
    <w:p>
      <w:r>
        <w:rPr>
          <w:rFonts w:ascii="Times New Roman" w:hAnsi="Times New Roman"/>
          <w:b w:val="0"/>
        </w:rPr>
        <w:t>Limitations for this project: physical installation, device communication, calibration and reliable telemetry must be arranged before a hardware demonstration can represent actual household usage.</w:t>
      </w:r>
    </w:p>
    <w:p>
      <w:pPr>
        <w:pStyle w:val="Heading2"/>
      </w:pPr>
      <w:r>
        <w:rPr>
          <w:rFonts w:ascii="Times New Roman" w:hAnsi="Times New Roman"/>
          <w:color w:val="000000"/>
        </w:rPr>
        <w:t>3. Research Forecasting and Disaggregation Tools</w:t>
      </w:r>
    </w:p>
    <w:p>
      <w:r>
        <w:rPr>
          <w:rFonts w:ascii="Times New Roman" w:hAnsi="Times New Roman"/>
          <w:b w:val="0"/>
        </w:rPr>
        <w:t>Forecasting methods and datasets such as conditional kernel density estimation, UK-DALE and REFIT support analysis of household electricity use [2, 4, 5]. They supply methods or measurements rather than the complete consumer-service application required by this project.</w:t>
      </w:r>
    </w:p>
    <w:p>
      <w:pPr>
        <w:pStyle w:val="Heading2"/>
      </w:pPr>
      <w:r>
        <w:rPr>
          <w:rFonts w:ascii="Times New Roman" w:hAnsi="Times New Roman"/>
          <w:color w:val="000000"/>
        </w:rPr>
        <w:t>Gap Identified</w:t>
      </w:r>
    </w:p>
    <w:p>
      <w:r>
        <w:rPr>
          <w:rFonts w:ascii="Times New Roman" w:hAnsi="Times New Roman"/>
          <w:b w:val="0"/>
        </w:rPr>
        <w:t>The opportunity is to demonstrate a low-cost web workflow that joins monitoring, a transparent cost estimate, budget guidance, discrepancy review and appointment-based complaint assistance. GridPulse complements these established approaches and provides a base for future integration.</w:t>
      </w:r>
    </w:p>
    <w:p>
      <w:r>
        <w:rPr>
          <w:rFonts w:ascii="Times New Roman" w:hAnsi="Times New Roman"/>
        </w:rPr>
        <w:br w:type="page"/>
      </w:r>
    </w:p>
    <w:p>
      <w:pPr>
        <w:pStyle w:val="Heading1"/>
      </w:pPr>
      <w:r>
        <w:rPr>
          <w:rFonts w:ascii="Times New Roman" w:hAnsi="Times New Roman"/>
          <w:color w:val="000000"/>
        </w:rPr>
        <w:t>6. Proposed Solution 1</w:t>
      </w:r>
    </w:p>
    <w:p>
      <w:pPr>
        <w:pStyle w:val="Heading2"/>
      </w:pPr>
      <w:r>
        <w:rPr>
          <w:rFonts w:ascii="Times New Roman" w:hAnsi="Times New Roman"/>
          <w:color w:val="000000"/>
        </w:rPr>
        <w:t>Hardware Smart Meter and Dedicated Monitoring Dashboard</w:t>
      </w:r>
    </w:p>
    <w:p>
      <w:r>
        <w:rPr>
          <w:rFonts w:ascii="Times New Roman" w:hAnsi="Times New Roman"/>
          <w:b w:val="0"/>
        </w:rPr>
        <w:t>This approach installs a sensing device or uses an authorised smart-meter interface to collect electrical measurements. A microcontroller or gateway sends timestamped readings to a server, where a monitoring dashboard presents usage and estimates the monthly bill. Direct measurements make the consumption record more useful than manually entered estimates.</w:t>
      </w:r>
    </w:p>
    <w:p>
      <w:r>
        <w:rPr>
          <w:rFonts w:ascii="Times New Roman" w:hAnsi="Times New Roman"/>
          <w:b w:val="0"/>
        </w:rPr>
        <w:t>The approach is suitable when the main objective is verified energy monitoring. It can capture changes in household demand, support historical analysis and provide input for more advanced forecasting. However, sensing and communication must be calibrated and validated before the readings can support a billing discussion.</w:t>
      </w:r>
    </w:p>
    <w:p>
      <w:pPr>
        <w:pStyle w:val="Heading2"/>
      </w:pPr>
      <w:r>
        <w:rPr>
          <w:rFonts w:ascii="Times New Roman" w:hAnsi="Times New Roman"/>
          <w:color w:val="000000"/>
        </w:rPr>
        <w:t>Advantages</w:t>
      </w:r>
    </w:p>
    <w:p>
      <w:pPr>
        <w:spacing w:after="120"/>
        <w:ind w:left="240" w:hanging="240"/>
      </w:pPr>
      <w:r>
        <w:rPr>
          <w:rFonts w:ascii="Times New Roman" w:hAnsi="Times New Roman"/>
          <w:b w:val="0"/>
        </w:rPr>
        <w:t>• Measured readings can replace simulated telemetry.</w:t>
      </w:r>
    </w:p>
    <w:p>
      <w:pPr>
        <w:spacing w:after="120"/>
        <w:ind w:left="240" w:hanging="240"/>
      </w:pPr>
      <w:r>
        <w:rPr>
          <w:rFonts w:ascii="Times New Roman" w:hAnsi="Times New Roman"/>
          <w:b w:val="0"/>
        </w:rPr>
        <w:t>• A continuous history supports usage analysis and forecasting evaluation.</w:t>
      </w:r>
    </w:p>
    <w:p>
      <w:pPr>
        <w:spacing w:after="120"/>
        <w:ind w:left="240" w:hanging="240"/>
      </w:pPr>
      <w:r>
        <w:rPr>
          <w:rFonts w:ascii="Times New Roman" w:hAnsi="Times New Roman"/>
          <w:b w:val="0"/>
        </w:rPr>
        <w:t>• The device interface can be extended to alerts and power-quality monitoring.</w:t>
      </w:r>
    </w:p>
    <w:p>
      <w:pPr>
        <w:pStyle w:val="Heading2"/>
      </w:pPr>
      <w:r>
        <w:rPr>
          <w:rFonts w:ascii="Times New Roman" w:hAnsi="Times New Roman"/>
          <w:color w:val="000000"/>
        </w:rPr>
        <w:t>Cons</w:t>
      </w:r>
    </w:p>
    <w:p>
      <w:pPr>
        <w:spacing w:after="120"/>
        <w:ind w:left="240" w:hanging="240"/>
      </w:pPr>
      <w:r>
        <w:rPr>
          <w:rFonts w:ascii="Times New Roman" w:hAnsi="Times New Roman"/>
          <w:b w:val="0"/>
        </w:rPr>
        <w:t>• Requires hardware procurement, installation and device maintenance.</w:t>
      </w:r>
    </w:p>
    <w:p>
      <w:pPr>
        <w:spacing w:after="120"/>
        <w:ind w:left="240" w:hanging="240"/>
      </w:pPr>
      <w:r>
        <w:rPr>
          <w:rFonts w:ascii="Times New Roman" w:hAnsi="Times New Roman"/>
          <w:b w:val="0"/>
        </w:rPr>
        <w:t>• Depends on reliable connectivity and synchronisation of timestamps.</w:t>
      </w:r>
    </w:p>
    <w:p>
      <w:pPr>
        <w:spacing w:after="120"/>
        <w:ind w:left="240" w:hanging="240"/>
      </w:pPr>
      <w:r>
        <w:rPr>
          <w:rFonts w:ascii="Times New Roman" w:hAnsi="Times New Roman"/>
          <w:b w:val="0"/>
        </w:rPr>
        <w:t>• Electrical measurements require appropriate isolation and qualified installation.</w:t>
      </w:r>
    </w:p>
    <w:p>
      <w:pPr>
        <w:spacing w:after="120"/>
        <w:ind w:left="240" w:hanging="240"/>
      </w:pPr>
      <w:r>
        <w:rPr>
          <w:rFonts w:ascii="Times New Roman" w:hAnsi="Times New Roman"/>
          <w:b w:val="0"/>
        </w:rPr>
        <w:t>• A monitoring-only dashboard does not complete the complaint and consultation workflow.</w:t>
      </w:r>
    </w:p>
    <w:p>
      <w:pPr>
        <w:spacing w:after="120"/>
        <w:ind w:left="240" w:hanging="240"/>
      </w:pPr>
      <w:r>
        <w:rPr>
          <w:rFonts w:ascii="Times New Roman" w:hAnsi="Times New Roman"/>
          <w:b w:val="0"/>
        </w:rPr>
        <w:t>• Hardware delays can reduce the time available to demonstrate the web-service modules.</w:t>
      </w:r>
    </w:p>
    <w:p>
      <w:r>
        <w:rPr>
          <w:rFonts w:ascii="Times New Roman" w:hAnsi="Times New Roman"/>
          <w:b w:val="0"/>
        </w:rPr>
        <w:t>This option is retained as a future integration path. The present project uses a simulator so that the complete consumer assistance workflow can be developed and demonstrated without claiming physical-meter validation.</w:t>
      </w:r>
    </w:p>
    <w:p>
      <w:r>
        <w:rPr>
          <w:rFonts w:ascii="Times New Roman" w:hAnsi="Times New Roman"/>
        </w:rPr>
        <w:br w:type="page"/>
      </w:r>
    </w:p>
    <w:p>
      <w:pPr>
        <w:pStyle w:val="Heading1"/>
      </w:pPr>
      <w:r>
        <w:rPr>
          <w:rFonts w:ascii="Times New Roman" w:hAnsi="Times New Roman"/>
          <w:color w:val="000000"/>
        </w:rPr>
        <w:t>7. Proposed Solution 2</w:t>
      </w:r>
    </w:p>
    <w:p>
      <w:pPr>
        <w:pStyle w:val="Heading2"/>
      </w:pPr>
      <w:r>
        <w:rPr>
          <w:rFonts w:ascii="Times New Roman" w:hAnsi="Times New Roman"/>
          <w:color w:val="000000"/>
        </w:rPr>
        <w:t>Mobile Consumer Support Application</w:t>
      </w:r>
    </w:p>
    <w:p>
      <w:r>
        <w:rPr>
          <w:rFonts w:ascii="Times New Roman" w:hAnsi="Times New Roman"/>
          <w:b w:val="0"/>
        </w:rPr>
        <w:t>A dedicated mobile application can allow consumers to raise tickets, upload a bill, receive notifications and choose a support appointment. Staff use a separate administration interface to review cases and maintain consultation schedules. This approach prioritises access from a phone and convenient communication.</w:t>
      </w:r>
    </w:p>
    <w:p>
      <w:r>
        <w:rPr>
          <w:rFonts w:ascii="Times New Roman" w:hAnsi="Times New Roman"/>
          <w:b w:val="0"/>
        </w:rPr>
        <w:t>Mobile delivery suits regular reminders and camera-based document capture. It can later support regional languages, offline forms and push notifications. However, building and maintaining an installed application adds distribution and update work, while utility staff still need a desktop-friendly console.</w:t>
      </w:r>
    </w:p>
    <w:p>
      <w:pPr>
        <w:pStyle w:val="Heading2"/>
      </w:pPr>
      <w:r>
        <w:rPr>
          <w:rFonts w:ascii="Times New Roman" w:hAnsi="Times New Roman"/>
          <w:color w:val="000000"/>
        </w:rPr>
        <w:t>Advantages</w:t>
      </w:r>
    </w:p>
    <w:p>
      <w:pPr>
        <w:spacing w:after="120"/>
        <w:ind w:left="240" w:hanging="240"/>
      </w:pPr>
      <w:r>
        <w:rPr>
          <w:rFonts w:ascii="Times New Roman" w:hAnsi="Times New Roman"/>
          <w:b w:val="0"/>
        </w:rPr>
        <w:t>• Convenient ticket creation and bill capture from a smartphone.</w:t>
      </w:r>
    </w:p>
    <w:p>
      <w:pPr>
        <w:spacing w:after="120"/>
        <w:ind w:left="240" w:hanging="240"/>
      </w:pPr>
      <w:r>
        <w:rPr>
          <w:rFonts w:ascii="Times New Roman" w:hAnsi="Times New Roman"/>
          <w:b w:val="0"/>
        </w:rPr>
        <w:t>• Push notifications can support complaint updates and reminders.</w:t>
      </w:r>
    </w:p>
    <w:p>
      <w:pPr>
        <w:spacing w:after="120"/>
        <w:ind w:left="240" w:hanging="240"/>
      </w:pPr>
      <w:r>
        <w:rPr>
          <w:rFonts w:ascii="Times New Roman" w:hAnsi="Times New Roman"/>
          <w:b w:val="0"/>
        </w:rPr>
        <w:t>• A mobile interface can improve access for consumers who mainly use phones.</w:t>
      </w:r>
    </w:p>
    <w:p>
      <w:pPr>
        <w:pStyle w:val="Heading2"/>
      </w:pPr>
      <w:r>
        <w:rPr>
          <w:rFonts w:ascii="Times New Roman" w:hAnsi="Times New Roman"/>
          <w:color w:val="000000"/>
        </w:rPr>
        <w:t>Cons</w:t>
      </w:r>
    </w:p>
    <w:p>
      <w:pPr>
        <w:spacing w:after="120"/>
        <w:ind w:left="240" w:hanging="240"/>
      </w:pPr>
      <w:r>
        <w:rPr>
          <w:rFonts w:ascii="Times New Roman" w:hAnsi="Times New Roman"/>
          <w:b w:val="0"/>
        </w:rPr>
        <w:t>• Separate application packaging and testing add development effort.</w:t>
      </w:r>
    </w:p>
    <w:p>
      <w:pPr>
        <w:spacing w:after="120"/>
        <w:ind w:left="240" w:hanging="240"/>
      </w:pPr>
      <w:r>
        <w:rPr>
          <w:rFonts w:ascii="Times New Roman" w:hAnsi="Times New Roman"/>
          <w:b w:val="0"/>
        </w:rPr>
        <w:t>• Users must install the app and receive updates.</w:t>
      </w:r>
    </w:p>
    <w:p>
      <w:pPr>
        <w:spacing w:after="120"/>
        <w:ind w:left="240" w:hanging="240"/>
      </w:pPr>
      <w:r>
        <w:rPr>
          <w:rFonts w:ascii="Times New Roman" w:hAnsi="Times New Roman"/>
          <w:b w:val="0"/>
        </w:rPr>
        <w:t>• External notification services and reliable delivery require integration.</w:t>
      </w:r>
    </w:p>
    <w:p>
      <w:pPr>
        <w:spacing w:after="120"/>
        <w:ind w:left="240" w:hanging="240"/>
      </w:pPr>
      <w:r>
        <w:rPr>
          <w:rFonts w:ascii="Times New Roman" w:hAnsi="Times New Roman"/>
          <w:b w:val="0"/>
        </w:rPr>
        <w:t>• A support-only application does not by itself provide consumption forecasting.</w:t>
      </w:r>
    </w:p>
    <w:p>
      <w:pPr>
        <w:spacing w:after="120"/>
        <w:ind w:left="240" w:hanging="240"/>
      </w:pPr>
      <w:r>
        <w:rPr>
          <w:rFonts w:ascii="Times New Roman" w:hAnsi="Times New Roman"/>
          <w:b w:val="0"/>
        </w:rPr>
        <w:t>• Staff require an additional interface for locality analytics and case management.</w:t>
      </w:r>
    </w:p>
    <w:p>
      <w:r>
        <w:rPr>
          <w:rFonts w:ascii="Times New Roman" w:hAnsi="Times New Roman"/>
          <w:b w:val="0"/>
        </w:rPr>
        <w:t>This approach is feasible as a later extension. A responsive web application offers a simpler starting point because consumers and utility staff can access the same system through a browser.</w:t>
      </w:r>
    </w:p>
    <w:p>
      <w:r>
        <w:rPr>
          <w:rFonts w:ascii="Times New Roman" w:hAnsi="Times New Roman"/>
        </w:rPr>
        <w:br w:type="page"/>
      </w:r>
    </w:p>
    <w:p>
      <w:pPr>
        <w:pStyle w:val="Heading1"/>
      </w:pPr>
      <w:r>
        <w:rPr>
          <w:rFonts w:ascii="Times New Roman" w:hAnsi="Times New Roman"/>
          <w:color w:val="000000"/>
        </w:rPr>
        <w:t>8. Proposed Recommended Solution</w:t>
      </w:r>
    </w:p>
    <w:p>
      <w:pPr>
        <w:pStyle w:val="Heading2"/>
      </w:pPr>
      <w:r>
        <w:rPr>
          <w:rFonts w:ascii="Times New Roman" w:hAnsi="Times New Roman"/>
          <w:color w:val="000000"/>
        </w:rPr>
        <w:t>GridPulse Integrated Web System</w:t>
      </w:r>
    </w:p>
    <w:p>
      <w:r>
        <w:rPr>
          <w:rFonts w:ascii="Times New Roman" w:hAnsi="Times New Roman"/>
          <w:b w:val="0"/>
        </w:rPr>
        <w:t>The recommended solution combines energy monitoring and consumer assistance in a responsive web application. React provides the citizen and operations interfaces. FastAPI exposes JSON endpoints for authentication, telemetry, billing, budgets, complaints, appointments and reports. A MongoDB-compatible layer holds operational records, with an in-memory fallback for local demonstration.</w:t>
      </w:r>
    </w:p>
    <w:p>
      <w:r>
        <w:rPr>
          <w:rFonts w:ascii="Times New Roman" w:hAnsi="Times New Roman"/>
          <w:b w:val="0"/>
        </w:rPr>
        <w:t>The consumer sees simulated meter readings, an estimated bill and a budget status. If an entered bill differs from the estimate by at least Rs 150, the system flags it for review. A ticket receives a GP-prefixed token and an appointment. Offline is the default; the mode can change before the four-hour boundary. Utility staff review cases, change assignments and view aggregate patterns.</w:t>
      </w:r>
    </w:p>
    <w:p>
      <w:pPr>
        <w:pStyle w:val="Heading2"/>
      </w:pPr>
      <w:r>
        <w:rPr>
          <w:rFonts w:ascii="Times New Roman" w:hAnsi="Times New Roman"/>
          <w:color w:val="000000"/>
        </w:rPr>
        <w:t>Pros</w:t>
      </w:r>
    </w:p>
    <w:p>
      <w:pPr>
        <w:spacing w:after="120"/>
        <w:ind w:left="240" w:hanging="240"/>
      </w:pPr>
      <w:r>
        <w:rPr>
          <w:rFonts w:ascii="Times New Roman" w:hAnsi="Times New Roman"/>
          <w:b w:val="0"/>
        </w:rPr>
        <w:t>• Feasible within a semester because the workflow can run on a standard computer.</w:t>
      </w:r>
    </w:p>
    <w:p>
      <w:pPr>
        <w:spacing w:after="120"/>
        <w:ind w:left="240" w:hanging="240"/>
      </w:pPr>
      <w:r>
        <w:rPr>
          <w:rFonts w:ascii="Times New Roman" w:hAnsi="Times New Roman"/>
          <w:b w:val="0"/>
        </w:rPr>
        <w:t>• Accessible from a browser without a separate installed consumer application.</w:t>
      </w:r>
    </w:p>
    <w:p>
      <w:pPr>
        <w:spacing w:after="120"/>
        <w:ind w:left="240" w:hanging="240"/>
      </w:pPr>
      <w:r>
        <w:rPr>
          <w:rFonts w:ascii="Times New Roman" w:hAnsi="Times New Roman"/>
          <w:b w:val="0"/>
        </w:rPr>
        <w:t>• Connects energy awareness, expenditure planning and support handling.</w:t>
      </w:r>
    </w:p>
    <w:p>
      <w:pPr>
        <w:spacing w:after="120"/>
        <w:ind w:left="240" w:hanging="240"/>
      </w:pPr>
      <w:r>
        <w:rPr>
          <w:rFonts w:ascii="Times New Roman" w:hAnsi="Times New Roman"/>
          <w:b w:val="0"/>
        </w:rPr>
        <w:t>• Explains the bill calculation through a visible slab breakdown.</w:t>
      </w:r>
    </w:p>
    <w:p>
      <w:pPr>
        <w:spacing w:after="120"/>
        <w:ind w:left="240" w:hanging="240"/>
      </w:pPr>
      <w:r>
        <w:rPr>
          <w:rFonts w:ascii="Times New Roman" w:hAnsi="Times New Roman"/>
          <w:b w:val="0"/>
        </w:rPr>
        <w:t>• Provides a shared complaint queue and consultation calendar for operations.</w:t>
      </w:r>
    </w:p>
    <w:p>
      <w:pPr>
        <w:spacing w:after="120"/>
        <w:ind w:left="240" w:hanging="240"/>
      </w:pPr>
      <w:r>
        <w:rPr>
          <w:rFonts w:ascii="Times New Roman" w:hAnsi="Times New Roman"/>
          <w:b w:val="0"/>
        </w:rPr>
        <w:t>• Allows simulated scenarios to demonstrate changing load and billing queries.</w:t>
      </w:r>
    </w:p>
    <w:p>
      <w:pPr>
        <w:spacing w:after="120"/>
        <w:ind w:left="240" w:hanging="240"/>
      </w:pPr>
      <w:r>
        <w:rPr>
          <w:rFonts w:ascii="Times New Roman" w:hAnsi="Times New Roman"/>
          <w:b w:val="0"/>
        </w:rPr>
        <w:t>• Supports later replacement of simulated data with authorised meter readings.</w:t>
      </w:r>
    </w:p>
    <w:p>
      <w:pPr>
        <w:pStyle w:val="Heading2"/>
      </w:pPr>
      <w:r>
        <w:rPr>
          <w:rFonts w:ascii="Times New Roman" w:hAnsi="Times New Roman"/>
          <w:color w:val="000000"/>
        </w:rPr>
        <w:t>Prototype Boundary</w:t>
      </w:r>
    </w:p>
    <w:p>
      <w:r>
        <w:rPr>
          <w:rFonts w:ascii="Times New Roman" w:hAnsi="Times New Roman"/>
          <w:b w:val="0"/>
        </w:rPr>
        <w:t>The current implementation demonstrates application behaviour. Its “AI” interface labels refer to the planned product concept: the implemented forecast is a seven-day-average baseline, advice is rule-based, and appliance shares are illustrative. Physical sensing, robust security, external reminders and validated predictive accuracy require further development.</w:t>
      </w:r>
    </w:p>
    <w:p>
      <w:r>
        <w:rPr>
          <w:rFonts w:ascii="Times New Roman" w:hAnsi="Times New Roman"/>
        </w:rPr>
        <w:br w:type="page"/>
      </w:r>
    </w:p>
    <w:p>
      <w:pPr>
        <w:pStyle w:val="Heading1"/>
      </w:pPr>
      <w:r>
        <w:rPr>
          <w:rFonts w:ascii="Times New Roman" w:hAnsi="Times New Roman"/>
          <w:color w:val="000000"/>
        </w:rPr>
        <w:t>9. Flow Diagram / Architecture of Proposed System</w:t>
      </w:r>
    </w:p>
    <w:p>
      <w:pPr>
        <w:pStyle w:val="Heading2"/>
      </w:pPr>
      <w:r>
        <w:rPr>
          <w:rFonts w:ascii="Times New Roman" w:hAnsi="Times New Roman"/>
          <w:color w:val="000000"/>
        </w:rPr>
        <w:t>Three-Tier Architecture</w:t>
      </w:r>
    </w:p>
    <w:p>
      <w:r>
        <w:rPr>
          <w:rFonts w:ascii="Times New Roman" w:hAnsi="Times New Roman"/>
          <w:b w:val="0"/>
        </w:rPr>
        <w:t>The presentation layer contains React components and charts. The application layer receives HTTP requests through FastAPI routers and applies billing, budget and appointment rules. The data layer supplies consumer, complaint, notification and sample operational records. Telemetry and billing histories are generated by the simulator or returned as demonstration records.</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760720" cy="41148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60720" cy="4114800"/>
                    </a:xfrm>
                    <a:prstGeom prst="rect"/>
                  </pic:spPr>
                </pic:pic>
              </a:graphicData>
            </a:graphic>
          </wp:inline>
        </w:drawing>
      </w:r>
    </w:p>
    <w:p>
      <w:pPr>
        <w:pStyle w:val="Caption"/>
        <w:keepNext w:val="0"/>
      </w:pPr>
      <w:r>
        <w:rPr>
          <w:rFonts w:ascii="Times New Roman" w:hAnsi="Times New Roman"/>
        </w:rPr>
        <w:t>Fig. 1: Three-tier architecture of GridPulse</w:t>
      </w:r>
    </w:p>
    <w:p>
      <w:r>
        <w:rPr>
          <w:rFonts w:ascii="Times New Roman" w:hAnsi="Times New Roman"/>
        </w:rPr>
        <w:br w:type="page"/>
      </w:r>
    </w:p>
    <w:p>
      <w:pPr>
        <w:pStyle w:val="Heading1"/>
      </w:pPr>
      <w:r>
        <w:rPr>
          <w:rFonts w:ascii="Times New Roman" w:hAnsi="Times New Roman"/>
          <w:color w:val="000000"/>
        </w:rPr>
        <w:t>Consumer Service Flow Diagram</w:t>
      </w:r>
    </w:p>
    <w:p>
      <w:r>
        <w:rPr>
          <w:rFonts w:ascii="Times New Roman" w:hAnsi="Times New Roman"/>
          <w:b w:val="0"/>
        </w:rPr>
        <w:t>The diagram connects consumption information with a support request. A variance alert starts a review workflow; it does not establish that a utility bill is incorrect. The consumer may also raise a complaint directly for another electricity-related issue.</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4147457"/>
            <wp:docPr id="4" name="Picture 4"/>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5806440" cy="4147457"/>
                    </a:xfrm>
                    <a:prstGeom prst="rect"/>
                  </pic:spPr>
                </pic:pic>
              </a:graphicData>
            </a:graphic>
          </wp:inline>
        </w:drawing>
      </w:r>
    </w:p>
    <w:p>
      <w:pPr>
        <w:pStyle w:val="Caption"/>
        <w:keepNext w:val="0"/>
      </w:pPr>
      <w:r>
        <w:rPr>
          <w:rFonts w:ascii="Times New Roman" w:hAnsi="Times New Roman"/>
        </w:rPr>
        <w:t>Fig. 2: Consumer monitoring and complaint handling flow</w:t>
      </w:r>
    </w:p>
    <w:p>
      <w:r>
        <w:rPr>
          <w:rFonts w:ascii="Times New Roman" w:hAnsi="Times New Roman"/>
        </w:rPr>
        <w:br w:type="page"/>
      </w:r>
    </w:p>
    <w:p>
      <w:pPr>
        <w:pStyle w:val="Heading1"/>
      </w:pPr>
      <w:r>
        <w:rPr>
          <w:rFonts w:ascii="Times New Roman" w:hAnsi="Times New Roman"/>
          <w:color w:val="000000"/>
        </w:rPr>
        <w:t>Appointment Rules and Complaint Status</w:t>
      </w:r>
    </w:p>
    <w:p>
      <w:pPr>
        <w:pStyle w:val="Heading2"/>
      </w:pPr>
      <w:r>
        <w:rPr>
          <w:rFonts w:ascii="Times New Roman" w:hAnsi="Times New Roman"/>
          <w:color w:val="000000"/>
        </w:rPr>
        <w:t>Appointment Mode Selection</w:t>
      </w:r>
    </w:p>
    <w:p>
      <w:r>
        <w:rPr>
          <w:rFonts w:ascii="Times New Roman" w:hAnsi="Times New Roman"/>
          <w:b w:val="0"/>
        </w:rPr>
        <w:t>New complaints receive an appointment approximately 24 hours later. The default mode is offline. The backend rejects a mode update when the time remaining is four hours or less. The intended two-hour reminder is represented by demonstration alerts; no automated call, SMS or email service is connected.</w:t>
      </w:r>
    </w:p>
    <w:tbl>
      <w:tblPr>
        <w:tblW w:type="auto" w:w="0"/>
        <w:tblLayout w:type="fixed"/>
        <w:tblLook w:firstColumn="1" w:firstRow="1" w:lastColumn="0" w:lastRow="0" w:noHBand="0" w:noVBand="1" w:val="04A0"/>
      </w:tblPr>
      <w:tblGrid>
        <w:gridCol w:w="3091"/>
        <w:gridCol w:w="3091"/>
        <w:gridCol w:w="3091"/>
      </w:tblGrid>
      <w:tr>
        <w:trPr>
          <w:tblHeader/>
          <w:cantSplit/>
        </w:trPr>
        <w:tc>
          <w:tcPr>
            <w:tcW w:type="dxa" w:w="1771"/>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Time Before Appointment</w:t>
            </w:r>
          </w:p>
        </w:tc>
        <w:tc>
          <w:tcPr>
            <w:tcW w:type="dxa" w:w="3499"/>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Intended Behaviour</w:t>
            </w:r>
          </w:p>
        </w:tc>
        <w:tc>
          <w:tcPr>
            <w:tcW w:type="dxa" w:w="3859"/>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Current Behaviour</w:t>
            </w:r>
          </w:p>
        </w:tc>
      </w:tr>
      <w:tr>
        <w:trPr>
          <w:cantSplit/>
        </w:trPr>
        <w:tc>
          <w:tcPr>
            <w:tcW w:type="dxa" w:w="177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More than 4 hours</w:t>
            </w:r>
          </w:p>
        </w:tc>
        <w:tc>
          <w:tcPr>
            <w:tcW w:type="dxa" w:w="3499"/>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Consumer can change online / offline mode.</w:t>
            </w:r>
          </w:p>
        </w:tc>
        <w:tc>
          <w:tcPr>
            <w:tcW w:type="dxa" w:w="3859"/>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Mode update accepted by the endpoint.</w:t>
            </w:r>
          </w:p>
        </w:tc>
      </w:tr>
      <w:tr>
        <w:trPr>
          <w:cantSplit/>
        </w:trPr>
        <w:tc>
          <w:tcPr>
            <w:tcW w:type="dxa" w:w="177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4 hours or less</w:t>
            </w:r>
          </w:p>
        </w:tc>
        <w:tc>
          <w:tcPr>
            <w:tcW w:type="dxa" w:w="3499"/>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Selected mode becomes locked.</w:t>
            </w:r>
          </w:p>
        </w:tc>
        <w:tc>
          <w:tcPr>
            <w:tcW w:type="dxa" w:w="3859"/>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Backend returns HTTP 400 for changes.</w:t>
            </w:r>
          </w:p>
        </w:tc>
      </w:tr>
      <w:tr>
        <w:trPr>
          <w:cantSplit/>
        </w:trPr>
        <w:tc>
          <w:tcPr>
            <w:tcW w:type="dxa" w:w="177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Around 2 hours</w:t>
            </w:r>
          </w:p>
        </w:tc>
        <w:tc>
          <w:tcPr>
            <w:tcW w:type="dxa" w:w="3499"/>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CSR and consumer receive a reminder.</w:t>
            </w:r>
          </w:p>
        </w:tc>
        <w:tc>
          <w:tcPr>
            <w:tcW w:type="dxa" w:w="3859"/>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UI demonstration flag uses a window up to 2.5 hours; delivery is not scheduled.</w:t>
            </w:r>
          </w:p>
        </w:tc>
      </w:tr>
      <w:tr>
        <w:trPr>
          <w:cantSplit/>
        </w:trPr>
        <w:tc>
          <w:tcPr>
            <w:tcW w:type="dxa" w:w="177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No selection</w:t>
            </w:r>
          </w:p>
        </w:tc>
        <w:tc>
          <w:tcPr>
            <w:tcW w:type="dxa" w:w="3499"/>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Offline visit is assumed.</w:t>
            </w:r>
          </w:p>
        </w:tc>
        <w:tc>
          <w:tcPr>
            <w:tcW w:type="dxa" w:w="3859"/>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Complaint model defaults to offline.</w:t>
            </w:r>
          </w:p>
        </w:tc>
      </w:tr>
    </w:tbl>
    <w:p>
      <w:pPr>
        <w:spacing w:after="40"/>
      </w:pPr>
      <w:r>
        <w:rPr>
          <w:rFonts w:ascii="Times New Roman" w:hAnsi="Times New Roman"/>
          <w:b w:val="0"/>
        </w:rPr>
      </w:r>
    </w:p>
    <w:p>
      <w:pPr>
        <w:pStyle w:val="Heading2"/>
      </w:pPr>
      <w:r>
        <w:rPr>
          <w:rFonts w:ascii="Times New Roman" w:hAnsi="Times New Roman"/>
          <w:color w:val="000000"/>
        </w:rPr>
        <w:t>Complaint Status Sequence</w:t>
      </w:r>
    </w:p>
    <w:p>
      <w:r>
        <w:rPr>
          <w:rFonts w:ascii="Times New Roman" w:hAnsi="Times New Roman"/>
          <w:b w:val="0"/>
        </w:rPr>
        <w:t>The interface presents Submitted, Under Review, In Progress and Resolved as the expected sequence. The status endpoint updates the stored status and creates a notification. It currently accepts a free-text status value, so enforcing the complete transition sequence on the server is a future improvement.</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1201332"/>
            <wp:docPr id="5" name="Picture 5"/>
            <wp:cNvGraphicFramePr>
              <a:graphicFrameLocks noChangeAspect="1"/>
            </wp:cNvGraphicFramePr>
            <a:graphic>
              <a:graphicData uri="http://schemas.openxmlformats.org/drawingml/2006/picture">
                <pic:pic>
                  <pic:nvPicPr>
                    <pic:cNvPr id="0" name="states.png"/>
                    <pic:cNvPicPr/>
                  </pic:nvPicPr>
                  <pic:blipFill>
                    <a:blip r:embed="rId15"/>
                    <a:stretch>
                      <a:fillRect/>
                    </a:stretch>
                  </pic:blipFill>
                  <pic:spPr>
                    <a:xfrm>
                      <a:off x="0" y="0"/>
                      <a:ext cx="5806440" cy="1201332"/>
                    </a:xfrm>
                    <a:prstGeom prst="rect"/>
                  </pic:spPr>
                </pic:pic>
              </a:graphicData>
            </a:graphic>
          </wp:inline>
        </w:drawing>
      </w:r>
    </w:p>
    <w:p>
      <w:pPr>
        <w:pStyle w:val="Caption"/>
        <w:keepNext w:val="0"/>
      </w:pPr>
      <w:r>
        <w:rPr>
          <w:rFonts w:ascii="Times New Roman" w:hAnsi="Times New Roman"/>
        </w:rPr>
        <w:t>Fig. 3: Intended complaint status sequence</w:t>
      </w:r>
    </w:p>
    <w:p>
      <w:r>
        <w:rPr>
          <w:rFonts w:ascii="Times New Roman" w:hAnsi="Times New Roman"/>
        </w:rPr>
        <w:br w:type="page"/>
      </w:r>
    </w:p>
    <w:p>
      <w:pPr>
        <w:pStyle w:val="Heading1"/>
      </w:pPr>
      <w:r>
        <w:rPr>
          <w:rFonts w:ascii="Times New Roman" w:hAnsi="Times New Roman"/>
          <w:color w:val="000000"/>
        </w:rPr>
        <w:t>Use Case Diagram</w:t>
      </w:r>
    </w:p>
    <w:p>
      <w:r>
        <w:rPr>
          <w:rFonts w:ascii="Times New Roman" w:hAnsi="Times New Roman"/>
          <w:b w:val="0"/>
        </w:rPr>
        <w:t>The two main application views are the citizen portal and utility operations portal. The following diagram groups their available activities. Portal switching is provided for demonstration; these views should not be treated as proof of secure role enforcement.</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4147457"/>
            <wp:docPr id="6" name="Picture 6"/>
            <wp:cNvGraphicFramePr>
              <a:graphicFrameLocks noChangeAspect="1"/>
            </wp:cNvGraphicFramePr>
            <a:graphic>
              <a:graphicData uri="http://schemas.openxmlformats.org/drawingml/2006/picture">
                <pic:pic>
                  <pic:nvPicPr>
                    <pic:cNvPr id="0" name="usecases.png"/>
                    <pic:cNvPicPr/>
                  </pic:nvPicPr>
                  <pic:blipFill>
                    <a:blip r:embed="rId16"/>
                    <a:stretch>
                      <a:fillRect/>
                    </a:stretch>
                  </pic:blipFill>
                  <pic:spPr>
                    <a:xfrm>
                      <a:off x="0" y="0"/>
                      <a:ext cx="5806440" cy="4147457"/>
                    </a:xfrm>
                    <a:prstGeom prst="rect"/>
                  </pic:spPr>
                </pic:pic>
              </a:graphicData>
            </a:graphic>
          </wp:inline>
        </w:drawing>
      </w:r>
    </w:p>
    <w:p>
      <w:pPr>
        <w:pStyle w:val="Caption"/>
        <w:keepNext w:val="0"/>
      </w:pPr>
      <w:r>
        <w:rPr>
          <w:rFonts w:ascii="Times New Roman" w:hAnsi="Times New Roman"/>
        </w:rPr>
        <w:t>Fig. 4: Use cases for citizen and utility operations views</w:t>
      </w:r>
    </w:p>
    <w:p>
      <w:r>
        <w:rPr>
          <w:rFonts w:ascii="Times New Roman" w:hAnsi="Times New Roman"/>
        </w:rPr>
        <w:br w:type="page"/>
      </w:r>
    </w:p>
    <w:p>
      <w:pPr>
        <w:pStyle w:val="Heading1"/>
      </w:pPr>
      <w:r>
        <w:rPr>
          <w:rFonts w:ascii="Times New Roman" w:hAnsi="Times New Roman"/>
          <w:color w:val="000000"/>
        </w:rPr>
        <w:t>Database Design</w:t>
      </w:r>
    </w:p>
    <w:p>
      <w:r>
        <w:rPr>
          <w:rFonts w:ascii="Times New Roman" w:hAnsi="Times New Roman"/>
          <w:b w:val="0"/>
        </w:rPr>
        <w:t>The backend uses document collections rather than relational tables. Consumer email connects a user to complaint and notification records. Each complaint stores its appointment details, so the current design has no separate appointment collection. Telemetry histories are produced by the simulator; persistent measured histories remain a future data pipeline.</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120640" cy="3657600"/>
            <wp:docPr id="7" name="Picture 7"/>
            <wp:cNvGraphicFramePr>
              <a:graphicFrameLocks noChangeAspect="1"/>
            </wp:cNvGraphicFramePr>
            <a:graphic>
              <a:graphicData uri="http://schemas.openxmlformats.org/drawingml/2006/picture">
                <pic:pic>
                  <pic:nvPicPr>
                    <pic:cNvPr id="0" name="data-model.png"/>
                    <pic:cNvPicPr/>
                  </pic:nvPicPr>
                  <pic:blipFill>
                    <a:blip r:embed="rId17"/>
                    <a:stretch>
                      <a:fillRect/>
                    </a:stretch>
                  </pic:blipFill>
                  <pic:spPr>
                    <a:xfrm>
                      <a:off x="0" y="0"/>
                      <a:ext cx="5120640" cy="3657600"/>
                    </a:xfrm>
                    <a:prstGeom prst="rect"/>
                  </pic:spPr>
                </pic:pic>
              </a:graphicData>
            </a:graphic>
          </wp:inline>
        </w:drawing>
      </w:r>
    </w:p>
    <w:p>
      <w:pPr>
        <w:pStyle w:val="Caption"/>
        <w:keepNext w:val="0"/>
      </w:pPr>
      <w:r>
        <w:rPr>
          <w:rFonts w:ascii="Times New Roman" w:hAnsi="Times New Roman"/>
        </w:rPr>
        <w:t>Fig. 5: Principal document records and logical associations</w:t>
      </w:r>
    </w:p>
    <w:p>
      <w:r>
        <w:rPr>
          <w:rFonts w:ascii="Times New Roman" w:hAnsi="Times New Roman"/>
          <w:b w:val="0"/>
        </w:rPr>
        <w:t>The associations shown are application-level lookups. Production work should add unique indexes for consumer identifiers and ticket tokens, timestamped status history, persistent meter readings and a durable appointment scheduler.</w:t>
      </w:r>
    </w:p>
    <w:p>
      <w:r>
        <w:rPr>
          <w:rFonts w:ascii="Times New Roman" w:hAnsi="Times New Roman"/>
        </w:rPr>
        <w:br w:type="page"/>
      </w:r>
    </w:p>
    <w:p>
      <w:pPr>
        <w:pStyle w:val="Heading1"/>
      </w:pPr>
      <w:r>
        <w:rPr>
          <w:rFonts w:ascii="Times New Roman" w:hAnsi="Times New Roman"/>
          <w:color w:val="000000"/>
        </w:rPr>
        <w:t>Functional Requirements</w:t>
      </w:r>
    </w:p>
    <w:p>
      <w:r>
        <w:rPr>
          <w:rFonts w:ascii="Times New Roman" w:hAnsi="Times New Roman"/>
          <w:b w:val="0"/>
        </w:rPr>
        <w:t>The following requirements retain the FR1-FR14 identifiers from the project specification. The implementation column distinguishes demonstrated behaviour from features that still require integration.</w:t>
      </w:r>
    </w:p>
    <w:tbl>
      <w:tblPr>
        <w:tblW w:type="auto" w:w="0"/>
        <w:tblLayout w:type="fixed"/>
        <w:tblLook w:firstColumn="1" w:firstRow="1" w:lastColumn="0" w:lastRow="0" w:noHBand="0" w:noVBand="1" w:val="04A0"/>
      </w:tblPr>
      <w:tblGrid>
        <w:gridCol w:w="3091"/>
        <w:gridCol w:w="3091"/>
        <w:gridCol w:w="3091"/>
      </w:tblGrid>
      <w:tr>
        <w:trPr>
          <w:tblHeade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ID</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Requirement</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Prototype Implementation</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FR1</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Registration and login</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Email-based registration and demonstration login; secure production authentication pending.</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FR2</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Live electricity monitoring</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Simulated telemetry polled every 3 seconds; physical sensor pending.</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FR3</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Monthly bill prediction</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Seven-day average projected to the month; illustrative slab tariff.</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FR4</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Budget suggestions</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Consumer spending interval and rule-based advice; appliance shares are assumed.</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FR5</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Complaint registration</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Category, severity, description, consultation mode and evidence flag.</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FR6</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Token generation</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Random GP-prefixed token returned for each new complaint.</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FR7</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Appointment scheduling</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Slot assigned about 24 hours later; offline default and mode selection.</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FR8</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Service reminders</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Lock implemented; reminder flags demonstrated; calls and external delivery pending.</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FR9</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Bill comparison</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Absolute variance of Rs 150 or more produces an alert.</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FR10</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Consumption reports</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Sample usage charts and printable report; no trained AI or certified audit.</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FR11</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Citizen dashboard</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Usage, forecast, budget, verification, tickets and appointment views.</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FR12</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Operations dashboard</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Complaint statistics, demand charts, assignments and consumer views.</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FR13</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Complaint tracking</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Status update endpoint and visible progress indicators.</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FR14</w:t>
            </w:r>
          </w:p>
        </w:tc>
        <w:tc>
          <w:tcPr>
            <w:tcW w:type="dxa" w:w="250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Historical records</w:t>
            </w:r>
          </w:p>
        </w:tc>
        <w:tc>
          <w:tcPr>
            <w:tcW w:type="dxa" w:w="590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Six sample billing rows and CSV export; measured persistent history pending.</w:t>
            </w:r>
          </w:p>
        </w:tc>
      </w:tr>
    </w:tbl>
    <w:p>
      <w:pPr>
        <w:spacing w:after="40"/>
      </w:pPr>
      <w:r>
        <w:rPr>
          <w:rFonts w:ascii="Times New Roman" w:hAnsi="Times New Roman"/>
          <w:b w:val="0"/>
        </w:rPr>
      </w:r>
    </w:p>
    <w:p>
      <w:r>
        <w:rPr>
          <w:rFonts w:ascii="Times New Roman" w:hAnsi="Times New Roman"/>
        </w:rPr>
        <w:br w:type="page"/>
      </w:r>
    </w:p>
    <w:p>
      <w:pPr>
        <w:pStyle w:val="Heading1"/>
      </w:pPr>
      <w:r>
        <w:rPr>
          <w:rFonts w:ascii="Times New Roman" w:hAnsi="Times New Roman"/>
          <w:color w:val="000000"/>
        </w:rPr>
        <w:t>Non-Functional Requirements</w:t>
      </w:r>
    </w:p>
    <w:p>
      <w:r>
        <w:rPr>
          <w:rFonts w:ascii="Times New Roman" w:hAnsi="Times New Roman"/>
          <w:b w:val="0"/>
        </w:rPr>
        <w:t>These are the quality targets from the specification and the corresponding development priorities. They are not measured service-level results. A three-second polling interval does not establish a three-second page load or production capacity.</w:t>
      </w:r>
    </w:p>
    <w:tbl>
      <w:tblPr>
        <w:tblW w:type="auto" w:w="0"/>
        <w:tblLayout w:type="fixed"/>
        <w:tblLook w:firstColumn="1" w:firstRow="1" w:lastColumn="0" w:lastRow="0" w:noHBand="0" w:noVBand="1" w:val="04A0"/>
      </w:tblPr>
      <w:tblGrid>
        <w:gridCol w:w="3091"/>
        <w:gridCol w:w="3091"/>
        <w:gridCol w:w="3091"/>
      </w:tblGrid>
      <w:tr>
        <w:trPr>
          <w:tblHeade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ID</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Quality Target</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Validation or Development Needed</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NFR1</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Performance</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Measure load time and endpoint latency; current telemetry polls every 3 seconds.</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NFR2</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Availability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The 99% uptime target needs hosted monitoring and recovery testing.</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NFR3</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Reliability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Use durable storage and backups; fallback data is lost on restart.</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NFR4</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Security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Hash passwords, sign sessions, enforce backend roles and ownership, enable HTTPS.</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NFR5</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Scalability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Load-test concurrent users; add indexes, bounded queries and deployment capacity.</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NFR6</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Usability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Evaluate forms and terminology with consumers and support staff.</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NFR7</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Maintainability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Retain modular routers, reusable components and central configuration.</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NFR8</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Compatibility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Validate responsive layouts and workflows across target browsers and devices.</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NFR9</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Forecast accuracy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The 90-95% aspiration requires real data, a defined metric and held-out evaluation.</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NFR10</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Data integrity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Add input constraints, status rules, ownership checks and audit history.</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NFR11</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Reminder reliability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Implement a scheduler, delivery provider, retries and delivery records.</w:t>
            </w:r>
          </w:p>
        </w:tc>
      </w:tr>
      <w:tr>
        <w:trPr>
          <w:cantSplit/>
        </w:trPr>
        <w:tc>
          <w:tcPr>
            <w:tcW w:type="dxa" w:w="1008"/>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NFR12</w:t>
            </w:r>
          </w:p>
        </w:tc>
        <w:tc>
          <w:tcPr>
            <w:tcW w:type="dxa" w:w="193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Privacy</w:t>
            </w:r>
          </w:p>
        </w:tc>
        <w:tc>
          <w:tcPr>
            <w:tcW w:type="dxa" w:w="61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Apply consent, access controls, retention rules and protected data handling.</w:t>
            </w:r>
          </w:p>
        </w:tc>
      </w:tr>
    </w:tbl>
    <w:p>
      <w:pPr>
        <w:spacing w:after="40"/>
      </w:pPr>
      <w:r>
        <w:rPr>
          <w:rFonts w:ascii="Times New Roman" w:hAnsi="Times New Roman"/>
          <w:b w:val="0"/>
        </w:rPr>
      </w:r>
    </w:p>
    <w:p>
      <w:pPr>
        <w:pStyle w:val="Heading2"/>
      </w:pPr>
      <w:r>
        <w:rPr>
          <w:rFonts w:ascii="Times New Roman" w:hAnsi="Times New Roman"/>
          <w:color w:val="000000"/>
        </w:rPr>
        <w:t>Current Validation Scope</w:t>
      </w:r>
    </w:p>
    <w:p>
      <w:r>
        <w:rPr>
          <w:rFonts w:ascii="Times New Roman" w:hAnsi="Times New Roman"/>
          <w:b w:val="0"/>
        </w:rPr>
        <w:t>The demonstrated checks cover selected functional rules on local sample data. Uptime, large-scale capacity, physical-meter accuracy, real forecasting accuracy and notification delivery have not been established by this test run.</w:t>
      </w:r>
    </w:p>
    <w:p>
      <w:r>
        <w:rPr>
          <w:rFonts w:ascii="Times New Roman" w:hAnsi="Times New Roman"/>
        </w:rPr>
        <w:br w:type="page"/>
      </w:r>
    </w:p>
    <w:p>
      <w:pPr>
        <w:pStyle w:val="Heading1"/>
      </w:pPr>
      <w:r>
        <w:rPr>
          <w:rFonts w:ascii="Times New Roman" w:hAnsi="Times New Roman"/>
          <w:color w:val="000000"/>
        </w:rPr>
        <w:t>Code Implementation</w:t>
      </w:r>
    </w:p>
    <w:p>
      <w:pPr>
        <w:pStyle w:val="Heading2"/>
      </w:pPr>
      <w:r>
        <w:rPr>
          <w:rFonts w:ascii="Times New Roman" w:hAnsi="Times New Roman"/>
          <w:color w:val="000000"/>
        </w:rPr>
        <w:t>1. Frontend Components</w:t>
      </w:r>
    </w:p>
    <w:p>
      <w:r>
        <w:rPr>
          <w:rFonts w:ascii="Times New Roman" w:hAnsi="Times New Roman"/>
          <w:b w:val="0"/>
        </w:rPr>
        <w:t>App.jsx coordinates the citizen and operations tabs, current telemetry and modal state. AuthContext.jsx stores the demonstration user and manages login, theme and budget actions. Citizen components separate live meter readings, bill forecasts, spending targets, verification, tickets, appointments, reports and history. Admin components provide the operations overview, queue, calendar, directory and feeder view.</w:t>
      </w:r>
    </w:p>
    <w:p>
      <w:pPr>
        <w:pStyle w:val="Heading2"/>
      </w:pPr>
      <w:r>
        <w:rPr>
          <w:rFonts w:ascii="Times New Roman" w:hAnsi="Times New Roman"/>
          <w:color w:val="000000"/>
        </w:rPr>
        <w:t>2. REST Integration</w:t>
      </w:r>
    </w:p>
    <w:p>
      <w:r>
        <w:rPr>
          <w:rFonts w:ascii="Times New Roman" w:hAnsi="Times New Roman"/>
          <w:b w:val="0"/>
        </w:rPr>
        <w:t>The shared api.js service sends JSON requests to the backend and exposes functions for each application module. The current request header uses a bearer value containing an email address. This identifies a demo consumer; it is not a signed access token. Backend authorization and password hashing are required before deployment.</w:t>
      </w:r>
    </w:p>
    <w:p>
      <w:pPr>
        <w:pStyle w:val="Heading2"/>
      </w:pPr>
      <w:r>
        <w:rPr>
          <w:rFonts w:ascii="Times New Roman" w:hAnsi="Times New Roman"/>
          <w:color w:val="000000"/>
        </w:rPr>
        <w:t>3. Backend and Data Layer</w:t>
      </w:r>
    </w:p>
    <w:p>
      <w:r>
        <w:rPr>
          <w:rFonts w:ascii="Times New Roman" w:hAnsi="Times New Roman"/>
          <w:b w:val="0"/>
        </w:rPr>
        <w:t>main.py registers modular FastAPI routers under /api and initialises the database and sample records. Pydantic models describe request and response structures. database.py attempts a MongoDB connection through Motor and falls back to an asynchronous in-memory implementation if the server is unavailable. The local report demonstration used this fallback.</w:t>
      </w:r>
    </w:p>
    <w:p>
      <w:pPr>
        <w:pStyle w:val="Heading2"/>
      </w:pPr>
      <w:r>
        <w:rPr>
          <w:rFonts w:ascii="Times New Roman" w:hAnsi="Times New Roman"/>
          <w:color w:val="000000"/>
        </w:rPr>
        <w:t>4. Telemetry and Forecast Logic</w:t>
      </w:r>
    </w:p>
    <w:p>
      <w:r>
        <w:rPr>
          <w:rFonts w:ascii="Times New Roman" w:hAnsi="Times New Roman"/>
          <w:b w:val="0"/>
        </w:rPr>
        <w:t>telemetry_sim.py generates live and historical sample readings. The frontend polls the live endpoint every three seconds. billing.py computes a recent seven-day average from generated history, multiplies it by the number of days in the current month, and passes projected units to tariff_engine.py.</w:t>
      </w:r>
    </w:p>
    <w:p>
      <w:r>
        <w:rPr>
          <w:rFonts w:ascii="Times New Roman" w:hAnsi="Times New Roman"/>
          <w:b w:val="0"/>
        </w:rPr>
        <w:t>The live scenario display and generated historical forecast are separate demonstration paths. A future integration should derive the forecast from the same persisted measured stream shown on the dashboard, with explicit treatment of missing readings and the billing-cycle dates.</w:t>
      </w:r>
    </w:p>
    <w:p>
      <w:r>
        <w:rPr>
          <w:rFonts w:ascii="Times New Roman" w:hAnsi="Times New Roman"/>
        </w:rPr>
        <w:br w:type="page"/>
      </w:r>
    </w:p>
    <w:p>
      <w:pPr>
        <w:pStyle w:val="Heading1"/>
      </w:pPr>
      <w:r>
        <w:rPr>
          <w:rFonts w:ascii="Times New Roman" w:hAnsi="Times New Roman"/>
          <w:color w:val="000000"/>
        </w:rPr>
        <w:t>Tariff Calculation and Main API Endpoints</w:t>
      </w:r>
    </w:p>
    <w:p>
      <w:pPr>
        <w:pStyle w:val="Heading2"/>
      </w:pPr>
      <w:r>
        <w:rPr>
          <w:rFonts w:ascii="Times New Roman" w:hAnsi="Times New Roman"/>
          <w:color w:val="000000"/>
        </w:rPr>
        <w:t>Illustrative Tariff Used by the Prototype</w:t>
      </w:r>
    </w:p>
    <w:tbl>
      <w:tblPr>
        <w:tblW w:type="auto" w:w="0"/>
        <w:tblLayout w:type="fixed"/>
        <w:tblLook w:firstColumn="1" w:firstRow="1" w:lastColumn="0" w:lastRow="0" w:noHBand="0" w:noVBand="1" w:val="04A0"/>
      </w:tblPr>
      <w:tblGrid>
        <w:gridCol w:w="4637"/>
        <w:gridCol w:w="4637"/>
      </w:tblGrid>
      <w:tr>
        <w:trPr>
          <w:tblHeader/>
          <w:cantSplit/>
        </w:trPr>
        <w:tc>
          <w:tcPr>
            <w:tcW w:type="dxa" w:w="5544"/>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Consumption Band</w:t>
            </w:r>
          </w:p>
        </w:tc>
        <w:tc>
          <w:tcPr>
            <w:tcW w:type="dxa" w:w="3586"/>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Rate</w:t>
            </w:r>
          </w:p>
        </w:tc>
      </w:tr>
      <w:tr>
        <w:trPr>
          <w:cantSplit/>
        </w:trPr>
        <w:tc>
          <w:tcPr>
            <w:tcW w:type="dxa" w:w="554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First 100 kWh</w:t>
            </w:r>
          </w:p>
        </w:tc>
        <w:tc>
          <w:tcPr>
            <w:tcW w:type="dxa" w:w="358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Rs 4.50 per kWh</w:t>
            </w:r>
          </w:p>
        </w:tc>
      </w:tr>
      <w:tr>
        <w:trPr>
          <w:cantSplit/>
        </w:trPr>
        <w:tc>
          <w:tcPr>
            <w:tcW w:type="dxa" w:w="554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Next 200 kWh</w:t>
            </w:r>
          </w:p>
        </w:tc>
        <w:tc>
          <w:tcPr>
            <w:tcW w:type="dxa" w:w="358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Rs 6.50 per kWh</w:t>
            </w:r>
          </w:p>
        </w:tc>
      </w:tr>
      <w:tr>
        <w:trPr>
          <w:cantSplit/>
        </w:trPr>
        <w:tc>
          <w:tcPr>
            <w:tcW w:type="dxa" w:w="554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Above 300 kWh</w:t>
            </w:r>
          </w:p>
        </w:tc>
        <w:tc>
          <w:tcPr>
            <w:tcW w:type="dxa" w:w="358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Rs 8.20 per kWh</w:t>
            </w:r>
          </w:p>
        </w:tc>
      </w:tr>
      <w:tr>
        <w:trPr>
          <w:cantSplit/>
        </w:trPr>
        <w:tc>
          <w:tcPr>
            <w:tcW w:type="dxa" w:w="554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Fixed charge</w:t>
            </w:r>
          </w:p>
        </w:tc>
        <w:tc>
          <w:tcPr>
            <w:tcW w:type="dxa" w:w="358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Rs 60 per month</w:t>
            </w:r>
          </w:p>
        </w:tc>
      </w:tr>
      <w:tr>
        <w:trPr>
          <w:cantSplit/>
        </w:trPr>
        <w:tc>
          <w:tcPr>
            <w:tcW w:type="dxa" w:w="554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Duty</w:t>
            </w:r>
          </w:p>
        </w:tc>
        <w:tc>
          <w:tcPr>
            <w:tcW w:type="dxa" w:w="358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5% of the energy charge</w:t>
            </w:r>
          </w:p>
        </w:tc>
      </w:tr>
    </w:tbl>
    <w:p>
      <w:pPr>
        <w:spacing w:after="40"/>
      </w:pPr>
      <w:r>
        <w:rPr>
          <w:rFonts w:ascii="Times New Roman" w:hAnsi="Times New Roman"/>
          <w:b w:val="0"/>
        </w:rPr>
      </w:r>
    </w:p>
    <w:p>
      <w:r>
        <w:rPr>
          <w:rFonts w:ascii="Times New Roman" w:hAnsi="Times New Roman"/>
          <w:b w:val="0"/>
        </w:rPr>
        <w:t>For U projected kWh, the energy charge is 4.50 × min(U, 100) + 6.50 × min(max(U - 100, 0), 200) + 8.20 × max(U - 300, 0). The total is the energy charge plus Rs 60 and 5% duty on the energy charge. These are demonstration values, not a claim about any current utility tariff.</w:t>
      </w:r>
    </w:p>
    <w:p>
      <w:r>
        <w:rPr>
          <w:rFonts w:ascii="Times New Roman" w:hAnsi="Times New Roman"/>
          <w:b w:val="0"/>
        </w:rPr>
        <w:t>At 350 kWh, energy charges are Rs 450 + Rs 1,300 + Rs 410 = Rs 2,160. Duty is Rs 108 and the total is Rs 2,328. Forecasting uses full-precision daily averages before rounding projected units, so displayed rounded values may not reproduce every intermediate decimal.</w:t>
      </w:r>
    </w:p>
    <w:tbl>
      <w:tblPr>
        <w:tblW w:type="auto" w:w="0"/>
        <w:tblLayout w:type="fixed"/>
        <w:tblLook w:firstColumn="1" w:firstRow="1" w:lastColumn="0" w:lastRow="0" w:noHBand="0" w:noVBand="1" w:val="04A0"/>
      </w:tblPr>
      <w:tblGrid>
        <w:gridCol w:w="3091"/>
        <w:gridCol w:w="3091"/>
        <w:gridCol w:w="3091"/>
      </w:tblGrid>
      <w:tr>
        <w:trPr>
          <w:tblHeader/>
          <w:cantSplit/>
        </w:trPr>
        <w:tc>
          <w:tcPr>
            <w:tcW w:type="dxa" w:w="936"/>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Method</w:t>
            </w:r>
          </w:p>
        </w:tc>
        <w:tc>
          <w:tcPr>
            <w:tcW w:type="dxa" w:w="4392"/>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Endpoint under /api</w:t>
            </w:r>
          </w:p>
        </w:tc>
        <w:tc>
          <w:tcPr>
            <w:tcW w:type="dxa" w:w="3802"/>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Purpose</w:t>
            </w:r>
          </w:p>
        </w:tc>
      </w:tr>
      <w:tr>
        <w:trPr>
          <w:cantSplit/>
        </w:trPr>
        <w:tc>
          <w:tcPr>
            <w:tcW w:type="dxa" w:w="93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POST</w:t>
            </w:r>
          </w:p>
        </w:tc>
        <w:tc>
          <w:tcPr>
            <w:tcW w:type="dxa" w:w="43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/auth/login; /auth/register</w:t>
            </w:r>
          </w:p>
        </w:tc>
        <w:tc>
          <w:tcPr>
            <w:tcW w:type="dxa" w:w="380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Demonstration login and account creation</w:t>
            </w:r>
          </w:p>
        </w:tc>
      </w:tr>
      <w:tr>
        <w:trPr>
          <w:cantSplit/>
        </w:trPr>
        <w:tc>
          <w:tcPr>
            <w:tcW w:type="dxa" w:w="93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GET</w:t>
            </w:r>
          </w:p>
        </w:tc>
        <w:tc>
          <w:tcPr>
            <w:tcW w:type="dxa" w:w="43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/telemetry/live; /billing/forecast</w:t>
            </w:r>
          </w:p>
        </w:tc>
        <w:tc>
          <w:tcPr>
            <w:tcW w:type="dxa" w:w="380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Read live data and monthly estimate</w:t>
            </w:r>
          </w:p>
        </w:tc>
      </w:tr>
      <w:tr>
        <w:trPr>
          <w:cantSplit/>
        </w:trPr>
        <w:tc>
          <w:tcPr>
            <w:tcW w:type="dxa" w:w="93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POST</w:t>
            </w:r>
          </w:p>
        </w:tc>
        <w:tc>
          <w:tcPr>
            <w:tcW w:type="dxa" w:w="43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/billing/verify; /complaints</w:t>
            </w:r>
          </w:p>
        </w:tc>
        <w:tc>
          <w:tcPr>
            <w:tcW w:type="dxa" w:w="380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Compare an entered bill and create ticket</w:t>
            </w:r>
          </w:p>
        </w:tc>
      </w:tr>
      <w:tr>
        <w:trPr>
          <w:cantSplit/>
        </w:trPr>
        <w:tc>
          <w:tcPr>
            <w:tcW w:type="dxa" w:w="93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GET</w:t>
            </w:r>
          </w:p>
        </w:tc>
        <w:tc>
          <w:tcPr>
            <w:tcW w:type="dxa" w:w="43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/complaints; /appointments</w:t>
            </w:r>
          </w:p>
        </w:tc>
        <w:tc>
          <w:tcPr>
            <w:tcW w:type="dxa" w:w="380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Read support cases and appointments</w:t>
            </w:r>
          </w:p>
        </w:tc>
      </w:tr>
      <w:tr>
        <w:trPr>
          <w:cantSplit/>
        </w:trPr>
        <w:tc>
          <w:tcPr>
            <w:tcW w:type="dxa" w:w="93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PATCH</w:t>
            </w:r>
          </w:p>
        </w:tc>
        <w:tc>
          <w:tcPr>
            <w:tcW w:type="dxa" w:w="43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/appointments/{token}/mode</w:t>
            </w:r>
          </w:p>
        </w:tc>
        <w:tc>
          <w:tcPr>
            <w:tcW w:type="dxa" w:w="380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Apply the four-hour lock</w:t>
            </w:r>
          </w:p>
        </w:tc>
      </w:tr>
      <w:tr>
        <w:trPr>
          <w:cantSplit/>
        </w:trPr>
        <w:tc>
          <w:tcPr>
            <w:tcW w:type="dxa" w:w="93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PATCH</w:t>
            </w:r>
          </w:p>
        </w:tc>
        <w:tc>
          <w:tcPr>
            <w:tcW w:type="dxa" w:w="43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/complaints/{token}/status; /staff</w:t>
            </w:r>
          </w:p>
        </w:tc>
        <w:tc>
          <w:tcPr>
            <w:tcW w:type="dxa" w:w="380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Update case status or assignment</w:t>
            </w:r>
          </w:p>
        </w:tc>
      </w:tr>
      <w:tr>
        <w:trPr>
          <w:cantSplit/>
        </w:trPr>
        <w:tc>
          <w:tcPr>
            <w:tcW w:type="dxa" w:w="93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GET</w:t>
            </w:r>
          </w:p>
        </w:tc>
        <w:tc>
          <w:tcPr>
            <w:tcW w:type="dxa" w:w="439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/admin/overview; /reports/audit</w:t>
            </w:r>
          </w:p>
        </w:tc>
        <w:tc>
          <w:tcPr>
            <w:tcW w:type="dxa" w:w="380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Read operations data or sample report</w:t>
            </w:r>
          </w:p>
        </w:tc>
      </w:tr>
    </w:tbl>
    <w:p>
      <w:pPr>
        <w:spacing w:after="40"/>
      </w:pPr>
      <w:r>
        <w:rPr>
          <w:rFonts w:ascii="Times New Roman" w:hAnsi="Times New Roman"/>
          <w:b w:val="0"/>
        </w:rPr>
      </w:r>
    </w:p>
    <w:p>
      <w:r>
        <w:rPr>
          <w:rFonts w:ascii="Times New Roman" w:hAnsi="Times New Roman"/>
        </w:rPr>
        <w:br w:type="page"/>
      </w:r>
    </w:p>
    <w:p>
      <w:pPr>
        <w:pStyle w:val="Heading1"/>
      </w:pPr>
      <w:r>
        <w:rPr>
          <w:rFonts w:ascii="Times New Roman" w:hAnsi="Times New Roman"/>
          <w:color w:val="000000"/>
        </w:rPr>
        <w:t>User Interface</w:t>
      </w:r>
    </w:p>
    <w:p>
      <w:pPr>
        <w:pStyle w:val="Heading2"/>
      </w:pPr>
      <w:r>
        <w:rPr>
          <w:rFonts w:ascii="Times New Roman" w:hAnsi="Times New Roman"/>
          <w:color w:val="000000"/>
        </w:rPr>
        <w:t>Public Pages</w:t>
      </w:r>
    </w:p>
    <w:p>
      <w:r>
        <w:rPr>
          <w:rFonts w:ascii="Times New Roman" w:hAnsi="Times New Roman"/>
          <w:b w:val="0"/>
        </w:rPr>
        <w:t>The following screens were captured from the running React frontend connected to the local FastAPI backend. They use seeded demo consumers and simulated energy data. Interface labels such as “AI Forecast” describe the prototype concept; their implemented behaviour is explained in the preceding sections.</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781826"/>
            <wp:docPr id="8" name="Picture 8"/>
            <wp:cNvGraphicFramePr>
              <a:graphicFrameLocks noChangeAspect="1"/>
            </wp:cNvGraphicFramePr>
            <a:graphic>
              <a:graphicData uri="http://schemas.openxmlformats.org/drawingml/2006/picture">
                <pic:pic>
                  <pic:nvPicPr>
                    <pic:cNvPr id="0" name="login-detail.png"/>
                    <pic:cNvPicPr/>
                  </pic:nvPicPr>
                  <pic:blipFill>
                    <a:blip r:embed="rId18"/>
                    <a:stretch>
                      <a:fillRect/>
                    </a:stretch>
                  </pic:blipFill>
                  <pic:spPr>
                    <a:xfrm>
                      <a:off x="0" y="0"/>
                      <a:ext cx="5806440" cy="3781826"/>
                    </a:xfrm>
                    <a:prstGeom prst="rect"/>
                  </pic:spPr>
                </pic:pic>
              </a:graphicData>
            </a:graphic>
          </wp:inline>
        </w:drawing>
      </w:r>
    </w:p>
    <w:p>
      <w:pPr>
        <w:pStyle w:val="Caption"/>
        <w:keepNext w:val="0"/>
      </w:pPr>
      <w:r>
        <w:rPr>
          <w:rFonts w:ascii="Times New Roman" w:hAnsi="Times New Roman"/>
        </w:rPr>
        <w:t>Fig. 6: GridPulse sign-in page with citizen and utility demo access</w:t>
      </w:r>
    </w:p>
    <w:p>
      <w:r>
        <w:rPr>
          <w:rFonts w:ascii="Times New Roman" w:hAnsi="Times New Roman"/>
          <w:b w:val="0"/>
        </w:rPr>
        <w:t>The sign-in form identifies the demonstration user and opens the associated portal. The two sample-account controls fill the login fields. Registration is available from the same page.</w:t>
      </w:r>
    </w:p>
    <w:p>
      <w:r>
        <w:rPr>
          <w:rFonts w:ascii="Times New Roman" w:hAnsi="Times New Roman"/>
        </w:rPr>
        <w:br w:type="page"/>
      </w:r>
    </w:p>
    <w:p>
      <w:pPr>
        <w:pStyle w:val="Heading1"/>
      </w:pPr>
      <w:r>
        <w:rPr>
          <w:rFonts w:ascii="Times New Roman" w:hAnsi="Times New Roman"/>
          <w:color w:val="000000"/>
        </w:rPr>
        <w:t>Consumer Registration</w:t>
      </w:r>
    </w:p>
    <w:p>
      <w:r>
        <w:rPr>
          <w:rFonts w:ascii="Times New Roman" w:hAnsi="Times New Roman"/>
          <w:b w:val="0"/>
        </w:rPr>
        <w:t>The registration form collects the consumer name, email address, locality and an optional meter identifier. A meter identifier is generated when none is supplied. New accounts receive the default spending interval and can then open the citizen dashboard.</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4202029"/>
            <wp:docPr id="9" name="Picture 9"/>
            <wp:cNvGraphicFramePr>
              <a:graphicFrameLocks noChangeAspect="1"/>
            </wp:cNvGraphicFramePr>
            <a:graphic>
              <a:graphicData uri="http://schemas.openxmlformats.org/drawingml/2006/picture">
                <pic:pic>
                  <pic:nvPicPr>
                    <pic:cNvPr id="0" name="register-detail.png"/>
                    <pic:cNvPicPr/>
                  </pic:nvPicPr>
                  <pic:blipFill>
                    <a:blip r:embed="rId19"/>
                    <a:stretch>
                      <a:fillRect/>
                    </a:stretch>
                  </pic:blipFill>
                  <pic:spPr>
                    <a:xfrm>
                      <a:off x="0" y="0"/>
                      <a:ext cx="5806440" cy="4202029"/>
                    </a:xfrm>
                    <a:prstGeom prst="rect"/>
                  </pic:spPr>
                </pic:pic>
              </a:graphicData>
            </a:graphic>
          </wp:inline>
        </w:drawing>
      </w:r>
    </w:p>
    <w:p>
      <w:pPr>
        <w:pStyle w:val="Caption"/>
        <w:keepNext w:val="0"/>
      </w:pPr>
      <w:r>
        <w:rPr>
          <w:rFonts w:ascii="Times New Roman" w:hAnsi="Times New Roman"/>
        </w:rPr>
        <w:t>Fig. 7: Consumer registration with locality and meter details</w:t>
      </w:r>
    </w:p>
    <w:p>
      <w:r>
        <w:rPr>
          <w:rFonts w:ascii="Times New Roman" w:hAnsi="Times New Roman"/>
          <w:b w:val="0"/>
        </w:rPr>
        <w:t>Future registration should verify the relationship between a consumer and the meter. Input validation, account verification and password hashing are required before real consumer accounts are accepted.</w:t>
      </w:r>
    </w:p>
    <w:p>
      <w:r>
        <w:rPr>
          <w:rFonts w:ascii="Times New Roman" w:hAnsi="Times New Roman"/>
        </w:rPr>
        <w:br w:type="page"/>
      </w:r>
    </w:p>
    <w:p>
      <w:pPr>
        <w:pStyle w:val="Heading1"/>
      </w:pPr>
      <w:r>
        <w:rPr>
          <w:rFonts w:ascii="Times New Roman" w:hAnsi="Times New Roman"/>
          <w:color w:val="000000"/>
        </w:rPr>
        <w:t>Citizen Portal</w:t>
      </w:r>
    </w:p>
    <w:p>
      <w:r>
        <w:rPr>
          <w:rFonts w:ascii="Times New Roman" w:hAnsi="Times New Roman"/>
          <w:b w:val="0"/>
        </w:rPr>
        <w:t>The overview combines consumption visibility with a monthly estimate. The meter card shows the simulated demand, solar contribution, grid draw and electrical indicators. The estimate includes the applicable demonstration slab breakdown and billing-cycle progress.</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2309380"/>
            <wp:docPr id="10" name="Picture 10"/>
            <wp:cNvGraphicFramePr>
              <a:graphicFrameLocks noChangeAspect="1"/>
            </wp:cNvGraphicFramePr>
            <a:graphic>
              <a:graphicData uri="http://schemas.openxmlformats.org/drawingml/2006/picture">
                <pic:pic>
                  <pic:nvPicPr>
                    <pic:cNvPr id="0" name="citizen-top.png"/>
                    <pic:cNvPicPr/>
                  </pic:nvPicPr>
                  <pic:blipFill>
                    <a:blip r:embed="rId20"/>
                    <a:stretch>
                      <a:fillRect/>
                    </a:stretch>
                  </pic:blipFill>
                  <pic:spPr>
                    <a:xfrm>
                      <a:off x="0" y="0"/>
                      <a:ext cx="5806440" cy="2309380"/>
                    </a:xfrm>
                    <a:prstGeom prst="rect"/>
                  </pic:spPr>
                </pic:pic>
              </a:graphicData>
            </a:graphic>
          </wp:inline>
        </w:drawing>
      </w:r>
    </w:p>
    <w:p>
      <w:pPr>
        <w:pStyle w:val="Caption"/>
        <w:keepNext w:val="0"/>
      </w:pPr>
      <w:r>
        <w:rPr>
          <w:rFonts w:ascii="Times New Roman" w:hAnsi="Times New Roman"/>
        </w:rPr>
        <w:t>Fig. 8: Citizen dashboard with live telemetry and estimated bill</w:t>
      </w:r>
    </w:p>
    <w:p>
      <w:r>
        <w:rPr>
          <w:rFonts w:ascii="Times New Roman" w:hAnsi="Times New Roman"/>
        </w:rPr>
        <w:br w:type="page"/>
      </w:r>
    </w:p>
    <w:p>
      <w:pPr>
        <w:pStyle w:val="Heading1"/>
      </w:pPr>
      <w:r>
        <w:rPr>
          <w:rFonts w:ascii="Times New Roman" w:hAnsi="Times New Roman"/>
          <w:color w:val="000000"/>
        </w:rPr>
        <w:t>Budget Planner</w:t>
      </w:r>
    </w:p>
    <w:p>
      <w:r>
        <w:rPr>
          <w:rFonts w:ascii="Times New Roman" w:hAnsi="Times New Roman"/>
          <w:b w:val="0"/>
        </w:rPr>
        <w:t>A consumer enters a spending interval and the application compares the forecast with the upper limit. Suggestions are generated from rules. The appliance percentages are fixed illustrative shares, rather than readings from individual appliance sensors.</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3975003" cy="4297680"/>
            <wp:docPr id="11" name="Picture 11"/>
            <wp:cNvGraphicFramePr>
              <a:graphicFrameLocks noChangeAspect="1"/>
            </wp:cNvGraphicFramePr>
            <a:graphic>
              <a:graphicData uri="http://schemas.openxmlformats.org/drawingml/2006/picture">
                <pic:pic>
                  <pic:nvPicPr>
                    <pic:cNvPr id="0" name="citizen-budget.png"/>
                    <pic:cNvPicPr/>
                  </pic:nvPicPr>
                  <pic:blipFill>
                    <a:blip r:embed="rId21"/>
                    <a:stretch>
                      <a:fillRect/>
                    </a:stretch>
                  </pic:blipFill>
                  <pic:spPr>
                    <a:xfrm>
                      <a:off x="0" y="0"/>
                      <a:ext cx="3975003" cy="4297680"/>
                    </a:xfrm>
                    <a:prstGeom prst="rect"/>
                  </pic:spPr>
                </pic:pic>
              </a:graphicData>
            </a:graphic>
          </wp:inline>
        </w:drawing>
      </w:r>
    </w:p>
    <w:p>
      <w:pPr>
        <w:pStyle w:val="Caption"/>
        <w:keepNext w:val="0"/>
      </w:pPr>
      <w:r>
        <w:rPr>
          <w:rFonts w:ascii="Times New Roman" w:hAnsi="Times New Roman"/>
        </w:rPr>
        <w:t>Fig. 9: Budget planner and appliance guidance using sample shares</w:t>
      </w:r>
    </w:p>
    <w:p>
      <w:r>
        <w:rPr>
          <w:rFonts w:ascii="Times New Roman" w:hAnsi="Times New Roman"/>
          <w:b w:val="0"/>
        </w:rPr>
        <w:t>The upper spending limit is used to decide whether the forecast is on track. When the estimate is above that limit, the response suggests a daily reduction target. These suggestions are explanatory rules and have not been evaluated as a personalised optimisation model.</w:t>
      </w:r>
    </w:p>
    <w:p>
      <w:r>
        <w:rPr>
          <w:rFonts w:ascii="Times New Roman" w:hAnsi="Times New Roman"/>
        </w:rPr>
        <w:br w:type="page"/>
      </w:r>
    </w:p>
    <w:p>
      <w:pPr>
        <w:pStyle w:val="Heading1"/>
      </w:pPr>
      <w:r>
        <w:rPr>
          <w:rFonts w:ascii="Times New Roman" w:hAnsi="Times New Roman"/>
          <w:color w:val="000000"/>
        </w:rPr>
        <w:t>Bill Verification and Complaint Tickets</w:t>
      </w:r>
    </w:p>
    <w:p>
      <w:r>
        <w:rPr>
          <w:rFonts w:ascii="Times New Roman" w:hAnsi="Times New Roman"/>
          <w:b w:val="0"/>
        </w:rPr>
        <w:t>An entered bill is compared with the forecast. In this captured example the Rs 1,680 sample bill is above the estimate, so the interface displays a discrepancy and a shortcut to raise a dispute. The comparison is a review aid and does not replace utility reconciliation.</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3765059" cy="4023360"/>
            <wp:docPr id="12" name="Picture 12"/>
            <wp:cNvGraphicFramePr>
              <a:graphicFrameLocks noChangeAspect="1"/>
            </wp:cNvGraphicFramePr>
            <a:graphic>
              <a:graphicData uri="http://schemas.openxmlformats.org/drawingml/2006/picture">
                <pic:pic>
                  <pic:nvPicPr>
                    <pic:cNvPr id="0" name="verify-card.png"/>
                    <pic:cNvPicPr/>
                  </pic:nvPicPr>
                  <pic:blipFill>
                    <a:blip r:embed="rId22"/>
                    <a:stretch>
                      <a:fillRect/>
                    </a:stretch>
                  </pic:blipFill>
                  <pic:spPr>
                    <a:xfrm>
                      <a:off x="0" y="0"/>
                      <a:ext cx="3765059" cy="4023360"/>
                    </a:xfrm>
                    <a:prstGeom prst="rect"/>
                  </pic:spPr>
                </pic:pic>
              </a:graphicData>
            </a:graphic>
          </wp:inline>
        </w:drawing>
      </w:r>
    </w:p>
    <w:p>
      <w:pPr>
        <w:pStyle w:val="Caption"/>
        <w:keepNext w:val="0"/>
      </w:pPr>
      <w:r>
        <w:rPr>
          <w:rFonts w:ascii="Times New Roman" w:hAnsi="Times New Roman"/>
        </w:rPr>
        <w:t>Fig. 10: Bill comparison alert for the demonstration invoice</w:t>
      </w:r>
    </w:p>
    <w:p>
      <w:r>
        <w:rPr>
          <w:rFonts w:ascii="Times New Roman" w:hAnsi="Times New Roman"/>
        </w:rPr>
        <w:br w:type="page"/>
      </w:r>
    </w:p>
    <w:p>
      <w:pPr>
        <w:pStyle w:val="Heading1"/>
      </w:pPr>
      <w:r>
        <w:rPr>
          <w:rFonts w:ascii="Times New Roman" w:hAnsi="Times New Roman"/>
          <w:color w:val="000000"/>
        </w:rPr>
        <w:t>Citizen Grievance Tickets</w:t>
      </w:r>
    </w:p>
    <w:p>
      <w:r>
        <w:rPr>
          <w:rFonts w:ascii="Times New Roman" w:hAnsi="Times New Roman"/>
          <w:b w:val="0"/>
        </w:rPr>
        <w:t>The ticket list displays the token, category, status and assigned support information. A complaint’s evidence flag and generated text are demonstration metadata; they do not establish a cryptographically verified meter record or an uploaded evidence package.</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711503"/>
            <wp:docPr id="13" name="Picture 13"/>
            <wp:cNvGraphicFramePr>
              <a:graphicFrameLocks noChangeAspect="1"/>
            </wp:cNvGraphicFramePr>
            <a:graphic>
              <a:graphicData uri="http://schemas.openxmlformats.org/drawingml/2006/picture">
                <pic:pic>
                  <pic:nvPicPr>
                    <pic:cNvPr id="0" name="complaints-detail.png"/>
                    <pic:cNvPicPr/>
                  </pic:nvPicPr>
                  <pic:blipFill>
                    <a:blip r:embed="rId23"/>
                    <a:stretch>
                      <a:fillRect/>
                    </a:stretch>
                  </pic:blipFill>
                  <pic:spPr>
                    <a:xfrm>
                      <a:off x="0" y="0"/>
                      <a:ext cx="5806440" cy="3711503"/>
                    </a:xfrm>
                    <a:prstGeom prst="rect"/>
                  </pic:spPr>
                </pic:pic>
              </a:graphicData>
            </a:graphic>
          </wp:inline>
        </w:drawing>
      </w:r>
    </w:p>
    <w:p>
      <w:pPr>
        <w:pStyle w:val="Caption"/>
        <w:keepNext w:val="0"/>
      </w:pPr>
      <w:r>
        <w:rPr>
          <w:rFonts w:ascii="Times New Roman" w:hAnsi="Times New Roman"/>
        </w:rPr>
        <w:t>Fig. 11: Citizen grievance tickets and progress tracking</w:t>
      </w:r>
    </w:p>
    <w:p>
      <w:r>
        <w:rPr>
          <w:rFonts w:ascii="Times New Roman" w:hAnsi="Times New Roman"/>
          <w:b w:val="0"/>
        </w:rPr>
        <w:t>The progress indicator explains the expected support sequence. The report verification ticket was advanced through Under Review and In Progress to Resolved. Sample records and newly created test records can be viewed together in this demonstration.</w:t>
      </w:r>
    </w:p>
    <w:p>
      <w:r>
        <w:rPr>
          <w:rFonts w:ascii="Times New Roman" w:hAnsi="Times New Roman"/>
        </w:rPr>
        <w:br w:type="page"/>
      </w:r>
    </w:p>
    <w:p>
      <w:pPr>
        <w:pStyle w:val="Heading1"/>
      </w:pPr>
      <w:r>
        <w:rPr>
          <w:rFonts w:ascii="Times New Roman" w:hAnsi="Times New Roman"/>
          <w:color w:val="000000"/>
        </w:rPr>
        <w:t>Appointments and Consultation Mode</w:t>
      </w:r>
    </w:p>
    <w:p>
      <w:r>
        <w:rPr>
          <w:rFonts w:ascii="Times New Roman" w:hAnsi="Times New Roman"/>
          <w:b w:val="0"/>
        </w:rPr>
        <w:t>The appointments view shows the assigned support slot, online or offline mode and the lock state. The captured screen includes the approaching test appointment. A mode-change request is rejected by the backend once the four-hour limit is reached.</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456214"/>
            <wp:docPr id="14" name="Picture 14"/>
            <wp:cNvGraphicFramePr>
              <a:graphicFrameLocks noChangeAspect="1"/>
            </wp:cNvGraphicFramePr>
            <a:graphic>
              <a:graphicData uri="http://schemas.openxmlformats.org/drawingml/2006/picture">
                <pic:pic>
                  <pic:nvPicPr>
                    <pic:cNvPr id="0" name="appointments.png"/>
                    <pic:cNvPicPr/>
                  </pic:nvPicPr>
                  <pic:blipFill>
                    <a:blip r:embed="rId24"/>
                    <a:stretch>
                      <a:fillRect/>
                    </a:stretch>
                  </pic:blipFill>
                  <pic:spPr>
                    <a:xfrm>
                      <a:off x="0" y="0"/>
                      <a:ext cx="5806440" cy="3456214"/>
                    </a:xfrm>
                    <a:prstGeom prst="rect"/>
                  </pic:spPr>
                </pic:pic>
              </a:graphicData>
            </a:graphic>
          </wp:inline>
        </w:drawing>
      </w:r>
    </w:p>
    <w:p>
      <w:pPr>
        <w:pStyle w:val="Caption"/>
        <w:keepNext w:val="0"/>
      </w:pPr>
      <w:r>
        <w:rPr>
          <w:rFonts w:ascii="Times New Roman" w:hAnsi="Times New Roman"/>
        </w:rPr>
        <w:t>Fig. 12: Appointment list with consultation modes and locked slots</w:t>
      </w:r>
    </w:p>
    <w:p>
      <w:pPr>
        <w:pStyle w:val="Heading2"/>
      </w:pPr>
      <w:r>
        <w:rPr>
          <w:rFonts w:ascii="Times New Roman" w:hAnsi="Times New Roman"/>
          <w:color w:val="000000"/>
        </w:rPr>
        <w:t>Demonstrated Scheduling Behaviour</w:t>
      </w:r>
    </w:p>
    <w:p>
      <w:pPr>
        <w:spacing w:after="120"/>
        <w:ind w:left="240" w:hanging="240"/>
      </w:pPr>
      <w:r>
        <w:rPr>
          <w:rFonts w:ascii="Times New Roman" w:hAnsi="Times New Roman"/>
          <w:b w:val="0"/>
        </w:rPr>
        <w:t>• A new support complaint receives an appointment approximately 24 hours later.</w:t>
      </w:r>
    </w:p>
    <w:p>
      <w:pPr>
        <w:spacing w:after="120"/>
        <w:ind w:left="240" w:hanging="240"/>
      </w:pPr>
      <w:r>
        <w:rPr>
          <w:rFonts w:ascii="Times New Roman" w:hAnsi="Times New Roman"/>
          <w:b w:val="0"/>
        </w:rPr>
        <w:t>• Offline is used when no consultation mode is supplied.</w:t>
      </w:r>
    </w:p>
    <w:p>
      <w:pPr>
        <w:spacing w:after="120"/>
        <w:ind w:left="240" w:hanging="240"/>
      </w:pPr>
      <w:r>
        <w:rPr>
          <w:rFonts w:ascii="Times New Roman" w:hAnsi="Times New Roman"/>
          <w:b w:val="0"/>
        </w:rPr>
        <w:t>• The mode can change while more than four hours remain.</w:t>
      </w:r>
    </w:p>
    <w:p>
      <w:pPr>
        <w:spacing w:after="120"/>
        <w:ind w:left="240" w:hanging="240"/>
      </w:pPr>
      <w:r>
        <w:rPr>
          <w:rFonts w:ascii="Times New Roman" w:hAnsi="Times New Roman"/>
          <w:b w:val="0"/>
        </w:rPr>
        <w:t>• An approaching sample appointment demonstrates the lock and reminder indicator.</w:t>
      </w:r>
    </w:p>
    <w:p>
      <w:r>
        <w:rPr>
          <w:rFonts w:ascii="Times New Roman" w:hAnsi="Times New Roman"/>
          <w:b w:val="0"/>
        </w:rPr>
        <w:t>An automated two-hour phone call and reliable SMS or email delivery are proposed extensions. The current simulator uses a reminder flag around 2.5 hours and does not constitute a delivery scheduler.</w:t>
      </w:r>
    </w:p>
    <w:p>
      <w:r>
        <w:rPr>
          <w:rFonts w:ascii="Times New Roman" w:hAnsi="Times New Roman"/>
        </w:rPr>
        <w:br w:type="page"/>
      </w:r>
    </w:p>
    <w:p>
      <w:pPr>
        <w:pStyle w:val="Heading1"/>
      </w:pPr>
      <w:r>
        <w:rPr>
          <w:rFonts w:ascii="Times New Roman" w:hAnsi="Times New Roman"/>
          <w:color w:val="000000"/>
        </w:rPr>
        <w:t>Consumption Reports and Billing History</w:t>
      </w:r>
    </w:p>
    <w:p>
      <w:r>
        <w:rPr>
          <w:rFonts w:ascii="Times New Roman" w:hAnsi="Times New Roman"/>
          <w:b w:val="0"/>
        </w:rPr>
        <w:t>The report view presents sample consumption charts and a printable household summary. Any audit grade, BEE-equivalent wording or compliance label visible in the demo interface is illustrative and has no certification status. The bill-history page contains six demonstration records and a CSV export control.</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509210"/>
            <wp:docPr id="15" name="Picture 15"/>
            <wp:cNvGraphicFramePr>
              <a:graphicFrameLocks noChangeAspect="1"/>
            </wp:cNvGraphicFramePr>
            <a:graphic>
              <a:graphicData uri="http://schemas.openxmlformats.org/drawingml/2006/picture">
                <pic:pic>
                  <pic:nvPicPr>
                    <pic:cNvPr id="0" name="audit.png"/>
                    <pic:cNvPicPr/>
                  </pic:nvPicPr>
                  <pic:blipFill>
                    <a:blip r:embed="rId25"/>
                    <a:stretch>
                      <a:fillRect/>
                    </a:stretch>
                  </pic:blipFill>
                  <pic:spPr>
                    <a:xfrm>
                      <a:off x="0" y="0"/>
                      <a:ext cx="5806440" cy="3509210"/>
                    </a:xfrm>
                    <a:prstGeom prst="rect"/>
                  </pic:spPr>
                </pic:pic>
              </a:graphicData>
            </a:graphic>
          </wp:inline>
        </w:drawing>
      </w:r>
    </w:p>
    <w:p>
      <w:pPr>
        <w:pStyle w:val="Caption"/>
        <w:keepNext w:val="0"/>
      </w:pPr>
      <w:r>
        <w:rPr>
          <w:rFonts w:ascii="Times New Roman" w:hAnsi="Times New Roman"/>
        </w:rPr>
        <w:t>Fig. 13: Sample consumption report and printable household summary</w:t>
      </w:r>
    </w:p>
    <w:p>
      <w:r>
        <w:rPr>
          <w:rFonts w:ascii="Times New Roman" w:hAnsi="Times New Roman"/>
        </w:rPr>
        <w:br w:type="page"/>
      </w:r>
    </w:p>
    <w:p>
      <w:pPr>
        <w:pStyle w:val="Heading1"/>
      </w:pPr>
      <w:r>
        <w:rPr>
          <w:rFonts w:ascii="Times New Roman" w:hAnsi="Times New Roman"/>
          <w:color w:val="000000"/>
        </w:rPr>
        <w:t>Historical Billing Records</w:t>
      </w:r>
    </w:p>
    <w:p>
      <w:r>
        <w:rPr>
          <w:rFonts w:ascii="Times New Roman" w:hAnsi="Times New Roman"/>
          <w:b w:val="0"/>
        </w:rPr>
        <w:t>The history screen presents monthly units, predicted amounts, entered actual amounts and the difference between them. The six rows are fixed sample records used to illustrate comparison and export. They are not bills from a live utility account.</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456214"/>
            <wp:docPr id="16" name="Picture 16"/>
            <wp:cNvGraphicFramePr>
              <a:graphicFrameLocks noChangeAspect="1"/>
            </wp:cNvGraphicFramePr>
            <a:graphic>
              <a:graphicData uri="http://schemas.openxmlformats.org/drawingml/2006/picture">
                <pic:pic>
                  <pic:nvPicPr>
                    <pic:cNvPr id="0" name="history.png"/>
                    <pic:cNvPicPr/>
                  </pic:nvPicPr>
                  <pic:blipFill>
                    <a:blip r:embed="rId26"/>
                    <a:stretch>
                      <a:fillRect/>
                    </a:stretch>
                  </pic:blipFill>
                  <pic:spPr>
                    <a:xfrm>
                      <a:off x="0" y="0"/>
                      <a:ext cx="5806440" cy="3456214"/>
                    </a:xfrm>
                    <a:prstGeom prst="rect"/>
                  </pic:spPr>
                </pic:pic>
              </a:graphicData>
            </a:graphic>
          </wp:inline>
        </w:drawing>
      </w:r>
    </w:p>
    <w:p>
      <w:pPr>
        <w:pStyle w:val="Caption"/>
        <w:keepNext w:val="0"/>
      </w:pPr>
      <w:r>
        <w:rPr>
          <w:rFonts w:ascii="Times New Roman" w:hAnsi="Times New Roman"/>
        </w:rPr>
        <w:t>Fig. 14: Six-month sample billing history and variance indicators</w:t>
      </w:r>
    </w:p>
    <w:p>
      <w:r>
        <w:rPr>
          <w:rFonts w:ascii="Times New Roman" w:hAnsi="Times New Roman"/>
          <w:b w:val="0"/>
        </w:rPr>
        <w:t>A variance indicator helps the consumer identify a month to discuss with support. CSV export provides a portable record of the displayed demonstration table. A production version should load authenticated consumer-specific billing records from durable storage.</w:t>
      </w:r>
    </w:p>
    <w:p>
      <w:r>
        <w:rPr>
          <w:rFonts w:ascii="Times New Roman" w:hAnsi="Times New Roman"/>
        </w:rPr>
        <w:br w:type="page"/>
      </w:r>
    </w:p>
    <w:p>
      <w:pPr>
        <w:pStyle w:val="Heading1"/>
      </w:pPr>
      <w:r>
        <w:rPr>
          <w:rFonts w:ascii="Times New Roman" w:hAnsi="Times New Roman"/>
          <w:color w:val="000000"/>
        </w:rPr>
        <w:t>Utility Operations Portal</w:t>
      </w:r>
    </w:p>
    <w:p>
      <w:r>
        <w:rPr>
          <w:rFonts w:ascii="Times New Roman" w:hAnsi="Times New Roman"/>
          <w:b w:val="0"/>
        </w:rPr>
        <w:t>The operations dashboard groups complaint categories, locality demand and pending work. These screens illustrate how a utility could observe operational patterns, while the displayed demand and seeded cases remain demonstration data. Complaint totals may change as test cases are added.</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456214"/>
            <wp:docPr id="17" name="Picture 17"/>
            <wp:cNvGraphicFramePr>
              <a:graphicFrameLocks noChangeAspect="1"/>
            </wp:cNvGraphicFramePr>
            <a:graphic>
              <a:graphicData uri="http://schemas.openxmlformats.org/drawingml/2006/picture">
                <pic:pic>
                  <pic:nvPicPr>
                    <pic:cNvPr id="0" name="admin.png"/>
                    <pic:cNvPicPr/>
                  </pic:nvPicPr>
                  <pic:blipFill>
                    <a:blip r:embed="rId27"/>
                    <a:stretch>
                      <a:fillRect/>
                    </a:stretch>
                  </pic:blipFill>
                  <pic:spPr>
                    <a:xfrm>
                      <a:off x="0" y="0"/>
                      <a:ext cx="5806440" cy="3456214"/>
                    </a:xfrm>
                    <a:prstGeom prst="rect"/>
                  </pic:spPr>
                </pic:pic>
              </a:graphicData>
            </a:graphic>
          </wp:inline>
        </w:drawing>
      </w:r>
    </w:p>
    <w:p>
      <w:pPr>
        <w:pStyle w:val="Caption"/>
        <w:keepNext w:val="0"/>
      </w:pPr>
      <w:r>
        <w:rPr>
          <w:rFonts w:ascii="Times New Roman" w:hAnsi="Times New Roman"/>
        </w:rPr>
        <w:t>Fig. 15: Utility overview with complaint and demand analytics</w:t>
      </w:r>
    </w:p>
    <w:p>
      <w:pPr>
        <w:pStyle w:val="Heading2"/>
      </w:pPr>
      <w:r>
        <w:rPr>
          <w:rFonts w:ascii="Times New Roman" w:hAnsi="Times New Roman"/>
          <w:color w:val="000000"/>
        </w:rPr>
        <w:t>Operational Use</w:t>
      </w:r>
    </w:p>
    <w:p>
      <w:pPr>
        <w:spacing w:after="120"/>
        <w:ind w:left="240" w:hanging="240"/>
      </w:pPr>
      <w:r>
        <w:rPr>
          <w:rFonts w:ascii="Times New Roman" w:hAnsi="Times New Roman"/>
          <w:b w:val="0"/>
        </w:rPr>
        <w:t>• Review the distribution of support cases by category and locality.</w:t>
      </w:r>
    </w:p>
    <w:p>
      <w:pPr>
        <w:spacing w:after="120"/>
        <w:ind w:left="240" w:hanging="240"/>
      </w:pPr>
      <w:r>
        <w:rPr>
          <w:rFonts w:ascii="Times New Roman" w:hAnsi="Times New Roman"/>
          <w:b w:val="0"/>
        </w:rPr>
        <w:t>• Identify pending work and support assignments.</w:t>
      </w:r>
    </w:p>
    <w:p>
      <w:pPr>
        <w:spacing w:after="120"/>
        <w:ind w:left="240" w:hanging="240"/>
      </w:pPr>
      <w:r>
        <w:rPr>
          <w:rFonts w:ascii="Times New Roman" w:hAnsi="Times New Roman"/>
          <w:b w:val="0"/>
        </w:rPr>
        <w:t>• Compare the sample demand profiles of different urban localities.</w:t>
      </w:r>
    </w:p>
    <w:p>
      <w:pPr>
        <w:spacing w:after="120"/>
        <w:ind w:left="240" w:hanging="240"/>
      </w:pPr>
      <w:r>
        <w:rPr>
          <w:rFonts w:ascii="Times New Roman" w:hAnsi="Times New Roman"/>
          <w:b w:val="0"/>
        </w:rPr>
        <w:t>• Open the complaint queue or calendar to inspect the associated cases.</w:t>
      </w:r>
    </w:p>
    <w:p>
      <w:r>
        <w:rPr>
          <w:rFonts w:ascii="Times New Roman" w:hAnsi="Times New Roman"/>
          <w:b w:val="0"/>
        </w:rPr>
        <w:t>The charts support a planning demonstration. They do not establish actual demand on a distribution network, measured city hotspots or a reduction in complaint resolution time.</w:t>
      </w:r>
    </w:p>
    <w:p>
      <w:r>
        <w:rPr>
          <w:rFonts w:ascii="Times New Roman" w:hAnsi="Times New Roman"/>
        </w:rPr>
        <w:br w:type="page"/>
      </w:r>
    </w:p>
    <w:p>
      <w:pPr>
        <w:pStyle w:val="Heading1"/>
      </w:pPr>
      <w:r>
        <w:rPr>
          <w:rFonts w:ascii="Times New Roman" w:hAnsi="Times New Roman"/>
          <w:color w:val="000000"/>
        </w:rPr>
        <w:t>Complaint Queue and Staff Dispatch</w:t>
      </w:r>
    </w:p>
    <w:p>
      <w:r>
        <w:rPr>
          <w:rFonts w:ascii="Times New Roman" w:hAnsi="Times New Roman"/>
          <w:b w:val="0"/>
        </w:rPr>
        <w:t>The operations queue lists support tickets with status and staff controls. It provides the case-management view corresponding to the consumer’s token. Staff reassignment and status updates are stored by the backend and notifications are added for the affected consumer.</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917043"/>
            <wp:docPr id="18" name="Picture 18"/>
            <wp:cNvGraphicFramePr>
              <a:graphicFrameLocks noChangeAspect="1"/>
            </wp:cNvGraphicFramePr>
            <a:graphic>
              <a:graphicData uri="http://schemas.openxmlformats.org/drawingml/2006/picture">
                <pic:pic>
                  <pic:nvPicPr>
                    <pic:cNvPr id="0" name="queue-top.png"/>
                    <pic:cNvPicPr/>
                  </pic:nvPicPr>
                  <pic:blipFill>
                    <a:blip r:embed="rId28"/>
                    <a:stretch>
                      <a:fillRect/>
                    </a:stretch>
                  </pic:blipFill>
                  <pic:spPr>
                    <a:xfrm>
                      <a:off x="0" y="0"/>
                      <a:ext cx="5806440" cy="3917043"/>
                    </a:xfrm>
                    <a:prstGeom prst="rect"/>
                  </pic:spPr>
                </pic:pic>
              </a:graphicData>
            </a:graphic>
          </wp:inline>
        </w:drawing>
      </w:r>
    </w:p>
    <w:p>
      <w:pPr>
        <w:pStyle w:val="Caption"/>
        <w:keepNext w:val="0"/>
      </w:pPr>
      <w:r>
        <w:rPr>
          <w:rFonts w:ascii="Times New Roman" w:hAnsi="Times New Roman"/>
        </w:rPr>
        <w:t>Fig. 16: Operations complaint queue and assignment controls</w:t>
      </w:r>
    </w:p>
    <w:p>
      <w:pPr>
        <w:pStyle w:val="Heading2"/>
      </w:pPr>
      <w:r>
        <w:rPr>
          <w:rFonts w:ascii="Times New Roman" w:hAnsi="Times New Roman"/>
          <w:color w:val="000000"/>
        </w:rPr>
        <w:t>Traceability Improvements</w:t>
      </w:r>
    </w:p>
    <w:p>
      <w:r>
        <w:rPr>
          <w:rFonts w:ascii="Times New Roman" w:hAnsi="Times New Roman"/>
          <w:b w:val="0"/>
        </w:rPr>
        <w:t>The present record retains the current status and staff member. A production version should also retain an immutable event history showing who changed a case, what changed and when. Status values should be constrained to an enum and transitions validated against the intended workflow.</w:t>
      </w:r>
    </w:p>
    <w:p>
      <w:r>
        <w:rPr>
          <w:rFonts w:ascii="Times New Roman" w:hAnsi="Times New Roman"/>
          <w:b w:val="0"/>
        </w:rPr>
        <w:t>The current update endpoints are suitable for a local demonstration. Server-side role and ownership checks are needed before they can serve real consumer records.</w:t>
      </w:r>
    </w:p>
    <w:p>
      <w:r>
        <w:rPr>
          <w:rFonts w:ascii="Times New Roman" w:hAnsi="Times New Roman"/>
        </w:rPr>
        <w:br w:type="page"/>
      </w:r>
    </w:p>
    <w:p>
      <w:pPr>
        <w:pStyle w:val="Heading1"/>
      </w:pPr>
      <w:r>
        <w:rPr>
          <w:rFonts w:ascii="Times New Roman" w:hAnsi="Times New Roman"/>
          <w:color w:val="000000"/>
        </w:rPr>
        <w:t>Consultation Calendar and Consumer Directory</w:t>
      </w:r>
    </w:p>
    <w:p>
      <w:r>
        <w:rPr>
          <w:rFonts w:ascii="Times New Roman" w:hAnsi="Times New Roman"/>
          <w:b w:val="0"/>
        </w:rPr>
        <w:t>The shared calendar brings upcoming consultations into one staff view. The directory presents seeded consumer records with locality and meter details. These modules show how support workload and the consumer record can be accessed from the operations interface.</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456214"/>
            <wp:docPr id="19" name="Picture 19"/>
            <wp:cNvGraphicFramePr>
              <a:graphicFrameLocks noChangeAspect="1"/>
            </wp:cNvGraphicFramePr>
            <a:graphic>
              <a:graphicData uri="http://schemas.openxmlformats.org/drawingml/2006/picture">
                <pic:pic>
                  <pic:nvPicPr>
                    <pic:cNvPr id="0" name="calendar-top.png"/>
                    <pic:cNvPicPr/>
                  </pic:nvPicPr>
                  <pic:blipFill>
                    <a:blip r:embed="rId29"/>
                    <a:stretch>
                      <a:fillRect/>
                    </a:stretch>
                  </pic:blipFill>
                  <pic:spPr>
                    <a:xfrm>
                      <a:off x="0" y="0"/>
                      <a:ext cx="5806440" cy="3456214"/>
                    </a:xfrm>
                    <a:prstGeom prst="rect"/>
                  </pic:spPr>
                </pic:pic>
              </a:graphicData>
            </a:graphic>
          </wp:inline>
        </w:drawing>
      </w:r>
    </w:p>
    <w:p>
      <w:pPr>
        <w:pStyle w:val="Caption"/>
        <w:keepNext w:val="0"/>
      </w:pPr>
      <w:r>
        <w:rPr>
          <w:rFonts w:ascii="Times New Roman" w:hAnsi="Times New Roman"/>
        </w:rPr>
        <w:t>Fig. 17: Master consultation calendar for utility staff</w:t>
      </w:r>
    </w:p>
    <w:p>
      <w:r>
        <w:rPr>
          <w:rFonts w:ascii="Times New Roman" w:hAnsi="Times New Roman"/>
          <w:b w:val="0"/>
        </w:rPr>
        <w:t>The calendar is a consolidated view of support slots held on complaint records. Staff availability, conflict detection and reminder delivery would be added by a durable scheduling service.</w:t>
      </w:r>
    </w:p>
    <w:p>
      <w:r>
        <w:rPr>
          <w:rFonts w:ascii="Times New Roman" w:hAnsi="Times New Roman"/>
        </w:rPr>
        <w:br w:type="page"/>
      </w:r>
    </w:p>
    <w:p>
      <w:pPr>
        <w:pStyle w:val="Heading1"/>
      </w:pPr>
      <w:r>
        <w:rPr>
          <w:rFonts w:ascii="Times New Roman" w:hAnsi="Times New Roman"/>
          <w:color w:val="000000"/>
        </w:rPr>
        <w:t>Registered Consumer Directory</w:t>
      </w:r>
    </w:p>
    <w:p>
      <w:r>
        <w:rPr>
          <w:rFonts w:ascii="Times New Roman" w:hAnsi="Times New Roman"/>
          <w:b w:val="0"/>
        </w:rPr>
        <w:t>The directory displays consumer and meter information from the sample user collection. It illustrates the administrative context for a support request and allows the operator to review the associated locality and spending target.</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456214"/>
            <wp:docPr id="20" name="Picture 20"/>
            <wp:cNvGraphicFramePr>
              <a:graphicFrameLocks noChangeAspect="1"/>
            </wp:cNvGraphicFramePr>
            <a:graphic>
              <a:graphicData uri="http://schemas.openxmlformats.org/drawingml/2006/picture">
                <pic:pic>
                  <pic:nvPicPr>
                    <pic:cNvPr id="0" name="consumers.png"/>
                    <pic:cNvPicPr/>
                  </pic:nvPicPr>
                  <pic:blipFill>
                    <a:blip r:embed="rId30"/>
                    <a:stretch>
                      <a:fillRect/>
                    </a:stretch>
                  </pic:blipFill>
                  <pic:spPr>
                    <a:xfrm>
                      <a:off x="0" y="0"/>
                      <a:ext cx="5806440" cy="3456214"/>
                    </a:xfrm>
                    <a:prstGeom prst="rect"/>
                  </pic:spPr>
                </pic:pic>
              </a:graphicData>
            </a:graphic>
          </wp:inline>
        </w:drawing>
      </w:r>
    </w:p>
    <w:p>
      <w:pPr>
        <w:pStyle w:val="Caption"/>
        <w:keepNext w:val="0"/>
      </w:pPr>
      <w:r>
        <w:rPr>
          <w:rFonts w:ascii="Times New Roman" w:hAnsi="Times New Roman"/>
        </w:rPr>
        <w:t>Fig. 18: Registered consumer directory using demo records</w:t>
      </w:r>
    </w:p>
    <w:p>
      <w:r>
        <w:rPr>
          <w:rFonts w:ascii="Times New Roman" w:hAnsi="Times New Roman"/>
          <w:b w:val="0"/>
        </w:rPr>
        <w:t>The records on this screen are demonstration consumers. Real directories should be restricted to authorised staff, with only the information needed for their work and a record of access to personal data.</w:t>
      </w:r>
    </w:p>
    <w:p>
      <w:r>
        <w:rPr>
          <w:rFonts w:ascii="Times New Roman" w:hAnsi="Times New Roman"/>
        </w:rPr>
        <w:br w:type="page"/>
      </w:r>
    </w:p>
    <w:p>
      <w:pPr>
        <w:pStyle w:val="Heading1"/>
      </w:pPr>
      <w:r>
        <w:rPr>
          <w:rFonts w:ascii="Times New Roman" w:hAnsi="Times New Roman"/>
          <w:color w:val="000000"/>
        </w:rPr>
        <w:t>Additional Smart Grid Demonstrations</w:t>
      </w:r>
    </w:p>
    <w:p>
      <w:r>
        <w:rPr>
          <w:rFonts w:ascii="Times New Roman" w:hAnsi="Times New Roman"/>
          <w:b w:val="0"/>
        </w:rPr>
        <w:t>The prototype also contains an illustrative feeder map and a time-of-use / EV scheduling screen. These extend the core consumer-service idea by showing locality-level assets and shifting flexible demand. The feeder locations, conditions, load values and tariff schedules are sample inputs rather than live distribution-network data.</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456214"/>
            <wp:docPr id="21" name="Picture 21"/>
            <wp:cNvGraphicFramePr>
              <a:graphicFrameLocks noChangeAspect="1"/>
            </wp:cNvGraphicFramePr>
            <a:graphic>
              <a:graphicData uri="http://schemas.openxmlformats.org/drawingml/2006/picture">
                <pic:pic>
                  <pic:nvPicPr>
                    <pic:cNvPr id="0" name="gis.png"/>
                    <pic:cNvPicPr/>
                  </pic:nvPicPr>
                  <pic:blipFill>
                    <a:blip r:embed="rId31"/>
                    <a:stretch>
                      <a:fillRect/>
                    </a:stretch>
                  </pic:blipFill>
                  <pic:spPr>
                    <a:xfrm>
                      <a:off x="0" y="0"/>
                      <a:ext cx="5806440" cy="3456214"/>
                    </a:xfrm>
                    <a:prstGeom prst="rect"/>
                  </pic:spPr>
                </pic:pic>
              </a:graphicData>
            </a:graphic>
          </wp:inline>
        </w:drawing>
      </w:r>
    </w:p>
    <w:p>
      <w:pPr>
        <w:pStyle w:val="Caption"/>
        <w:keepNext w:val="0"/>
      </w:pPr>
      <w:r>
        <w:rPr>
          <w:rFonts w:ascii="Times New Roman" w:hAnsi="Times New Roman"/>
        </w:rPr>
        <w:t>Fig. 19: Sample GIS feeder view and dispatch demonstration</w:t>
      </w:r>
    </w:p>
    <w:p>
      <w:r>
        <w:rPr>
          <w:rFonts w:ascii="Times New Roman" w:hAnsi="Times New Roman"/>
        </w:rPr>
        <w:br w:type="page"/>
      </w:r>
    </w:p>
    <w:p>
      <w:pPr>
        <w:pStyle w:val="Heading1"/>
      </w:pPr>
      <w:r>
        <w:rPr>
          <w:rFonts w:ascii="Times New Roman" w:hAnsi="Times New Roman"/>
          <w:color w:val="000000"/>
        </w:rPr>
        <w:t>Time of Use and EV Scheduling</w:t>
      </w:r>
    </w:p>
    <w:p>
      <w:r>
        <w:rPr>
          <w:rFonts w:ascii="Times New Roman" w:hAnsi="Times New Roman"/>
          <w:b w:val="0"/>
        </w:rPr>
        <w:t>This additional screen illustrates flexible-demand planning with sample time-of-use bands and an EV charging scheduler. It is separate from the basic slab-based monthly forecast. Displayed tariff bands are demonstration values and should be replaced by the applicable provider schedule in a real deployment.</w:t>
      </w:r>
    </w:p>
    <w:p>
      <w:pPr>
        <w:spacing w:after="100"/>
        <w:jc w:val="center"/>
      </w:pPr>
      <w:r>
        <w:rPr>
          <w:rFonts w:ascii="Times New Roman" w:hAnsi="Times New Roman"/>
          <w:b w:val="0"/>
        </w:rPr>
      </w:r>
      <w:r>
        <w:rPr>
          <w:rFonts w:ascii="Times New Roman" w:hAnsi="Times New Roman"/>
        </w:rPr>
        <w:drawing>
          <wp:inline xmlns:a="http://schemas.openxmlformats.org/drawingml/2006/main" xmlns:pic="http://schemas.openxmlformats.org/drawingml/2006/picture">
            <wp:extent cx="5806440" cy="3686629"/>
            <wp:docPr id="22" name="Picture 22"/>
            <wp:cNvGraphicFramePr>
              <a:graphicFrameLocks noChangeAspect="1"/>
            </wp:cNvGraphicFramePr>
            <a:graphic>
              <a:graphicData uri="http://schemas.openxmlformats.org/drawingml/2006/picture">
                <pic:pic>
                  <pic:nvPicPr>
                    <pic:cNvPr id="0" name="ev-top.png"/>
                    <pic:cNvPicPr/>
                  </pic:nvPicPr>
                  <pic:blipFill>
                    <a:blip r:embed="rId32"/>
                    <a:stretch>
                      <a:fillRect/>
                    </a:stretch>
                  </pic:blipFill>
                  <pic:spPr>
                    <a:xfrm>
                      <a:off x="0" y="0"/>
                      <a:ext cx="5806440" cy="3686629"/>
                    </a:xfrm>
                    <a:prstGeom prst="rect"/>
                  </pic:spPr>
                </pic:pic>
              </a:graphicData>
            </a:graphic>
          </wp:inline>
        </w:drawing>
      </w:r>
    </w:p>
    <w:p>
      <w:pPr>
        <w:pStyle w:val="Caption"/>
        <w:keepNext w:val="0"/>
      </w:pPr>
      <w:r>
        <w:rPr>
          <w:rFonts w:ascii="Times New Roman" w:hAnsi="Times New Roman"/>
        </w:rPr>
        <w:t>Fig. 20: Time-of-use and EV scheduling interface with sample inputs</w:t>
      </w:r>
    </w:p>
    <w:p>
      <w:r>
        <w:rPr>
          <w:rFonts w:ascii="Times New Roman" w:hAnsi="Times New Roman"/>
          <w:b w:val="0"/>
        </w:rPr>
        <w:t>The module demonstrates how a charging requirement can be considered alongside tariff periods. Its results are illustrative rather than a validated control schedule for a connected charger.</w:t>
      </w:r>
    </w:p>
    <w:p>
      <w:r>
        <w:rPr>
          <w:rFonts w:ascii="Times New Roman" w:hAnsi="Times New Roman"/>
        </w:rPr>
        <w:br w:type="page"/>
      </w:r>
    </w:p>
    <w:p>
      <w:pPr>
        <w:pStyle w:val="Heading1"/>
      </w:pPr>
      <w:r>
        <w:rPr>
          <w:rFonts w:ascii="Times New Roman" w:hAnsi="Times New Roman"/>
          <w:color w:val="000000"/>
        </w:rPr>
        <w:t>Test Case: Electricity Bill Discrepancy</w:t>
      </w:r>
    </w:p>
    <w:p>
      <w:r>
        <w:rPr>
          <w:rFonts w:ascii="Times New Roman" w:hAnsi="Times New Roman"/>
          <w:b w:val="0"/>
        </w:rPr>
        <w:t>The following scenario was executed against the running local backend on 12 October 2026 using the demo consumer. The backend was operating with its asynchronous in-memory fallback. The scenario verifies selected application rules, not utility billing accuracy.</w:t>
      </w:r>
    </w:p>
    <w:tbl>
      <w:tblPr>
        <w:tblW w:type="auto" w:w="0"/>
        <w:tblLayout w:type="fixed"/>
        <w:tblLook w:firstColumn="1" w:firstRow="1" w:lastColumn="0" w:lastRow="0" w:noHBand="0" w:noVBand="1" w:val="04A0"/>
      </w:tblPr>
      <w:tblGrid>
        <w:gridCol w:w="3091"/>
        <w:gridCol w:w="3091"/>
        <w:gridCol w:w="3091"/>
      </w:tblGrid>
      <w:tr>
        <w:trPr>
          <w:tblHeade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Step</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Action</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Observed Result</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1</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Sign in as demo citizen.</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Valid credentials accepted; incorrect password returned HTTP 401.</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2</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Request monthly forecast.</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Estimate Rs 1103.75; projected usage 183.7 kWh.</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3</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Compare a bill Rs 200 above estimate.</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Variance alert returned by the verification endpoint.</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4</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Create billing complaint.</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Token GP-81810; Submitted status; offline default; staff and slot returned.</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5</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Change mode outside the lock window.</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Online mode accepted for the approximately 24-hour-away appointment.</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6</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Apply review, progress and resolution updates.</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Under Review, In Progress and Resolved updates accepted; resolved record retained.</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7</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Create an approaching appointment.</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Simulated slot within 2.5 hours marked locked.</w:t>
            </w:r>
          </w:p>
        </w:tc>
      </w:tr>
      <w:tr>
        <w:trPr>
          <w:cantSplit/>
        </w:trPr>
        <w:tc>
          <w:tcPr>
            <w:tcW w:type="dxa" w:w="720"/>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8</w:t>
            </w:r>
          </w:p>
        </w:tc>
        <w:tc>
          <w:tcPr>
            <w:tcW w:type="dxa" w:w="3773"/>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Attempt to change the locked mode.</w:t>
            </w:r>
          </w:p>
        </w:tc>
        <w:tc>
          <w:tcPr>
            <w:tcW w:type="dxa" w:w="463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Request rejected with HTTP 400.</w:t>
            </w:r>
          </w:p>
        </w:tc>
      </w:tr>
    </w:tbl>
    <w:p>
      <w:pPr>
        <w:spacing w:after="40"/>
      </w:pPr>
      <w:r>
        <w:rPr>
          <w:rFonts w:ascii="Times New Roman" w:hAnsi="Times New Roman"/>
          <w:b w:val="0"/>
        </w:rPr>
      </w:r>
    </w:p>
    <w:p>
      <w:pPr>
        <w:pStyle w:val="Heading2"/>
      </w:pPr>
      <w:r>
        <w:rPr>
          <w:rFonts w:ascii="Times New Roman" w:hAnsi="Times New Roman"/>
          <w:color w:val="000000"/>
        </w:rPr>
        <w:t>Result</w:t>
      </w:r>
    </w:p>
    <w:p>
      <w:r>
        <w:rPr>
          <w:rFonts w:ascii="Times New Roman" w:hAnsi="Times New Roman"/>
          <w:b w:val="0"/>
        </w:rPr>
        <w:t>The executed scenario demonstrates the link from a bill variance to a support token, mode selection, case progression and the appointment lock. Complaint evidence is represented by metadata in the current model. A measured signed history and durable file attachments require further work.</w:t>
      </w:r>
    </w:p>
    <w:p>
      <w:r>
        <w:rPr>
          <w:rFonts w:ascii="Times New Roman" w:hAnsi="Times New Roman"/>
        </w:rPr>
        <w:br w:type="page"/>
      </w:r>
    </w:p>
    <w:p>
      <w:pPr>
        <w:pStyle w:val="Heading1"/>
      </w:pPr>
      <w:r>
        <w:rPr>
          <w:rFonts w:ascii="Times New Roman" w:hAnsi="Times New Roman"/>
          <w:color w:val="000000"/>
        </w:rPr>
        <w:t>Verification Results and Limitations</w:t>
      </w:r>
    </w:p>
    <w:p>
      <w:r>
        <w:rPr>
          <w:rFonts w:ascii="Times New Roman" w:hAnsi="Times New Roman"/>
          <w:b w:val="0"/>
        </w:rPr>
        <w:t>All 22 targeted checks in the report verification run passed. The checks cover health, login behaviour, four tariff points, the forecast response, five bill-variance cases, an invalid budget interval, complaint creation, mode changes, status updates, the simulated lock and retention of the resolved ticket.</w:t>
      </w:r>
    </w:p>
    <w:tbl>
      <w:tblPr>
        <w:tblW w:type="auto" w:w="0"/>
        <w:tblLayout w:type="fixed"/>
        <w:tblLook w:firstColumn="1" w:firstRow="1" w:lastColumn="0" w:lastRow="0" w:noHBand="0" w:noVBand="1" w:val="04A0"/>
      </w:tblPr>
      <w:tblGrid>
        <w:gridCol w:w="3091"/>
        <w:gridCol w:w="3091"/>
        <w:gridCol w:w="3091"/>
      </w:tblGrid>
      <w:tr>
        <w:trPr>
          <w:tblHeade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Check</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Expected Result</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Observed</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0 kWh</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Rs 60.00 including fixed charge</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100 kWh</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Rs 532.50</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300 kWh</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Rs 1,897.50</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350 kWh</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Rs 2,328.00</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Variance Rs 0 and Rs 149</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No discrepancy</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Variance Rs 150, Rs 200 and -Rs 150</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Discrepancy flagged</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Budget upper bound below lower bound</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HTTP 400</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Change mode more than 4 hours before slot</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Accepted</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Change mode within 4 hours</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HTTP 400</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r>
        <w:trPr>
          <w:cantSplit/>
        </w:trPr>
        <w:tc>
          <w:tcPr>
            <w:tcW w:type="dxa" w:w="3341"/>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Resolved complaint</w:t>
            </w:r>
          </w:p>
        </w:tc>
        <w:tc>
          <w:tcPr>
            <w:tcW w:type="dxa" w:w="3917"/>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Retained in citizen query</w:t>
            </w:r>
          </w:p>
        </w:tc>
        <w:tc>
          <w:tcPr>
            <w:tcW w:type="dxa" w:w="1872"/>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Pass</w:t>
            </w:r>
          </w:p>
        </w:tc>
      </w:tr>
    </w:tbl>
    <w:p>
      <w:pPr>
        <w:spacing w:after="40"/>
      </w:pPr>
      <w:r>
        <w:rPr>
          <w:rFonts w:ascii="Times New Roman" w:hAnsi="Times New Roman"/>
          <w:b w:val="0"/>
        </w:rPr>
      </w:r>
    </w:p>
    <w:p>
      <w:pPr>
        <w:pStyle w:val="Heading2"/>
      </w:pPr>
      <w:r>
        <w:rPr>
          <w:rFonts w:ascii="Times New Roman" w:hAnsi="Times New Roman"/>
          <w:color w:val="000000"/>
        </w:rPr>
        <w:t>Limitations of the Evaluation</w:t>
      </w:r>
    </w:p>
    <w:p>
      <w:r>
        <w:rPr>
          <w:rFonts w:ascii="Times New Roman" w:hAnsi="Times New Roman"/>
          <w:b w:val="0"/>
        </w:rPr>
        <w:t>The tests use deterministic rules and demonstration records. They do not measure forecast accuracy, energy savings, notification delivery, browser compatibility, accessibility, uptime or simultaneous-user capacity. The sequential complaint updates verify acceptance of the expected states; they do not prove that invalid transitions are rejected.</w:t>
      </w:r>
    </w:p>
    <w:p>
      <w:r>
        <w:rPr>
          <w:rFonts w:ascii="Times New Roman" w:hAnsi="Times New Roman"/>
          <w:b w:val="0"/>
        </w:rPr>
        <w:t>Security inspection found demonstration credentials and email-based identification, with incomplete backend role and ownership enforcement. The in-memory fallback is non-durable. No physical sensor, utility API, trained model or automated reminder-call provider was used in this report’s demonstration.</w:t>
      </w:r>
    </w:p>
    <w:p>
      <w:r>
        <w:rPr>
          <w:rFonts w:ascii="Times New Roman" w:hAnsi="Times New Roman"/>
        </w:rPr>
        <w:br w:type="page"/>
      </w:r>
    </w:p>
    <w:p>
      <w:pPr>
        <w:pStyle w:val="Heading1"/>
      </w:pPr>
      <w:r>
        <w:rPr>
          <w:rFonts w:ascii="Times New Roman" w:hAnsi="Times New Roman"/>
          <w:color w:val="000000"/>
        </w:rPr>
        <w:t>10. Technical Requirements (HW/SW)</w:t>
      </w:r>
    </w:p>
    <w:p>
      <w:pPr>
        <w:pStyle w:val="Heading2"/>
      </w:pPr>
      <w:r>
        <w:rPr>
          <w:rFonts w:ascii="Times New Roman" w:hAnsi="Times New Roman"/>
          <w:color w:val="000000"/>
        </w:rPr>
        <w:t>Hardware Requirements</w:t>
      </w:r>
    </w:p>
    <w:p>
      <w:pPr>
        <w:spacing w:after="120"/>
        <w:ind w:left="240" w:hanging="240"/>
      </w:pPr>
      <w:r>
        <w:rPr>
          <w:rFonts w:ascii="Times New Roman" w:hAnsi="Times New Roman"/>
          <w:b w:val="0"/>
        </w:rPr>
        <w:t>• A development computer with a modern multicore processor.</w:t>
      </w:r>
    </w:p>
    <w:p>
      <w:pPr>
        <w:spacing w:after="120"/>
        <w:ind w:left="240" w:hanging="240"/>
      </w:pPr>
      <w:r>
        <w:rPr>
          <w:rFonts w:ascii="Times New Roman" w:hAnsi="Times New Roman"/>
          <w:b w:val="0"/>
        </w:rPr>
        <w:t>• 8 GB RAM recommended for running the frontend, backend and browser together.</w:t>
      </w:r>
    </w:p>
    <w:p>
      <w:pPr>
        <w:spacing w:after="120"/>
        <w:ind w:left="240" w:hanging="240"/>
      </w:pPr>
      <w:r>
        <w:rPr>
          <w:rFonts w:ascii="Times New Roman" w:hAnsi="Times New Roman"/>
          <w:b w:val="0"/>
        </w:rPr>
        <w:t>• Storage for source files, installed packages and the database; additional capacity for future telemetry and evidence files.</w:t>
      </w:r>
    </w:p>
    <w:p>
      <w:pPr>
        <w:spacing w:after="120"/>
        <w:ind w:left="240" w:hanging="240"/>
      </w:pPr>
      <w:r>
        <w:rPr>
          <w:rFonts w:ascii="Times New Roman" w:hAnsi="Times New Roman"/>
          <w:b w:val="0"/>
        </w:rPr>
        <w:t>• A desktop, laptop or smartphone with a modern browser for consumer access.</w:t>
      </w:r>
    </w:p>
    <w:p>
      <w:pPr>
        <w:spacing w:after="120"/>
        <w:ind w:left="240" w:hanging="240"/>
      </w:pPr>
      <w:r>
        <w:rPr>
          <w:rFonts w:ascii="Times New Roman" w:hAnsi="Times New Roman"/>
          <w:b w:val="0"/>
        </w:rPr>
        <w:t>• Local network access for demonstration; reliable internet for remote hosting and external service integrations.</w:t>
      </w:r>
    </w:p>
    <w:p>
      <w:pPr>
        <w:pStyle w:val="Heading2"/>
      </w:pPr>
      <w:r>
        <w:rPr>
          <w:rFonts w:ascii="Times New Roman" w:hAnsi="Times New Roman"/>
          <w:color w:val="000000"/>
        </w:rPr>
        <w:t>Software Requirements</w:t>
      </w:r>
    </w:p>
    <w:tbl>
      <w:tblPr>
        <w:tblW w:type="auto" w:w="0"/>
        <w:tblLayout w:type="fixed"/>
        <w:tblLook w:firstColumn="1" w:firstRow="1" w:lastColumn="0" w:lastRow="0" w:noHBand="0" w:noVBand="1" w:val="04A0"/>
      </w:tblPr>
      <w:tblGrid>
        <w:gridCol w:w="4637"/>
        <w:gridCol w:w="4637"/>
      </w:tblGrid>
      <w:tr>
        <w:trPr>
          <w:tblHeade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Component</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shd w:fill="F0E3E5"/>
          </w:tcPr>
          <w:p>
            <w:pPr>
              <w:spacing w:after="40" w:line="240" w:lineRule="auto"/>
              <w:jc w:val="left"/>
            </w:pPr>
            <w:r>
              <w:rPr>
                <w:b/>
                <w:sz w:val="21"/>
              </w:rPr>
              <w:t>Technology Used</w:t>
            </w:r>
          </w:p>
        </w:tc>
      </w:tr>
      <w:tr>
        <w:trP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Frontend</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React 19, Vite 8, JavaScript and CSS</w:t>
            </w:r>
          </w:p>
        </w:tc>
      </w:tr>
      <w:tr>
        <w:trP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Charts and icons</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Chart.js and Lucide React</w:t>
            </w:r>
          </w:p>
        </w:tc>
      </w:tr>
      <w:tr>
        <w:trP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Backend</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Python, FastAPI, Uvicorn and Pydantic</w:t>
            </w:r>
          </w:p>
        </w:tc>
      </w:tr>
      <w:tr>
        <w:trP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Database integration</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MongoDB through Motor / PyMongo</w:t>
            </w:r>
          </w:p>
        </w:tc>
      </w:tr>
      <w:tr>
        <w:trP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Local fallback</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Asynchronous in-memory MongoDB-compatible store</w:t>
            </w:r>
          </w:p>
        </w:tc>
      </w:tr>
      <w:tr>
        <w:trP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Communication</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HTTP REST requests with JSON</w:t>
            </w:r>
          </w:p>
        </w:tc>
      </w:tr>
      <w:tr>
        <w:trP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Development tools</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Code editor, Git, browser tools and API client</w:t>
            </w:r>
          </w:p>
        </w:tc>
      </w:tr>
      <w:tr>
        <w:trPr>
          <w:cantSplit/>
        </w:trPr>
        <w:tc>
          <w:tcPr>
            <w:tcW w:type="dxa" w:w="2376"/>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Runtime access</w:t>
            </w:r>
          </w:p>
        </w:tc>
        <w:tc>
          <w:tcPr>
            <w:tcW w:type="dxa" w:w="6754"/>
            <w:tcBorders>
              <w:top w:val="single" w:sz="4" w:color="777777"/>
              <w:left w:val="single" w:sz="4" w:color="777777"/>
              <w:bottom w:val="single" w:sz="4" w:color="777777"/>
              <w:right w:val="single" w:sz="4" w:color="777777"/>
            </w:tcBorders>
            <w:tcMar>
              <w:top w:w="75" w:type="dxa"/>
              <w:left w:w="75" w:type="dxa"/>
              <w:bottom w:w="75" w:type="dxa"/>
              <w:right w:w="75" w:type="dxa"/>
            </w:tcMar>
          </w:tcPr>
          <w:p>
            <w:pPr>
              <w:spacing w:after="40" w:line="240" w:lineRule="auto"/>
              <w:jc w:val="left"/>
            </w:pPr>
            <w:r>
              <w:rPr>
                <w:b w:val="0"/>
                <w:sz w:val="21"/>
              </w:rPr>
              <w:t>Frontend at port 5173; backend at port 8000</w:t>
            </w:r>
          </w:p>
        </w:tc>
      </w:tr>
    </w:tbl>
    <w:p>
      <w:pPr>
        <w:spacing w:after="40"/>
      </w:pPr>
      <w:r>
        <w:rPr>
          <w:rFonts w:ascii="Times New Roman" w:hAnsi="Times New Roman"/>
          <w:b w:val="0"/>
        </w:rPr>
      </w:r>
    </w:p>
    <w:p>
      <w:pPr>
        <w:pStyle w:val="Heading2"/>
      </w:pPr>
      <w:r>
        <w:rPr>
          <w:rFonts w:ascii="Times New Roman" w:hAnsi="Times New Roman"/>
          <w:color w:val="000000"/>
        </w:rPr>
        <w:t>Future Hardware Integration</w:t>
      </w:r>
    </w:p>
    <w:p>
      <w:r>
        <w:rPr>
          <w:rFonts w:ascii="Times New Roman" w:hAnsi="Times New Roman"/>
          <w:b w:val="0"/>
        </w:rPr>
        <w:t>An authorised meter interface or suitably isolated sensing setup, microcontroller gateway and communication link would be needed to replace the simulator. Device readings must be calibrated and associated with the correct consumer, meter identifier and timestamps before they are used for comparisons.</w:t>
      </w:r>
    </w:p>
    <w:p>
      <w:r>
        <w:rPr>
          <w:rFonts w:ascii="Times New Roman" w:hAnsi="Times New Roman"/>
        </w:rPr>
        <w:br w:type="page"/>
      </w:r>
    </w:p>
    <w:p>
      <w:pPr>
        <w:pStyle w:val="Heading1"/>
      </w:pPr>
      <w:r>
        <w:rPr>
          <w:rFonts w:ascii="Times New Roman" w:hAnsi="Times New Roman"/>
          <w:color w:val="000000"/>
        </w:rPr>
        <w:t>11. Applications</w:t>
      </w:r>
    </w:p>
    <w:p>
      <w:pPr>
        <w:pStyle w:val="Heading2"/>
      </w:pPr>
      <w:r>
        <w:rPr>
          <w:rFonts w:ascii="Times New Roman" w:hAnsi="Times New Roman"/>
          <w:color w:val="000000"/>
        </w:rPr>
        <w:t>Residential Electricity Consumers</w:t>
      </w:r>
    </w:p>
    <w:p>
      <w:r>
        <w:rPr>
          <w:rFonts w:ascii="Times New Roman" w:hAnsi="Times New Roman"/>
          <w:b w:val="0"/>
        </w:rPr>
        <w:t>Consumers can review recent usage, understand the current cost estimate and compare expenditure with a selected budget. A support ticket and appointment provide a visible path for discussing a billing query.</w:t>
      </w:r>
    </w:p>
    <w:p>
      <w:pPr>
        <w:pStyle w:val="Heading2"/>
      </w:pPr>
      <w:r>
        <w:rPr>
          <w:rFonts w:ascii="Times New Roman" w:hAnsi="Times New Roman"/>
          <w:color w:val="000000"/>
        </w:rPr>
        <w:t>Utility Consumer Support Centres</w:t>
      </w:r>
    </w:p>
    <w:p>
      <w:r>
        <w:rPr>
          <w:rFonts w:ascii="Times New Roman" w:hAnsi="Times New Roman"/>
          <w:b w:val="0"/>
        </w:rPr>
        <w:t>A shared queue, staff assignment and consultation calendar can help staff organise support cases. The token links the consumer-facing status view with the internal handling record.</w:t>
      </w:r>
    </w:p>
    <w:p>
      <w:pPr>
        <w:pStyle w:val="Heading2"/>
      </w:pPr>
      <w:r>
        <w:rPr>
          <w:rFonts w:ascii="Times New Roman" w:hAnsi="Times New Roman"/>
          <w:color w:val="000000"/>
        </w:rPr>
        <w:t>Housing Societies and Residential Complexes</w:t>
      </w:r>
    </w:p>
    <w:p>
      <w:r>
        <w:rPr>
          <w:rFonts w:ascii="Times New Roman" w:hAnsi="Times New Roman"/>
          <w:b w:val="0"/>
        </w:rPr>
        <w:t>With measured data and authorised access, the system could help residents understand individual usage and support facility managers in comparing common-area consumption over time.</w:t>
      </w:r>
    </w:p>
    <w:p>
      <w:pPr>
        <w:pStyle w:val="Heading2"/>
      </w:pPr>
      <w:r>
        <w:rPr>
          <w:rFonts w:ascii="Times New Roman" w:hAnsi="Times New Roman"/>
          <w:color w:val="000000"/>
        </w:rPr>
        <w:t>Educational Campuses and Laboratories</w:t>
      </w:r>
    </w:p>
    <w:p>
      <w:r>
        <w:rPr>
          <w:rFonts w:ascii="Times New Roman" w:hAnsi="Times New Roman"/>
          <w:b w:val="0"/>
        </w:rPr>
        <w:t>The simulator offers a teaching demonstration of telemetry, forecasting baselines, tariffs, REST APIs and consumer-service workflows. Students can inspect the effect of changing tariff inputs and appointment rules without connecting to a live utility.</w:t>
      </w:r>
    </w:p>
    <w:p>
      <w:pPr>
        <w:pStyle w:val="Heading2"/>
      </w:pPr>
      <w:r>
        <w:rPr>
          <w:rFonts w:ascii="Times New Roman" w:hAnsi="Times New Roman"/>
          <w:color w:val="000000"/>
        </w:rPr>
        <w:t>Urban Energy Planning Demonstrations</w:t>
      </w:r>
    </w:p>
    <w:p>
      <w:r>
        <w:rPr>
          <w:rFonts w:ascii="Times New Roman" w:hAnsi="Times New Roman"/>
          <w:b w:val="0"/>
        </w:rPr>
        <w:t>Aggregate complaint and demand views can illustrate how localities differ in support needs and energy use. A real application would require reliable source data, permission to aggregate it and clearly defined metrics.</w:t>
      </w:r>
    </w:p>
    <w:p>
      <w:pPr>
        <w:pStyle w:val="Heading2"/>
      </w:pPr>
      <w:r>
        <w:rPr>
          <w:rFonts w:ascii="Times New Roman" w:hAnsi="Times New Roman"/>
          <w:color w:val="000000"/>
        </w:rPr>
        <w:t>Consumer Awareness and Flexible Demand</w:t>
      </w:r>
    </w:p>
    <w:p>
      <w:r>
        <w:rPr>
          <w:rFonts w:ascii="Times New Roman" w:hAnsi="Times New Roman"/>
          <w:b w:val="0"/>
        </w:rPr>
        <w:t>Budget guidance and time-of-use examples can explain how appliance schedules affect expenditure. The prototype’s suggestions and EV screen support this discussion; actual savings depend on measured behaviour and the applicable tariff.</w:t>
      </w:r>
    </w:p>
    <w:p>
      <w:r>
        <w:rPr>
          <w:rFonts w:ascii="Times New Roman" w:hAnsi="Times New Roman"/>
        </w:rPr>
        <w:br w:type="page"/>
      </w:r>
    </w:p>
    <w:p>
      <w:pPr>
        <w:pStyle w:val="Heading1"/>
      </w:pPr>
      <w:r>
        <w:rPr>
          <w:rFonts w:ascii="Times New Roman" w:hAnsi="Times New Roman"/>
          <w:color w:val="000000"/>
        </w:rPr>
        <w:t>12. Future Scope</w:t>
      </w:r>
    </w:p>
    <w:p>
      <w:pPr>
        <w:spacing w:after="120"/>
        <w:ind w:left="240" w:hanging="240"/>
      </w:pPr>
      <w:r>
        <w:rPr>
          <w:rFonts w:ascii="Times New Roman" w:hAnsi="Times New Roman"/>
          <w:b w:val="0"/>
        </w:rPr>
        <w:t>• Physical meter integration: replace simulated readings with calibrated, timestamped data from an authorised interface.</w:t>
      </w:r>
    </w:p>
    <w:p>
      <w:pPr>
        <w:spacing w:after="120"/>
        <w:ind w:left="240" w:hanging="240"/>
      </w:pPr>
      <w:r>
        <w:rPr>
          <w:rFonts w:ascii="Times New Roman" w:hAnsi="Times New Roman"/>
          <w:b w:val="0"/>
        </w:rPr>
        <w:t>• Validated forecasting: train and compare models with a clear baseline, separate test data and error metrics such as MAE and MAPE.</w:t>
      </w:r>
    </w:p>
    <w:p>
      <w:pPr>
        <w:spacing w:after="120"/>
        <w:ind w:left="240" w:hanging="240"/>
      </w:pPr>
      <w:r>
        <w:rPr>
          <w:rFonts w:ascii="Times New Roman" w:hAnsi="Times New Roman"/>
          <w:b w:val="0"/>
        </w:rPr>
        <w:t>• Utility tariff configuration: support billing cycles, provider-specific slabs, approved charges and versioned tariff rules.</w:t>
      </w:r>
    </w:p>
    <w:p>
      <w:pPr>
        <w:spacing w:after="120"/>
        <w:ind w:left="240" w:hanging="240"/>
      </w:pPr>
      <w:r>
        <w:rPr>
          <w:rFonts w:ascii="Times New Roman" w:hAnsi="Times New Roman"/>
          <w:b w:val="0"/>
        </w:rPr>
        <w:t>• Secure authentication: hash passwords, issue signed sessions, enforce backend roles and verify record ownership.</w:t>
      </w:r>
    </w:p>
    <w:p>
      <w:pPr>
        <w:spacing w:after="120"/>
        <w:ind w:left="240" w:hanging="240"/>
      </w:pPr>
      <w:r>
        <w:rPr>
          <w:rFonts w:ascii="Times New Roman" w:hAnsi="Times New Roman"/>
          <w:b w:val="0"/>
        </w:rPr>
        <w:t>• Durable evidence: store consumption snapshots, bill documents and timestamped complaint event history.</w:t>
      </w:r>
    </w:p>
    <w:p>
      <w:pPr>
        <w:spacing w:after="120"/>
        <w:ind w:left="240" w:hanging="240"/>
      </w:pPr>
      <w:r>
        <w:rPr>
          <w:rFonts w:ascii="Times New Roman" w:hAnsi="Times New Roman"/>
          <w:b w:val="0"/>
        </w:rPr>
        <w:t>• Reliable appointments: use staff availability, avoid slot conflicts and schedule the intended two-hour reminder.</w:t>
      </w:r>
    </w:p>
    <w:p>
      <w:pPr>
        <w:spacing w:after="120"/>
        <w:ind w:left="240" w:hanging="240"/>
      </w:pPr>
      <w:r>
        <w:rPr>
          <w:rFonts w:ascii="Times New Roman" w:hAnsi="Times New Roman"/>
          <w:b w:val="0"/>
        </w:rPr>
        <w:t>• External notifications: connect SMS, email and customer-service calling, with retries and delivery logs.</w:t>
      </w:r>
    </w:p>
    <w:p>
      <w:pPr>
        <w:spacing w:after="120"/>
        <w:ind w:left="240" w:hanging="240"/>
      </w:pPr>
      <w:r>
        <w:rPr>
          <w:rFonts w:ascii="Times New Roman" w:hAnsi="Times New Roman"/>
          <w:b w:val="0"/>
        </w:rPr>
        <w:t>• Regional language support: add Marathi and Hindi and test accessibility with consumers.</w:t>
      </w:r>
    </w:p>
    <w:p>
      <w:pPr>
        <w:spacing w:after="120"/>
        <w:ind w:left="240" w:hanging="240"/>
      </w:pPr>
      <w:r>
        <w:rPr>
          <w:rFonts w:ascii="Times New Roman" w:hAnsi="Times New Roman"/>
          <w:b w:val="0"/>
        </w:rPr>
        <w:t>• Measured appliance guidance: use appliance sensors or validated disaggregation models instead of fixed shares.</w:t>
      </w:r>
    </w:p>
    <w:p>
      <w:pPr>
        <w:spacing w:after="120"/>
        <w:ind w:left="240" w:hanging="240"/>
      </w:pPr>
      <w:r>
        <w:rPr>
          <w:rFonts w:ascii="Times New Roman" w:hAnsi="Times New Roman"/>
          <w:b w:val="0"/>
        </w:rPr>
        <w:t>• Hosted operations: add HTTPS, monitoring, backups, retention controls and recovery procedures.</w:t>
      </w:r>
    </w:p>
    <w:p>
      <w:r>
        <w:rPr>
          <w:rFonts w:ascii="Times New Roman" w:hAnsi="Times New Roman"/>
          <w:b w:val="0"/>
        </w:rPr>
        <w:t>The immediate priority is to connect the demonstrated workflow to reliable data and enforce access control. Advanced AI features and city-scale analytics should follow validation of the measurement, tariff and support foundations.</w:t>
      </w:r>
    </w:p>
    <w:p>
      <w:r>
        <w:rPr>
          <w:rFonts w:ascii="Times New Roman" w:hAnsi="Times New Roman"/>
        </w:rPr>
        <w:br w:type="page"/>
      </w:r>
    </w:p>
    <w:p>
      <w:pPr>
        <w:pStyle w:val="Heading1"/>
      </w:pPr>
      <w:r>
        <w:rPr>
          <w:rFonts w:ascii="Times New Roman" w:hAnsi="Times New Roman"/>
          <w:color w:val="000000"/>
        </w:rPr>
        <w:t>13. Conclusion</w:t>
      </w:r>
    </w:p>
    <w:p>
      <w:r>
        <w:rPr>
          <w:rFonts w:ascii="Times New Roman" w:hAnsi="Times New Roman"/>
          <w:b w:val="0"/>
        </w:rPr>
        <w:t>GridPulse demonstrates an integrated approach to an urban electricity-service problem: consumers need clearer usage information and an easier way to obtain support, while utility staff need a shared view of complaints and appointments. The web prototype brings simulated consumption, a transparent monthly estimate, spending targets, bill verification and token-based assistance into one application.</w:t>
      </w:r>
    </w:p>
    <w:p>
      <w:r>
        <w:rPr>
          <w:rFonts w:ascii="Times New Roman" w:hAnsi="Times New Roman"/>
          <w:b w:val="0"/>
        </w:rPr>
        <w:t>The implementation uses React, FastAPI and a MongoDB-compatible layer. The current forecast is a seven-day-average baseline followed by a slab calculation. A variance of Rs 150 or more triggers a review alert. The complaint workflow returns a token and appointment, defaults to offline support and blocks consultation-mode changes within four hours of the slot. Operations screens demonstrate support assignments, locality patterns and consultation planning.</w:t>
      </w:r>
    </w:p>
    <w:p>
      <w:r>
        <w:rPr>
          <w:rFonts w:ascii="Times New Roman" w:hAnsi="Times New Roman"/>
          <w:b w:val="0"/>
        </w:rPr>
        <w:t>The targeted local verification run passed all 22 checks, including tariff boundaries, bill-variance boundaries, complaint creation and the appointment lock. These results establish that selected software rules behave as described on sample data. They do not establish measured forecasting accuracy, actual utility bill errors or deployed service quality.</w:t>
      </w:r>
    </w:p>
    <w:p>
      <w:r>
        <w:rPr>
          <w:rFonts w:ascii="Times New Roman" w:hAnsi="Times New Roman"/>
          <w:b w:val="0"/>
        </w:rPr>
        <w:t>The project therefore meets the Urban System theme as a basic working demonstration that connects observed patterns with a service improvement. Physical sensing, secure access, persistent records, trained prediction and reliable external reminders will make the next version more suitable for real use. The present prototype provides a clear foundation for that work.</w:t>
      </w:r>
    </w:p>
    <w:p>
      <w:r>
        <w:rPr>
          <w:rFonts w:ascii="Times New Roman" w:hAnsi="Times New Roman"/>
        </w:rPr>
        <w:br w:type="page"/>
      </w:r>
    </w:p>
    <w:p>
      <w:pPr>
        <w:pStyle w:val="Heading1"/>
      </w:pPr>
      <w:r>
        <w:rPr>
          <w:rFonts w:ascii="Times New Roman" w:hAnsi="Times New Roman"/>
          <w:color w:val="000000"/>
        </w:rPr>
        <w:t>14. References</w:t>
      </w:r>
    </w:p>
    <w:p>
      <w:pPr>
        <w:spacing w:after="220"/>
      </w:pPr>
      <w:r>
        <w:rPr>
          <w:rFonts w:ascii="Times New Roman" w:hAnsi="Times New Roman"/>
          <w:b w:val="0"/>
        </w:rPr>
        <w:t>[1] Wang, Y., Chen, Q., Hong, T. and Kang, C. (2018). Review of Smart Meter Data Analytics: Applications, Methodologies, and Challenges. arXiv:1802.04117. https://arxiv.org/abs/1802.04117</w:t>
      </w:r>
    </w:p>
    <w:p>
      <w:pPr>
        <w:spacing w:after="220"/>
      </w:pPr>
      <w:r>
        <w:rPr>
          <w:rFonts w:ascii="Times New Roman" w:hAnsi="Times New Roman"/>
          <w:b w:val="0"/>
        </w:rPr>
        <w:t>[2] Arora, S. and Taylor, J. W. (2014). Forecasting Electricity Smart Meter Data Using Conditional Kernel Density Estimation. arXiv:1409.2856. https://arxiv.org/abs/1409.2856</w:t>
      </w:r>
    </w:p>
    <w:p>
      <w:pPr>
        <w:spacing w:after="220"/>
      </w:pPr>
      <w:r>
        <w:rPr>
          <w:rFonts w:ascii="Times New Roman" w:hAnsi="Times New Roman"/>
          <w:b w:val="0"/>
        </w:rPr>
        <w:t>[3] Bansal, A., Rompikuntla, S. K., Gopinadhan, J., Kaur, A. and Kazi, Z. A. (2015). Energy Consumption Forecasting for Smart Meters. arXiv:1512.05979. https://arxiv.org/abs/1512.05979</w:t>
      </w:r>
    </w:p>
    <w:p>
      <w:pPr>
        <w:spacing w:after="220"/>
      </w:pPr>
      <w:r>
        <w:rPr>
          <w:rFonts w:ascii="Times New Roman" w:hAnsi="Times New Roman"/>
          <w:b w:val="0"/>
        </w:rPr>
        <w:t>[4] Kelly, J. and Knottenbelt, W. (2015). The UK-DALE Dataset, Domestic Appliance-Level Electricity Demand and Whole-House Demand from Five UK Homes. Scientific Data, 2, 150007. https://doi.org/10.1038/sdata.2015.7</w:t>
      </w:r>
    </w:p>
    <w:p>
      <w:pPr>
        <w:spacing w:after="220"/>
      </w:pPr>
      <w:r>
        <w:rPr>
          <w:rFonts w:ascii="Times New Roman" w:hAnsi="Times New Roman"/>
          <w:b w:val="0"/>
        </w:rPr>
        <w:t>[5] Murray, D., Stankovic, L. and Stankovic, V. (2017). An Electrical Load Measurements Dataset of United Kingdom Households from a Two-Year Longitudinal Study. Scientific Data, 4, 160122. https://www.nature.com/articles/sdata2016122</w:t>
      </w:r>
    </w:p>
    <w:p>
      <w:pPr>
        <w:spacing w:after="220"/>
      </w:pPr>
      <w:r>
        <w:rPr>
          <w:rFonts w:ascii="Times New Roman" w:hAnsi="Times New Roman"/>
          <w:b w:val="0"/>
        </w:rPr>
        <w:t>[6] Maharashtra State Electricity Distribution Co. Ltd. Web Self Service and Consumer Portal. Billing history, service requests, complaints and consumption estimation. https://wssebill.mahadiscom.in/wss/images/WssHelp/Web_Self_Service_%28WSS%29.htm ; https://www.mahadiscom.in/en/consumer/consumer-portal-sitemap/</w:t>
      </w:r>
    </w:p>
    <w:p>
      <w:r>
        <w:rPr>
          <w:rFonts w:ascii="Times New Roman" w:hAnsi="Times New Roman"/>
        </w:rPr>
        <w:br w:type="page"/>
      </w:r>
    </w:p>
    <w:p>
      <w:pPr>
        <w:pStyle w:val="Heading1"/>
      </w:pPr>
      <w:r>
        <w:rPr>
          <w:rFonts w:ascii="Times New Roman" w:hAnsi="Times New Roman"/>
          <w:color w:val="000000"/>
        </w:rPr>
        <w:t>References Continued</w:t>
      </w:r>
    </w:p>
    <w:p>
      <w:pPr>
        <w:spacing w:after="260"/>
      </w:pPr>
      <w:r>
        <w:rPr>
          <w:rFonts w:ascii="Times New Roman" w:hAnsi="Times New Roman"/>
          <w:b w:val="0"/>
        </w:rPr>
        <w:t>[7] React. Official documentation for components, state and application interfaces. https://react.dev/</w:t>
      </w:r>
    </w:p>
    <w:p>
      <w:pPr>
        <w:spacing w:after="260"/>
      </w:pPr>
      <w:r>
        <w:rPr>
          <w:rFonts w:ascii="Times New Roman" w:hAnsi="Times New Roman"/>
          <w:b w:val="0"/>
        </w:rPr>
        <w:t>[8] FastAPI. Official framework documentation and API guidance. https://fastapi.tiangolo.com/</w:t>
      </w:r>
    </w:p>
    <w:p>
      <w:pPr>
        <w:spacing w:after="260"/>
      </w:pPr>
      <w:r>
        <w:rPr>
          <w:rFonts w:ascii="Times New Roman" w:hAnsi="Times New Roman"/>
          <w:b w:val="0"/>
        </w:rPr>
        <w:t>[9] MongoDB. Database Manual. https://www.mongodb.com/docs/manual/</w:t>
      </w:r>
    </w:p>
    <w:p>
      <w:pPr>
        <w:spacing w:after="260"/>
      </w:pPr>
      <w:r>
        <w:rPr>
          <w:rFonts w:ascii="Times New Roman" w:hAnsi="Times New Roman"/>
          <w:b w:val="0"/>
        </w:rPr>
        <w:t>[10] Project requirements document. Urban Smart Electricity Consumer Assistance and Energy Monitoring System. Functional requirements FR1-FR14 and non-functional requirements NFR1-NFR12. Supplied for IDEA LAB-V.</w:t>
      </w:r>
    </w:p>
    <w:p>
      <w:pPr>
        <w:spacing w:after="260"/>
      </w:pPr>
      <w:r>
        <w:rPr>
          <w:rFonts w:ascii="Times New Roman" w:hAnsi="Times New Roman"/>
          <w:b w:val="0"/>
        </w:rPr>
        <w:t>[11] GridPulse project implementation. React frontend and FastAPI backend, including tariff_engine.py, billing.py, complaints.py and appointments.py. Local source inspected and demonstrated on 12 October 2026.</w:t>
      </w:r>
    </w:p>
    <w:p>
      <w:pPr>
        <w:spacing w:after="260"/>
      </w:pPr>
      <w:r>
        <w:rPr>
          <w:rFonts w:ascii="Times New Roman" w:hAnsi="Times New Roman"/>
          <w:b w:val="0"/>
        </w:rPr>
        <w:t>[12] GridPulse report verification run. Twenty-two targeted checks on tariff calculations, bill-variance boundaries, complaint processing and appointment locking. Executed locally on 12 October 2026 with demo data.</w:t>
      </w:r>
    </w:p>
    <w:p>
      <w:r>
        <w:rPr>
          <w:rFonts w:ascii="Times New Roman" w:hAnsi="Times New Roman"/>
          <w:b w:val="0"/>
        </w:rPr>
        <w:t>Online references accessed on 12 October 2026. The literature review uses verified publications and open research records; the project requirements and implementation are the primary sources for the demonstrated workflow.</w:t>
      </w:r>
    </w:p>
    <w:sectPr w:rsidR="00FC693F" w:rsidRPr="0006063C" w:rsidSect="00034616">
      <w:footerReference w:type="default" r:id="rId12"/>
      <w:pgSz w:w="12240" w:h="15840"/>
      <w:pgMar w:top="2477" w:right="1382" w:bottom="1613" w:left="1584" w:header="259" w:footer="27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line="240" w:lineRule="auto"/>
    </w:pPr>
    <w:r>
      <w:rPr>
        <w:sz w:val="18"/>
      </w:rPr>
      <w:t>IQAC Format Number: 26_E</w:t>
    </w:r>
  </w:p>
  <w:p>
    <w:pPr>
      <w:spacing w:after="0" w:line="240" w:lineRule="auto"/>
    </w:pPr>
    <w:r>
      <w:drawing>
        <wp:inline xmlns:a="http://schemas.openxmlformats.org/drawingml/2006/main" xmlns:pic="http://schemas.openxmlformats.org/drawingml/2006/picture">
          <wp:extent cx="5888736" cy="448056"/>
          <wp:docPr id="1" name="Picture 1"/>
          <wp:cNvGraphicFramePr>
            <a:graphicFrameLocks noChangeAspect="1"/>
          </wp:cNvGraphicFramePr>
          <a:graphic>
            <a:graphicData uri="http://schemas.openxmlformats.org/drawingml/2006/picture">
              <pic:pic>
                <pic:nvPicPr>
                  <pic:cNvPr id="0" name="Image10.jpg"/>
                  <pic:cNvPicPr/>
                </pic:nvPicPr>
                <pic:blipFill>
                  <a:blip r:embed="rId1"/>
                  <a:stretch>
                    <a:fillRect/>
                  </a:stretch>
                </pic:blipFill>
                <pic:spPr>
                  <a:xfrm>
                    <a:off x="0" y="0"/>
                    <a:ext cx="5888736" cy="448056"/>
                  </a:xfrm>
                  <a:prstGeom prst="rect"/>
                </pic:spPr>
              </pic:pic>
            </a:graphicData>
          </a:graphic>
        </wp:inline>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line="240" w:lineRule="auto"/>
    </w:pPr>
    <w:r>
      <w:rPr>
        <w:sz w:val="18"/>
      </w:rPr>
      <w:t>IQAC Format Number: 26_E</w:t>
    </w:r>
  </w:p>
  <w:p>
    <w:pPr>
      <w:spacing w:after="0" w:line="240" w:lineRule="auto"/>
    </w:pPr>
    <w:r>
      <w:drawing>
        <wp:inline xmlns:a="http://schemas.openxmlformats.org/drawingml/2006/main" xmlns:pic="http://schemas.openxmlformats.org/drawingml/2006/picture">
          <wp:extent cx="5888736" cy="448056"/>
          <wp:docPr id="1" name="Picture 1"/>
          <wp:cNvGraphicFramePr>
            <a:graphicFrameLocks noChangeAspect="1"/>
          </wp:cNvGraphicFramePr>
          <a:graphic>
            <a:graphicData uri="http://schemas.openxmlformats.org/drawingml/2006/picture">
              <pic:pic>
                <pic:nvPicPr>
                  <pic:cNvPr id="0" name="Image10.jpg"/>
                  <pic:cNvPicPr/>
                </pic:nvPicPr>
                <pic:blipFill>
                  <a:blip r:embed="rId1"/>
                  <a:stretch>
                    <a:fillRect/>
                  </a:stretch>
                </pic:blipFill>
                <pic:spPr>
                  <a:xfrm>
                    <a:off x="0" y="0"/>
                    <a:ext cx="5888736" cy="448056"/>
                  </a:xfrm>
                  <a:prstGeom prst="rect"/>
                </pic:spPr>
              </pic:pic>
            </a:graphicData>
          </a:graphic>
        </wp:inline>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line="240" w:lineRule="auto"/>
    </w:pPr>
    <w:r>
      <w:rPr>
        <w:sz w:val="18"/>
      </w:rPr>
      <w:t>IQAC Format Number: 26_E</w:t>
    </w:r>
  </w:p>
  <w:p>
    <w:pPr>
      <w:spacing w:after="0" w:line="240" w:lineRule="auto"/>
    </w:pPr>
    <w:r>
      <w:drawing>
        <wp:inline xmlns:a="http://schemas.openxmlformats.org/drawingml/2006/main" xmlns:pic="http://schemas.openxmlformats.org/drawingml/2006/picture">
          <wp:extent cx="5888736" cy="448056"/>
          <wp:docPr id="1" name="Picture 1"/>
          <wp:cNvGraphicFramePr>
            <a:graphicFrameLocks noChangeAspect="1"/>
          </wp:cNvGraphicFramePr>
          <a:graphic>
            <a:graphicData uri="http://schemas.openxmlformats.org/drawingml/2006/picture">
              <pic:pic>
                <pic:nvPicPr>
                  <pic:cNvPr id="0" name="Image10.jpg"/>
                  <pic:cNvPicPr/>
                </pic:nvPicPr>
                <pic:blipFill>
                  <a:blip r:embed="rId1"/>
                  <a:stretch>
                    <a:fillRect/>
                  </a:stretch>
                </pic:blipFill>
                <pic:spPr>
                  <a:xfrm>
                    <a:off x="0" y="0"/>
                    <a:ext cx="5888736" cy="448056"/>
                  </a:xfrm>
                  <a:prstGeom prst="rect"/>
                </pic:spPr>
              </pic:pic>
            </a:graphicData>
          </a:graphic>
        </wp:inline>
      </w:drawing>
    </w:r>
  </w:p>
  <w:p>
    <w:pPr>
      <w:spacing w:after="0" w:line="240" w:lineRule="auto"/>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200" w:line="276" w:lineRule="auto"/>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200" w:line="276" w:lineRule="auto"/>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jc w:val="center"/>
    </w:pPr>
    <w:rPr>
      <w:rFonts w:ascii="Times New Roman" w:hAnsi="Times New Roman" w:eastAsia="Times New Roman" w:cs="Times New Roman"/>
      <w:b w:val="0"/>
      <w:bCs/>
      <w:color w:val="000000"/>
      <w:sz w:val="22"/>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2.jp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GridPulse Urban Smart Electricity Consumer Assistance and Energy Monitoring System</dc:title>
  <dc:subject>IDEA LAB-V | Urban System | Academic Year 2026-2027</dc:subject>
  <dc:creator>Pawan Suryakant Tiwari</dc:creator>
  <cp:keywords/>
  <dc:description>generated by python-docx</dc:description>
  <cp:lastModifiedBy/>
  <cp:revision>1</cp:revision>
  <dcterms:created xsi:type="dcterms:W3CDTF">2013-12-23T23:15:00Z</dcterms:created>
  <dcterms:modified xsi:type="dcterms:W3CDTF">2013-12-23T23:15:00Z</dcterms:modified>
  <cp:category/>
</cp:coreProperties>
</file>