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测试园林绿化采购单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测试王振威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慈善天地龙云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110061162018800018095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91110113748822098C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北京市顺义区马坡镇复兴四街3号院4号楼3层303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测试李轩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62173232132131231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李轩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18613805780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