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bookmarkStart w:id="0" w:name="_GoBack"/>
      <w:bookmarkEnd w:id="0"/>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62173232132131231</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测试王振威</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王振威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慈善天地龙云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BE54FB"/>
    <w:rsid w:val="06C755A4"/>
    <w:rsid w:val="06D23971"/>
    <w:rsid w:val="081937D3"/>
    <w:rsid w:val="08316496"/>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2018-12-07T05:04:30Z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