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1f1f1f"/>
          <w:sz w:val="45"/>
          <w:szCs w:val="45"/>
        </w:rPr>
      </w:pPr>
      <w:bookmarkStart w:colFirst="0" w:colLast="0" w:name="_ds84ko7jqs3c" w:id="0"/>
      <w:bookmarkEnd w:id="0"/>
      <w:r w:rsidDel="00000000" w:rsidR="00000000" w:rsidRPr="00000000">
        <w:rPr>
          <w:color w:val="1f1f1f"/>
          <w:sz w:val="45"/>
          <w:szCs w:val="45"/>
          <w:rtl w:val="0"/>
        </w:rPr>
        <w:t xml:space="preserve">Tarea 3: Utilice las pruebas adecuadas para responder a las preguntas que se le plantean.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Para cada una de las siguientes preguntas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¿Existe una diferencia significativa en el valor medio de las casas delimitadas por el río Charles o no? (Prueba T para muestras independientes)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¿Existe alguna diferencia en los valores medios de las casas (MEDV) para cada proporción de unidades ocupadas por sus propietarios construidas antes de 1940 (AGE)? (ANOVA)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¿Podemos concluir que no existe relación entre las concentraciones de óxido nítrico y la proporción de acres comerciales no minoristas por ciudad? (Correlación de Pearson)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¿Cuál es el impacto de una distancia ponderada adicional a los cinco centros de empleo de Boston sobre el valor medio de las viviendas ocupadas por sus propietarios? (Análisis de regresión)</w:t>
      </w:r>
    </w:p>
    <w:p w:rsidR="00000000" w:rsidDel="00000000" w:rsidP="00000000" w:rsidRDefault="00000000" w:rsidRPr="00000000" w14:paraId="00000008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Asegúrese 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Enunciar su hipótesis.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Utilizar α = 0,05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Realice la prueba Estadística.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Exponga la conclusión de la prueba.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