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E4C7" w14:textId="77777777" w:rsidR="008618AF" w:rsidRPr="008618AF" w:rsidRDefault="008618AF" w:rsidP="008618AF">
      <w:pPr>
        <w:rPr>
          <w:sz w:val="24"/>
          <w:szCs w:val="24"/>
          <w:lang w:val="en-US"/>
        </w:rPr>
      </w:pPr>
    </w:p>
    <w:p w14:paraId="4D0A9244" w14:textId="77777777" w:rsidR="008618AF" w:rsidRPr="008618AF" w:rsidRDefault="008618AF" w:rsidP="008618AF">
      <w:pPr>
        <w:rPr>
          <w:sz w:val="24"/>
          <w:szCs w:val="24"/>
          <w:lang w:val="en-US"/>
        </w:rPr>
      </w:pPr>
    </w:p>
    <w:p w14:paraId="299A0ABA" w14:textId="77777777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 xml:space="preserve">### Where are good jobs in Europe?    </w:t>
      </w:r>
    </w:p>
    <w:p w14:paraId="159A5B1D" w14:textId="684CFC4F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>Assuming one does a good job in measuring the quality of jobs, a maybe bigger question is good jobs for whom? Or where the good jobs are located. To produce the interactive map below we combine</w:t>
      </w:r>
      <w:r w:rsidR="006829E2">
        <w:rPr>
          <w:sz w:val="24"/>
          <w:szCs w:val="24"/>
          <w:lang w:val="en-US"/>
        </w:rPr>
        <w:t>d</w:t>
      </w:r>
      <w:r w:rsidRPr="008618AF">
        <w:rPr>
          <w:sz w:val="24"/>
          <w:szCs w:val="24"/>
          <w:lang w:val="en-US"/>
        </w:rPr>
        <w:t xml:space="preserve"> the previous </w:t>
      </w:r>
      <w:r w:rsidR="006829E2">
        <w:rPr>
          <w:sz w:val="24"/>
          <w:szCs w:val="24"/>
          <w:lang w:val="en-US"/>
        </w:rPr>
        <w:t xml:space="preserve">O*NET structural </w:t>
      </w:r>
      <w:r w:rsidRPr="008618AF">
        <w:rPr>
          <w:sz w:val="24"/>
          <w:szCs w:val="24"/>
          <w:lang w:val="en-US"/>
        </w:rPr>
        <w:t xml:space="preserve">data with the EU Labour Force Survey of the International Labor Organization at the regional (NUTS2) level. What is clear is that </w:t>
      </w:r>
      <w:r w:rsidR="006829E2">
        <w:rPr>
          <w:sz w:val="24"/>
          <w:szCs w:val="24"/>
          <w:lang w:val="en-US"/>
        </w:rPr>
        <w:t xml:space="preserve">border effects are smaller </w:t>
      </w:r>
      <w:r w:rsidRPr="008618AF">
        <w:rPr>
          <w:sz w:val="24"/>
          <w:szCs w:val="24"/>
          <w:lang w:val="en-US"/>
        </w:rPr>
        <w:t>than expected. In fact, it is hard to even distinguish national borders</w:t>
      </w:r>
      <w:r w:rsidR="006829E2">
        <w:rPr>
          <w:sz w:val="24"/>
          <w:szCs w:val="24"/>
          <w:lang w:val="en-US"/>
        </w:rPr>
        <w:t xml:space="preserve">. This leads </w:t>
      </w:r>
      <w:r w:rsidRPr="008618AF">
        <w:rPr>
          <w:sz w:val="24"/>
          <w:szCs w:val="24"/>
          <w:lang w:val="en-US"/>
        </w:rPr>
        <w:t xml:space="preserve">to the idea that good job policy should </w:t>
      </w:r>
      <w:r w:rsidR="006829E2">
        <w:rPr>
          <w:sz w:val="24"/>
          <w:szCs w:val="24"/>
          <w:lang w:val="en-US"/>
        </w:rPr>
        <w:t xml:space="preserve">not only be a national level matter but also </w:t>
      </w:r>
      <w:r w:rsidRPr="008618AF">
        <w:rPr>
          <w:sz w:val="24"/>
          <w:szCs w:val="24"/>
          <w:lang w:val="en-US"/>
        </w:rPr>
        <w:t xml:space="preserve">of </w:t>
      </w:r>
      <w:r w:rsidR="006829E2">
        <w:rPr>
          <w:sz w:val="24"/>
          <w:szCs w:val="24"/>
          <w:lang w:val="en-US"/>
        </w:rPr>
        <w:t xml:space="preserve">a </w:t>
      </w:r>
      <w:r w:rsidRPr="008618AF">
        <w:rPr>
          <w:sz w:val="24"/>
          <w:szCs w:val="24"/>
          <w:lang w:val="en-US"/>
        </w:rPr>
        <w:t xml:space="preserve">higher level of governance (EU). Another striking result is the clear West/East divide, with </w:t>
      </w:r>
      <w:r w:rsidR="006829E2">
        <w:rPr>
          <w:sz w:val="24"/>
          <w:szCs w:val="24"/>
          <w:lang w:val="en-US"/>
        </w:rPr>
        <w:t xml:space="preserve">the </w:t>
      </w:r>
      <w:r w:rsidRPr="008618AF">
        <w:rPr>
          <w:sz w:val="24"/>
          <w:szCs w:val="24"/>
          <w:lang w:val="en-US"/>
        </w:rPr>
        <w:t>jobs requiring complex elements concentrating in the West and less complex ones concentrating in the East. To a much lesser extent but also visible is a North/South divide. But maybe the most striking pattern of all is the extreme concentration of good jobs in the capital</w:t>
      </w:r>
      <w:r w:rsidR="006829E2">
        <w:rPr>
          <w:sz w:val="24"/>
          <w:szCs w:val="24"/>
          <w:lang w:val="en-US"/>
        </w:rPr>
        <w:t xml:space="preserve"> EU</w:t>
      </w:r>
      <w:r w:rsidRPr="008618AF">
        <w:rPr>
          <w:sz w:val="24"/>
          <w:szCs w:val="24"/>
          <w:lang w:val="en-US"/>
        </w:rPr>
        <w:t xml:space="preserve"> cities. This is true for all countries, but the pattern is even stronger in less developed countries.</w:t>
      </w:r>
      <w:r w:rsidR="006829E2">
        <w:rPr>
          <w:sz w:val="24"/>
          <w:szCs w:val="24"/>
          <w:lang w:val="en-US"/>
        </w:rPr>
        <w:t xml:space="preserve"> This marked geography of good jobs means that we also need to take into account regional patterns of specialization to fully accelerate the creation of good jobs. </w:t>
      </w:r>
    </w:p>
    <w:p w14:paraId="5DA61D55" w14:textId="77777777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 xml:space="preserve">  </w:t>
      </w:r>
    </w:p>
    <w:p w14:paraId="48C02FC1" w14:textId="77777777" w:rsidR="008618AF" w:rsidRPr="008618AF" w:rsidRDefault="008618AF" w:rsidP="008618AF">
      <w:pPr>
        <w:rPr>
          <w:sz w:val="24"/>
          <w:szCs w:val="24"/>
          <w:lang w:val="en-US"/>
        </w:rPr>
      </w:pPr>
    </w:p>
    <w:p w14:paraId="0FF4CBD8" w14:textId="77777777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>&lt;</w:t>
      </w:r>
      <w:proofErr w:type="spellStart"/>
      <w:r w:rsidRPr="008618AF">
        <w:rPr>
          <w:sz w:val="24"/>
          <w:szCs w:val="24"/>
          <w:lang w:val="en-US"/>
        </w:rPr>
        <w:t>iframe</w:t>
      </w:r>
      <w:proofErr w:type="spellEnd"/>
      <w:r w:rsidRPr="008618AF">
        <w:rPr>
          <w:sz w:val="24"/>
          <w:szCs w:val="24"/>
          <w:lang w:val="en-US"/>
        </w:rPr>
        <w:t xml:space="preserve"> </w:t>
      </w:r>
      <w:proofErr w:type="spellStart"/>
      <w:r w:rsidRPr="008618AF">
        <w:rPr>
          <w:sz w:val="24"/>
          <w:szCs w:val="24"/>
          <w:lang w:val="en-US"/>
        </w:rPr>
        <w:t>src</w:t>
      </w:r>
      <w:proofErr w:type="spellEnd"/>
      <w:r w:rsidRPr="008618AF">
        <w:rPr>
          <w:sz w:val="24"/>
          <w:szCs w:val="24"/>
          <w:lang w:val="en-US"/>
        </w:rPr>
        <w:t xml:space="preserve">="https://www.paballand.com/asg/fow/EU-map.html" height="605" width="910" style="border: 1px solid #464646;" </w:t>
      </w:r>
      <w:proofErr w:type="spellStart"/>
      <w:r w:rsidRPr="008618AF">
        <w:rPr>
          <w:sz w:val="24"/>
          <w:szCs w:val="24"/>
          <w:lang w:val="en-US"/>
        </w:rPr>
        <w:t>allowfullscreen</w:t>
      </w:r>
      <w:proofErr w:type="spellEnd"/>
      <w:r w:rsidRPr="008618AF">
        <w:rPr>
          <w:sz w:val="24"/>
          <w:szCs w:val="24"/>
          <w:lang w:val="en-US"/>
        </w:rPr>
        <w:t>="" allow="</w:t>
      </w:r>
      <w:proofErr w:type="spellStart"/>
      <w:r w:rsidRPr="008618AF">
        <w:rPr>
          <w:sz w:val="24"/>
          <w:szCs w:val="24"/>
          <w:lang w:val="en-US"/>
        </w:rPr>
        <w:t>autoplay</w:t>
      </w:r>
      <w:proofErr w:type="spellEnd"/>
      <w:r w:rsidRPr="008618AF">
        <w:rPr>
          <w:sz w:val="24"/>
          <w:szCs w:val="24"/>
          <w:lang w:val="en-US"/>
        </w:rPr>
        <w:t>" data-external="1"&gt;&lt;/</w:t>
      </w:r>
      <w:proofErr w:type="spellStart"/>
      <w:r w:rsidRPr="008618AF">
        <w:rPr>
          <w:sz w:val="24"/>
          <w:szCs w:val="24"/>
          <w:lang w:val="en-US"/>
        </w:rPr>
        <w:t>iframe</w:t>
      </w:r>
      <w:proofErr w:type="spellEnd"/>
      <w:r w:rsidRPr="008618AF">
        <w:rPr>
          <w:sz w:val="24"/>
          <w:szCs w:val="24"/>
          <w:lang w:val="en-US"/>
        </w:rPr>
        <w:t xml:space="preserve">&gt;    </w:t>
      </w:r>
    </w:p>
    <w:p w14:paraId="3D3CD0F2" w14:textId="77777777" w:rsidR="008618AF" w:rsidRPr="008618AF" w:rsidRDefault="008618AF" w:rsidP="008618AF">
      <w:pPr>
        <w:rPr>
          <w:sz w:val="24"/>
          <w:szCs w:val="24"/>
          <w:lang w:val="en-US"/>
        </w:rPr>
      </w:pPr>
    </w:p>
    <w:p w14:paraId="6128A596" w14:textId="77777777" w:rsidR="008618AF" w:rsidRPr="008618AF" w:rsidRDefault="008618AF" w:rsidP="008618AF">
      <w:pPr>
        <w:rPr>
          <w:sz w:val="24"/>
          <w:szCs w:val="24"/>
          <w:lang w:val="en-US"/>
        </w:rPr>
      </w:pPr>
    </w:p>
    <w:p w14:paraId="6F6544E1" w14:textId="77777777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 xml:space="preserve">### References       </w:t>
      </w:r>
    </w:p>
    <w:p w14:paraId="1B106054" w14:textId="77777777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 xml:space="preserve">Renda, A., Balland, P.A. et al. (2023) Industry 5.0 and the future of work, ESIR Policy Brief No 4, European Commission’s Directorate-General for Research and Innovation, Brussels.   </w:t>
      </w:r>
    </w:p>
    <w:p w14:paraId="5E4C4244" w14:textId="77777777" w:rsidR="008618AF" w:rsidRPr="008618AF" w:rsidRDefault="008618AF" w:rsidP="008618AF">
      <w:pPr>
        <w:rPr>
          <w:sz w:val="24"/>
          <w:szCs w:val="24"/>
          <w:lang w:val="en-US"/>
        </w:rPr>
      </w:pPr>
    </w:p>
    <w:p w14:paraId="2E971D0C" w14:textId="77777777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 xml:space="preserve">Balland, P.A., Broekel, T., Diodato, D., Giuliani, E., Hausmann, R., </w:t>
      </w:r>
      <w:proofErr w:type="spellStart"/>
      <w:r w:rsidRPr="008618AF">
        <w:rPr>
          <w:sz w:val="24"/>
          <w:szCs w:val="24"/>
          <w:lang w:val="en-US"/>
        </w:rPr>
        <w:t>O’Clery</w:t>
      </w:r>
      <w:proofErr w:type="spellEnd"/>
      <w:r w:rsidRPr="008618AF">
        <w:rPr>
          <w:sz w:val="24"/>
          <w:szCs w:val="24"/>
          <w:lang w:val="en-US"/>
        </w:rPr>
        <w:t xml:space="preserve">, N. &amp; Rigby, D. (2022) The new paradigm of economic complexity, Research Policy, 51 (3): 1-11.   </w:t>
      </w:r>
    </w:p>
    <w:p w14:paraId="76420FE0" w14:textId="77777777" w:rsidR="008618AF" w:rsidRPr="008618AF" w:rsidRDefault="008618AF" w:rsidP="008618AF">
      <w:pPr>
        <w:rPr>
          <w:sz w:val="24"/>
          <w:szCs w:val="24"/>
          <w:lang w:val="en-US"/>
        </w:rPr>
      </w:pPr>
    </w:p>
    <w:p w14:paraId="5F67FF41" w14:textId="77777777" w:rsidR="008618AF" w:rsidRPr="008618AF" w:rsidRDefault="008618AF" w:rsidP="008618AF">
      <w:pPr>
        <w:rPr>
          <w:sz w:val="24"/>
          <w:szCs w:val="24"/>
          <w:lang w:val="en-US"/>
        </w:rPr>
      </w:pPr>
      <w:r w:rsidRPr="008618AF">
        <w:rPr>
          <w:sz w:val="24"/>
          <w:szCs w:val="24"/>
          <w:lang w:val="en-US"/>
        </w:rPr>
        <w:t xml:space="preserve">### </w:t>
      </w:r>
      <w:proofErr w:type="spellStart"/>
      <w:r w:rsidRPr="008618AF">
        <w:rPr>
          <w:sz w:val="24"/>
          <w:szCs w:val="24"/>
          <w:lang w:val="en-US"/>
        </w:rPr>
        <w:t>Acknowldgement</w:t>
      </w:r>
      <w:proofErr w:type="spellEnd"/>
      <w:r w:rsidRPr="008618AF">
        <w:rPr>
          <w:sz w:val="24"/>
          <w:szCs w:val="24"/>
          <w:lang w:val="en-US"/>
        </w:rPr>
        <w:t xml:space="preserve">  </w:t>
      </w:r>
    </w:p>
    <w:p w14:paraId="33B85C9F" w14:textId="77777777" w:rsidR="008618AF" w:rsidRPr="008618AF" w:rsidRDefault="008618AF" w:rsidP="008618AF">
      <w:pPr>
        <w:rPr>
          <w:sz w:val="24"/>
          <w:szCs w:val="24"/>
        </w:rPr>
      </w:pPr>
      <w:r w:rsidRPr="008618AF">
        <w:rPr>
          <w:sz w:val="24"/>
          <w:szCs w:val="24"/>
          <w:lang w:val="en-US"/>
        </w:rPr>
        <w:t xml:space="preserve">We acknowledge the support of the Markle foundation for this research and the excellent research support from Dr. </w:t>
      </w:r>
      <w:r w:rsidRPr="008618AF">
        <w:rPr>
          <w:sz w:val="24"/>
          <w:szCs w:val="24"/>
        </w:rPr>
        <w:t xml:space="preserve">[Matté Hartog](https://scholar.harvard.edu/mattehartog/home).     </w:t>
      </w:r>
    </w:p>
    <w:p w14:paraId="42C60AD7" w14:textId="77777777" w:rsidR="008618AF" w:rsidRPr="008618AF" w:rsidRDefault="008618AF" w:rsidP="008618AF">
      <w:pPr>
        <w:rPr>
          <w:sz w:val="24"/>
          <w:szCs w:val="24"/>
        </w:rPr>
      </w:pPr>
    </w:p>
    <w:p w14:paraId="429AB418" w14:textId="77777777" w:rsidR="008618AF" w:rsidRPr="008618AF" w:rsidRDefault="008618AF" w:rsidP="008618AF">
      <w:pPr>
        <w:rPr>
          <w:sz w:val="24"/>
          <w:szCs w:val="24"/>
        </w:rPr>
      </w:pPr>
      <w:r w:rsidRPr="008618AF">
        <w:rPr>
          <w:sz w:val="24"/>
          <w:szCs w:val="24"/>
        </w:rPr>
        <w:lastRenderedPageBreak/>
        <w:t xml:space="preserve">  </w:t>
      </w:r>
    </w:p>
    <w:p w14:paraId="43FBDC54" w14:textId="77777777" w:rsidR="008618AF" w:rsidRPr="008618AF" w:rsidRDefault="008618AF" w:rsidP="008618AF">
      <w:pPr>
        <w:rPr>
          <w:sz w:val="24"/>
          <w:szCs w:val="24"/>
        </w:rPr>
      </w:pPr>
    </w:p>
    <w:p w14:paraId="304053AA" w14:textId="77777777" w:rsidR="008618AF" w:rsidRPr="008618AF" w:rsidRDefault="008618AF" w:rsidP="008618AF">
      <w:pPr>
        <w:rPr>
          <w:sz w:val="24"/>
          <w:szCs w:val="24"/>
        </w:rPr>
      </w:pPr>
    </w:p>
    <w:p w14:paraId="2ED66FBC" w14:textId="77777777" w:rsidR="008618AF" w:rsidRPr="008618AF" w:rsidRDefault="008618AF" w:rsidP="008618AF">
      <w:pPr>
        <w:rPr>
          <w:sz w:val="24"/>
          <w:szCs w:val="24"/>
        </w:rPr>
      </w:pPr>
    </w:p>
    <w:p w14:paraId="73894401" w14:textId="77777777" w:rsidR="008618AF" w:rsidRPr="008618AF" w:rsidRDefault="008618AF" w:rsidP="008618AF">
      <w:pPr>
        <w:rPr>
          <w:sz w:val="24"/>
          <w:szCs w:val="24"/>
        </w:rPr>
      </w:pPr>
    </w:p>
    <w:p w14:paraId="227880F6" w14:textId="77777777" w:rsidR="004A4053" w:rsidRPr="008618AF" w:rsidRDefault="004A4053">
      <w:pPr>
        <w:rPr>
          <w:sz w:val="24"/>
          <w:szCs w:val="24"/>
        </w:rPr>
      </w:pPr>
    </w:p>
    <w:sectPr w:rsidR="004A4053" w:rsidRPr="0086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NDczN7QwtzQwNzVS0lEKTi0uzszPAykwrAUAwyREFSwAAAA="/>
  </w:docVars>
  <w:rsids>
    <w:rsidRoot w:val="00F8612B"/>
    <w:rsid w:val="004A4053"/>
    <w:rsid w:val="006829E2"/>
    <w:rsid w:val="008618AF"/>
    <w:rsid w:val="008B6A56"/>
    <w:rsid w:val="00A151AD"/>
    <w:rsid w:val="00AE7534"/>
    <w:rsid w:val="00F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24DB"/>
  <w15:chartTrackingRefBased/>
  <w15:docId w15:val="{3F42AEA5-3EE1-4C63-80E4-486BF24B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Balland, P.M.A. (Pierre-Alexandre)</dc:creator>
  <cp:keywords/>
  <dc:description/>
  <cp:lastModifiedBy>Balland, P.M.A. (Pierre-Alexandre)</cp:lastModifiedBy>
  <cp:revision>6</cp:revision>
  <dcterms:created xsi:type="dcterms:W3CDTF">2023-02-10T15:47:00Z</dcterms:created>
  <dcterms:modified xsi:type="dcterms:W3CDTF">2023-02-10T17:07:00Z</dcterms:modified>
</cp:coreProperties>
</file>