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F5DB8" w14:textId="77777777" w:rsidR="008618AF" w:rsidRPr="008618AF" w:rsidRDefault="008618AF" w:rsidP="008618AF">
      <w:pPr>
        <w:rPr>
          <w:sz w:val="24"/>
          <w:szCs w:val="24"/>
          <w:lang w:val="en-US"/>
        </w:rPr>
      </w:pPr>
    </w:p>
    <w:p w14:paraId="134B1551" w14:textId="6EE10A79" w:rsidR="008618AF" w:rsidRPr="008618AF" w:rsidRDefault="008618AF" w:rsidP="008618AF">
      <w:pPr>
        <w:rPr>
          <w:sz w:val="24"/>
          <w:szCs w:val="24"/>
          <w:lang w:val="en-US"/>
        </w:rPr>
      </w:pPr>
      <w:r w:rsidRPr="008618AF">
        <w:rPr>
          <w:sz w:val="24"/>
          <w:szCs w:val="24"/>
          <w:lang w:val="en-US"/>
        </w:rPr>
        <w:t xml:space="preserve">### The structure of jobs &amp; element complexity        </w:t>
      </w:r>
    </w:p>
    <w:p w14:paraId="427D841D" w14:textId="54111AF9" w:rsidR="008618AF" w:rsidRPr="008618AF" w:rsidRDefault="008618AF" w:rsidP="008618AF">
      <w:pPr>
        <w:rPr>
          <w:sz w:val="24"/>
          <w:szCs w:val="24"/>
          <w:lang w:val="en-US"/>
        </w:rPr>
      </w:pPr>
      <w:r w:rsidRPr="008618AF">
        <w:rPr>
          <w:sz w:val="24"/>
          <w:szCs w:val="24"/>
          <w:lang w:val="en-US"/>
        </w:rPr>
        <w:t xml:space="preserve">Another way to explore how elements connect is with graph visualization. The interactive graph below shows the </w:t>
      </w:r>
      <w:r w:rsidR="008B6A56">
        <w:rPr>
          <w:sz w:val="24"/>
          <w:szCs w:val="24"/>
          <w:lang w:val="en-US"/>
        </w:rPr>
        <w:t xml:space="preserve">degree of </w:t>
      </w:r>
      <w:r w:rsidRPr="008618AF">
        <w:rPr>
          <w:sz w:val="24"/>
          <w:szCs w:val="24"/>
          <w:lang w:val="en-US"/>
        </w:rPr>
        <w:t>relatedness (normalized co-occu</w:t>
      </w:r>
      <w:r w:rsidR="008B6A56">
        <w:rPr>
          <w:sz w:val="24"/>
          <w:szCs w:val="24"/>
          <w:lang w:val="en-US"/>
        </w:rPr>
        <w:t>r</w:t>
      </w:r>
      <w:r w:rsidRPr="008618AF">
        <w:rPr>
          <w:sz w:val="24"/>
          <w:szCs w:val="24"/>
          <w:lang w:val="en-US"/>
        </w:rPr>
        <w:t>rences) level</w:t>
      </w:r>
      <w:r w:rsidR="008B6A56">
        <w:rPr>
          <w:sz w:val="24"/>
          <w:szCs w:val="24"/>
          <w:lang w:val="en-US"/>
        </w:rPr>
        <w:t xml:space="preserve"> between different elements</w:t>
      </w:r>
      <w:r w:rsidRPr="008618AF">
        <w:rPr>
          <w:sz w:val="24"/>
          <w:szCs w:val="24"/>
          <w:lang w:val="en-US"/>
        </w:rPr>
        <w:t xml:space="preserve">. </w:t>
      </w:r>
      <w:r w:rsidR="008B6A56">
        <w:rPr>
          <w:sz w:val="24"/>
          <w:szCs w:val="24"/>
          <w:lang w:val="en-US"/>
        </w:rPr>
        <w:t xml:space="preserve">It means that if a worker shows a strong level in a given element, (s)he can easily move to another one. Skill-relatedness has been shown in the literature to be a powerful predictor of future skilling and upskilling and labor market resilience. </w:t>
      </w:r>
      <w:r w:rsidRPr="008618AF">
        <w:rPr>
          <w:sz w:val="24"/>
          <w:szCs w:val="24"/>
          <w:lang w:val="en-US"/>
        </w:rPr>
        <w:t>We can observe again the very sharp divide between the left side (manual) and right (cognitive) side</w:t>
      </w:r>
      <w:r w:rsidR="008B6A56">
        <w:rPr>
          <w:sz w:val="24"/>
          <w:szCs w:val="24"/>
          <w:lang w:val="en-US"/>
        </w:rPr>
        <w:t>s</w:t>
      </w:r>
      <w:r w:rsidRPr="008618AF">
        <w:rPr>
          <w:sz w:val="24"/>
          <w:szCs w:val="24"/>
          <w:lang w:val="en-US"/>
        </w:rPr>
        <w:t xml:space="preserve"> of the graph</w:t>
      </w:r>
      <w:r w:rsidR="008B6A56">
        <w:rPr>
          <w:sz w:val="24"/>
          <w:szCs w:val="24"/>
          <w:lang w:val="en-US"/>
        </w:rPr>
        <w:t xml:space="preserve">. </w:t>
      </w:r>
      <w:r w:rsidRPr="008618AF">
        <w:rPr>
          <w:sz w:val="24"/>
          <w:szCs w:val="24"/>
          <w:lang w:val="en-US"/>
        </w:rPr>
        <w:t>The color</w:t>
      </w:r>
      <w:r w:rsidR="008B6A56">
        <w:rPr>
          <w:sz w:val="24"/>
          <w:szCs w:val="24"/>
          <w:lang w:val="en-US"/>
        </w:rPr>
        <w:t>s</w:t>
      </w:r>
      <w:r w:rsidRPr="008618AF">
        <w:rPr>
          <w:sz w:val="24"/>
          <w:szCs w:val="24"/>
          <w:lang w:val="en-US"/>
        </w:rPr>
        <w:t xml:space="preserve"> indicate the level of complexity of elements. More re</w:t>
      </w:r>
      <w:r w:rsidR="008B6A56">
        <w:rPr>
          <w:sz w:val="24"/>
          <w:szCs w:val="24"/>
          <w:lang w:val="en-US"/>
        </w:rPr>
        <w:t>d</w:t>
      </w:r>
      <w:r w:rsidRPr="008618AF">
        <w:rPr>
          <w:sz w:val="24"/>
          <w:szCs w:val="24"/>
          <w:lang w:val="en-US"/>
        </w:rPr>
        <w:t xml:space="preserve">dish colors indicate </w:t>
      </w:r>
      <w:r w:rsidR="008B6A56">
        <w:rPr>
          <w:sz w:val="24"/>
          <w:szCs w:val="24"/>
          <w:lang w:val="en-US"/>
        </w:rPr>
        <w:t xml:space="preserve">a </w:t>
      </w:r>
      <w:r w:rsidRPr="008618AF">
        <w:rPr>
          <w:sz w:val="24"/>
          <w:szCs w:val="24"/>
          <w:lang w:val="en-US"/>
        </w:rPr>
        <w:t xml:space="preserve">high level of complexity, while bluer colors indicate less complexity. </w:t>
      </w:r>
      <w:r w:rsidR="008B6A56">
        <w:rPr>
          <w:sz w:val="24"/>
          <w:szCs w:val="24"/>
          <w:lang w:val="en-US"/>
        </w:rPr>
        <w:t>The c</w:t>
      </w:r>
      <w:r w:rsidRPr="008618AF">
        <w:rPr>
          <w:sz w:val="24"/>
          <w:szCs w:val="24"/>
          <w:lang w:val="en-US"/>
        </w:rPr>
        <w:t>omplexity here uses a structural indicator from the field of economic complexity</w:t>
      </w:r>
      <w:r w:rsidR="008B6A56" w:rsidRPr="008B6A56">
        <w:rPr>
          <w:sz w:val="24"/>
          <w:szCs w:val="24"/>
          <w:vertAlign w:val="superscript"/>
          <w:lang w:val="en-US"/>
        </w:rPr>
        <w:t>1</w:t>
      </w:r>
      <w:r w:rsidRPr="008618AF">
        <w:rPr>
          <w:sz w:val="24"/>
          <w:szCs w:val="24"/>
          <w:lang w:val="en-US"/>
        </w:rPr>
        <w:t xml:space="preserve">. This structural indicator can be seen as an interesting proxy to think about the quality of jobs in </w:t>
      </w:r>
      <w:r w:rsidR="008B6A56">
        <w:rPr>
          <w:sz w:val="24"/>
          <w:szCs w:val="24"/>
          <w:lang w:val="en-US"/>
        </w:rPr>
        <w:t>the</w:t>
      </w:r>
      <w:r w:rsidRPr="008618AF">
        <w:rPr>
          <w:sz w:val="24"/>
          <w:szCs w:val="24"/>
          <w:lang w:val="en-US"/>
        </w:rPr>
        <w:t xml:space="preserve"> context of rapid task automation. Complex elements are the ones that are highly in demand by many but </w:t>
      </w:r>
      <w:r w:rsidR="008B6A56">
        <w:rPr>
          <w:sz w:val="24"/>
          <w:szCs w:val="24"/>
          <w:lang w:val="en-US"/>
        </w:rPr>
        <w:t xml:space="preserve">are </w:t>
      </w:r>
      <w:r w:rsidRPr="008618AF">
        <w:rPr>
          <w:sz w:val="24"/>
          <w:szCs w:val="24"/>
          <w:lang w:val="en-US"/>
        </w:rPr>
        <w:t xml:space="preserve">hard to train humans and machines for. </w:t>
      </w:r>
    </w:p>
    <w:p w14:paraId="64423582" w14:textId="77777777" w:rsidR="008618AF" w:rsidRPr="008618AF" w:rsidRDefault="008618AF" w:rsidP="008618AF">
      <w:pPr>
        <w:rPr>
          <w:sz w:val="24"/>
          <w:szCs w:val="24"/>
          <w:lang w:val="en-US"/>
        </w:rPr>
      </w:pPr>
    </w:p>
    <w:p w14:paraId="5B0BA86C" w14:textId="77777777" w:rsidR="008618AF" w:rsidRPr="008618AF" w:rsidRDefault="008618AF" w:rsidP="008618AF">
      <w:pPr>
        <w:rPr>
          <w:sz w:val="24"/>
          <w:szCs w:val="24"/>
          <w:lang w:val="en-US"/>
        </w:rPr>
      </w:pPr>
      <w:r w:rsidRPr="008618AF">
        <w:rPr>
          <w:sz w:val="24"/>
          <w:szCs w:val="24"/>
          <w:lang w:val="en-US"/>
        </w:rPr>
        <w:t>&lt;</w:t>
      </w:r>
      <w:proofErr w:type="spellStart"/>
      <w:r w:rsidRPr="008618AF">
        <w:rPr>
          <w:sz w:val="24"/>
          <w:szCs w:val="24"/>
          <w:lang w:val="en-US"/>
        </w:rPr>
        <w:t>iframe</w:t>
      </w:r>
      <w:proofErr w:type="spellEnd"/>
      <w:r w:rsidRPr="008618AF">
        <w:rPr>
          <w:sz w:val="24"/>
          <w:szCs w:val="24"/>
          <w:lang w:val="en-US"/>
        </w:rPr>
        <w:t xml:space="preserve"> </w:t>
      </w:r>
      <w:proofErr w:type="spellStart"/>
      <w:r w:rsidRPr="008618AF">
        <w:rPr>
          <w:sz w:val="24"/>
          <w:szCs w:val="24"/>
          <w:lang w:val="en-US"/>
        </w:rPr>
        <w:t>src</w:t>
      </w:r>
      <w:proofErr w:type="spellEnd"/>
      <w:r w:rsidRPr="008618AF">
        <w:rPr>
          <w:sz w:val="24"/>
          <w:szCs w:val="24"/>
          <w:lang w:val="en-US"/>
        </w:rPr>
        <w:t xml:space="preserve">="https://www.paballand.com/asg/fow/element-space.html" height="405" width="910" style="border: 1px solid #464646;" </w:t>
      </w:r>
      <w:proofErr w:type="spellStart"/>
      <w:r w:rsidRPr="008618AF">
        <w:rPr>
          <w:sz w:val="24"/>
          <w:szCs w:val="24"/>
          <w:lang w:val="en-US"/>
        </w:rPr>
        <w:t>allowfullscreen</w:t>
      </w:r>
      <w:proofErr w:type="spellEnd"/>
      <w:r w:rsidRPr="008618AF">
        <w:rPr>
          <w:sz w:val="24"/>
          <w:szCs w:val="24"/>
          <w:lang w:val="en-US"/>
        </w:rPr>
        <w:t>="" allow="</w:t>
      </w:r>
      <w:proofErr w:type="spellStart"/>
      <w:r w:rsidRPr="008618AF">
        <w:rPr>
          <w:sz w:val="24"/>
          <w:szCs w:val="24"/>
          <w:lang w:val="en-US"/>
        </w:rPr>
        <w:t>autoplay</w:t>
      </w:r>
      <w:proofErr w:type="spellEnd"/>
      <w:r w:rsidRPr="008618AF">
        <w:rPr>
          <w:sz w:val="24"/>
          <w:szCs w:val="24"/>
          <w:lang w:val="en-US"/>
        </w:rPr>
        <w:t>" data-external="1"&gt;&lt;/</w:t>
      </w:r>
      <w:proofErr w:type="spellStart"/>
      <w:r w:rsidRPr="008618AF">
        <w:rPr>
          <w:sz w:val="24"/>
          <w:szCs w:val="24"/>
          <w:lang w:val="en-US"/>
        </w:rPr>
        <w:t>iframe</w:t>
      </w:r>
      <w:proofErr w:type="spellEnd"/>
      <w:r w:rsidRPr="008618AF">
        <w:rPr>
          <w:sz w:val="24"/>
          <w:szCs w:val="24"/>
          <w:lang w:val="en-US"/>
        </w:rPr>
        <w:t xml:space="preserve">&gt;     </w:t>
      </w:r>
    </w:p>
    <w:p w14:paraId="69491C29" w14:textId="77777777" w:rsidR="008618AF" w:rsidRPr="008618AF" w:rsidRDefault="008618AF" w:rsidP="008618AF">
      <w:pPr>
        <w:rPr>
          <w:sz w:val="24"/>
          <w:szCs w:val="24"/>
          <w:lang w:val="en-US"/>
        </w:rPr>
      </w:pPr>
    </w:p>
    <w:p w14:paraId="34CA446F" w14:textId="77777777" w:rsidR="008618AF" w:rsidRPr="008618AF" w:rsidRDefault="008618AF" w:rsidP="008618AF">
      <w:pPr>
        <w:rPr>
          <w:sz w:val="24"/>
          <w:szCs w:val="24"/>
          <w:lang w:val="en-US"/>
        </w:rPr>
      </w:pPr>
      <w:r w:rsidRPr="008618AF">
        <w:rPr>
          <w:sz w:val="24"/>
          <w:szCs w:val="24"/>
          <w:lang w:val="en-US"/>
        </w:rPr>
        <w:t>&lt;</w:t>
      </w:r>
      <w:proofErr w:type="spellStart"/>
      <w:r w:rsidRPr="008618AF">
        <w:rPr>
          <w:sz w:val="24"/>
          <w:szCs w:val="24"/>
          <w:lang w:val="en-US"/>
        </w:rPr>
        <w:t>br</w:t>
      </w:r>
      <w:proofErr w:type="spellEnd"/>
      <w:r w:rsidRPr="008618AF">
        <w:rPr>
          <w:sz w:val="24"/>
          <w:szCs w:val="24"/>
          <w:lang w:val="en-US"/>
        </w:rPr>
        <w:t xml:space="preserve"> /&gt;</w:t>
      </w:r>
    </w:p>
    <w:p w14:paraId="4EB0339C" w14:textId="77777777" w:rsidR="008618AF" w:rsidRPr="008618AF" w:rsidRDefault="008618AF" w:rsidP="008618AF">
      <w:pPr>
        <w:rPr>
          <w:sz w:val="24"/>
          <w:szCs w:val="24"/>
          <w:lang w:val="en-US"/>
        </w:rPr>
      </w:pPr>
    </w:p>
    <w:p w14:paraId="58B8C6FB" w14:textId="77777777" w:rsidR="008618AF" w:rsidRPr="008618AF" w:rsidRDefault="008618AF" w:rsidP="008618AF">
      <w:pPr>
        <w:rPr>
          <w:sz w:val="24"/>
          <w:szCs w:val="24"/>
          <w:lang w:val="en-US"/>
        </w:rPr>
      </w:pPr>
    </w:p>
    <w:p w14:paraId="43B666D2" w14:textId="77777777" w:rsidR="008618AF" w:rsidRPr="008618AF" w:rsidRDefault="008618AF" w:rsidP="008618AF">
      <w:pPr>
        <w:rPr>
          <w:sz w:val="24"/>
          <w:szCs w:val="24"/>
          <w:lang w:val="en-US"/>
        </w:rPr>
      </w:pPr>
      <w:r w:rsidRPr="008618AF">
        <w:rPr>
          <w:sz w:val="24"/>
          <w:szCs w:val="24"/>
          <w:lang w:val="en-US"/>
        </w:rPr>
        <w:t xml:space="preserve">### Complex elements are associated with better working conditions         </w:t>
      </w:r>
    </w:p>
    <w:p w14:paraId="479365BF" w14:textId="77777777" w:rsidR="008618AF" w:rsidRPr="008618AF" w:rsidRDefault="008618AF" w:rsidP="008618AF">
      <w:pPr>
        <w:rPr>
          <w:sz w:val="24"/>
          <w:szCs w:val="24"/>
          <w:lang w:val="en-US"/>
        </w:rPr>
      </w:pPr>
      <w:r w:rsidRPr="008618AF">
        <w:rPr>
          <w:sz w:val="24"/>
          <w:szCs w:val="24"/>
          <w:lang w:val="en-US"/>
        </w:rPr>
        <w:t xml:space="preserve">Complex skills are the future of AI-human work but what is interesting is that the cluster of complex skills forming with elements such as complex problem solving, judgement &amp; decision making and deductive &amp; inductive reasoning is strongly associated with the appreciation cluster that combines recognition, achievement, working conditions or independence.  Complex skills tend correlate with excellent working conditions because leverage is on the side of workers. Therefore, accelerating the development of complex skills and tasks is the only way to improve human-AI complementarity rather than substitution.    </w:t>
      </w:r>
    </w:p>
    <w:p w14:paraId="7CB339F5" w14:textId="77777777" w:rsidR="008618AF" w:rsidRPr="008618AF" w:rsidRDefault="008618AF" w:rsidP="008618AF">
      <w:pPr>
        <w:rPr>
          <w:sz w:val="24"/>
          <w:szCs w:val="24"/>
          <w:lang w:val="en-US"/>
        </w:rPr>
      </w:pPr>
    </w:p>
    <w:p w14:paraId="02C36996" w14:textId="77777777" w:rsidR="008618AF" w:rsidRPr="008618AF" w:rsidRDefault="008618AF" w:rsidP="008618AF">
      <w:pPr>
        <w:rPr>
          <w:sz w:val="24"/>
          <w:szCs w:val="24"/>
          <w:lang w:val="en-US"/>
        </w:rPr>
      </w:pPr>
    </w:p>
    <w:p w14:paraId="1DB66374" w14:textId="77777777" w:rsidR="008618AF" w:rsidRPr="008618AF" w:rsidRDefault="008618AF" w:rsidP="008618AF">
      <w:pPr>
        <w:rPr>
          <w:sz w:val="24"/>
          <w:szCs w:val="24"/>
          <w:lang w:val="en-US"/>
        </w:rPr>
      </w:pPr>
      <w:r w:rsidRPr="008618AF">
        <w:rPr>
          <w:sz w:val="24"/>
          <w:szCs w:val="24"/>
          <w:lang w:val="en-US"/>
        </w:rPr>
        <w:t>&lt;</w:t>
      </w:r>
      <w:proofErr w:type="spellStart"/>
      <w:r w:rsidRPr="008618AF">
        <w:rPr>
          <w:sz w:val="24"/>
          <w:szCs w:val="24"/>
          <w:lang w:val="en-US"/>
        </w:rPr>
        <w:t>iframe</w:t>
      </w:r>
      <w:proofErr w:type="spellEnd"/>
      <w:r w:rsidRPr="008618AF">
        <w:rPr>
          <w:sz w:val="24"/>
          <w:szCs w:val="24"/>
          <w:lang w:val="en-US"/>
        </w:rPr>
        <w:t xml:space="preserve"> </w:t>
      </w:r>
      <w:proofErr w:type="spellStart"/>
      <w:r w:rsidRPr="008618AF">
        <w:rPr>
          <w:sz w:val="24"/>
          <w:szCs w:val="24"/>
          <w:lang w:val="en-US"/>
        </w:rPr>
        <w:t>src</w:t>
      </w:r>
      <w:proofErr w:type="spellEnd"/>
      <w:r w:rsidRPr="008618AF">
        <w:rPr>
          <w:sz w:val="24"/>
          <w:szCs w:val="24"/>
          <w:lang w:val="en-US"/>
        </w:rPr>
        <w:t xml:space="preserve">="https://www.paballand.com/asg/fow/comp-app-elements.html" height="505" width="910" style="border: 1px solid #464646;" </w:t>
      </w:r>
      <w:proofErr w:type="spellStart"/>
      <w:r w:rsidRPr="008618AF">
        <w:rPr>
          <w:sz w:val="24"/>
          <w:szCs w:val="24"/>
          <w:lang w:val="en-US"/>
        </w:rPr>
        <w:t>allowfullscreen</w:t>
      </w:r>
      <w:proofErr w:type="spellEnd"/>
      <w:r w:rsidRPr="008618AF">
        <w:rPr>
          <w:sz w:val="24"/>
          <w:szCs w:val="24"/>
          <w:lang w:val="en-US"/>
        </w:rPr>
        <w:t>="" allow="</w:t>
      </w:r>
      <w:proofErr w:type="spellStart"/>
      <w:r w:rsidRPr="008618AF">
        <w:rPr>
          <w:sz w:val="24"/>
          <w:szCs w:val="24"/>
          <w:lang w:val="en-US"/>
        </w:rPr>
        <w:t>autoplay</w:t>
      </w:r>
      <w:proofErr w:type="spellEnd"/>
      <w:r w:rsidRPr="008618AF">
        <w:rPr>
          <w:sz w:val="24"/>
          <w:szCs w:val="24"/>
          <w:lang w:val="en-US"/>
        </w:rPr>
        <w:t>" data-external="1"&gt;&lt;/</w:t>
      </w:r>
      <w:proofErr w:type="spellStart"/>
      <w:r w:rsidRPr="008618AF">
        <w:rPr>
          <w:sz w:val="24"/>
          <w:szCs w:val="24"/>
          <w:lang w:val="en-US"/>
        </w:rPr>
        <w:t>iframe</w:t>
      </w:r>
      <w:proofErr w:type="spellEnd"/>
      <w:r w:rsidRPr="008618AF">
        <w:rPr>
          <w:sz w:val="24"/>
          <w:szCs w:val="24"/>
          <w:lang w:val="en-US"/>
        </w:rPr>
        <w:t xml:space="preserve">&gt;    </w:t>
      </w:r>
    </w:p>
    <w:p w14:paraId="79122950" w14:textId="77777777" w:rsidR="008618AF" w:rsidRPr="008618AF" w:rsidRDefault="008618AF" w:rsidP="008618AF">
      <w:pPr>
        <w:rPr>
          <w:sz w:val="24"/>
          <w:szCs w:val="24"/>
          <w:lang w:val="en-US"/>
        </w:rPr>
      </w:pPr>
    </w:p>
    <w:p w14:paraId="48C7E08B" w14:textId="77777777" w:rsidR="008618AF" w:rsidRPr="008618AF" w:rsidRDefault="008618AF" w:rsidP="008618AF">
      <w:pPr>
        <w:rPr>
          <w:sz w:val="24"/>
          <w:szCs w:val="24"/>
          <w:lang w:val="en-US"/>
        </w:rPr>
      </w:pPr>
    </w:p>
    <w:p w14:paraId="36FDFF5A" w14:textId="77777777" w:rsidR="008618AF" w:rsidRPr="008618AF" w:rsidRDefault="008618AF" w:rsidP="008618AF">
      <w:pPr>
        <w:rPr>
          <w:sz w:val="24"/>
          <w:szCs w:val="24"/>
          <w:lang w:val="en-US"/>
        </w:rPr>
      </w:pPr>
      <w:r w:rsidRPr="008618AF">
        <w:rPr>
          <w:sz w:val="24"/>
          <w:szCs w:val="24"/>
          <w:lang w:val="en-US"/>
        </w:rPr>
        <w:t>&lt;</w:t>
      </w:r>
      <w:proofErr w:type="spellStart"/>
      <w:r w:rsidRPr="008618AF">
        <w:rPr>
          <w:sz w:val="24"/>
          <w:szCs w:val="24"/>
          <w:lang w:val="en-US"/>
        </w:rPr>
        <w:t>br</w:t>
      </w:r>
      <w:proofErr w:type="spellEnd"/>
      <w:r w:rsidRPr="008618AF">
        <w:rPr>
          <w:sz w:val="24"/>
          <w:szCs w:val="24"/>
          <w:lang w:val="en-US"/>
        </w:rPr>
        <w:t xml:space="preserve"> /&gt;</w:t>
      </w:r>
    </w:p>
    <w:p w14:paraId="4939E4C7" w14:textId="77777777" w:rsidR="008618AF" w:rsidRPr="008618AF" w:rsidRDefault="008618AF" w:rsidP="008618AF">
      <w:pPr>
        <w:rPr>
          <w:sz w:val="24"/>
          <w:szCs w:val="24"/>
          <w:lang w:val="en-US"/>
        </w:rPr>
      </w:pPr>
    </w:p>
    <w:p w14:paraId="4D0A9244" w14:textId="77777777" w:rsidR="008618AF" w:rsidRPr="008618AF" w:rsidRDefault="008618AF" w:rsidP="008618AF">
      <w:pPr>
        <w:rPr>
          <w:sz w:val="24"/>
          <w:szCs w:val="24"/>
          <w:lang w:val="en-US"/>
        </w:rPr>
      </w:pPr>
    </w:p>
    <w:p w14:paraId="299A0ABA" w14:textId="77777777" w:rsidR="008618AF" w:rsidRPr="008618AF" w:rsidRDefault="008618AF" w:rsidP="008618AF">
      <w:pPr>
        <w:rPr>
          <w:sz w:val="24"/>
          <w:szCs w:val="24"/>
          <w:lang w:val="en-US"/>
        </w:rPr>
      </w:pPr>
      <w:r w:rsidRPr="008618AF">
        <w:rPr>
          <w:sz w:val="24"/>
          <w:szCs w:val="24"/>
          <w:lang w:val="en-US"/>
        </w:rPr>
        <w:t xml:space="preserve">### Where are good jobs in Europe?    </w:t>
      </w:r>
    </w:p>
    <w:p w14:paraId="159A5B1D" w14:textId="77777777" w:rsidR="008618AF" w:rsidRPr="008618AF" w:rsidRDefault="008618AF" w:rsidP="008618AF">
      <w:pPr>
        <w:rPr>
          <w:sz w:val="24"/>
          <w:szCs w:val="24"/>
          <w:lang w:val="en-US"/>
        </w:rPr>
      </w:pPr>
      <w:r w:rsidRPr="008618AF">
        <w:rPr>
          <w:sz w:val="24"/>
          <w:szCs w:val="24"/>
          <w:lang w:val="en-US"/>
        </w:rPr>
        <w:t xml:space="preserve">Assuming one does a good job in measuring the quality of jobs, a maybe bigger question is good jobs for whom? Or where the good jobs are located. To produce the interactive map below we combine the previous data with the EU Labour Force Survey of the International Labor Organization at the regional (NUTS2) level. What is clear is that there are smaller than expected national border effects. In fact, it is hard to even distinguish national borders - leading to the idea that good job policy should also be a matter of higher level of governance (EU, US, China levels) together with the local level (urban areas and regions). Another striking result is the clear West/East divide, with jobs requiring complex elements concentrating in the West and less complex ones concentrating in the East. To a much lesser extent but also visible is a North/South divide. But maybe the most striking patterns of all is the extreme concentration of good jobs in the capital cities. This is true for all countries, but the pattern is even stronger in less developed countries. </w:t>
      </w:r>
    </w:p>
    <w:p w14:paraId="5DA61D55" w14:textId="77777777" w:rsidR="008618AF" w:rsidRPr="008618AF" w:rsidRDefault="008618AF" w:rsidP="008618AF">
      <w:pPr>
        <w:rPr>
          <w:sz w:val="24"/>
          <w:szCs w:val="24"/>
          <w:lang w:val="en-US"/>
        </w:rPr>
      </w:pPr>
      <w:r w:rsidRPr="008618AF">
        <w:rPr>
          <w:sz w:val="24"/>
          <w:szCs w:val="24"/>
          <w:lang w:val="en-US"/>
        </w:rPr>
        <w:t xml:space="preserve">  </w:t>
      </w:r>
    </w:p>
    <w:p w14:paraId="48C02FC1" w14:textId="77777777" w:rsidR="008618AF" w:rsidRPr="008618AF" w:rsidRDefault="008618AF" w:rsidP="008618AF">
      <w:pPr>
        <w:rPr>
          <w:sz w:val="24"/>
          <w:szCs w:val="24"/>
          <w:lang w:val="en-US"/>
        </w:rPr>
      </w:pPr>
    </w:p>
    <w:p w14:paraId="0FF4CBD8" w14:textId="77777777" w:rsidR="008618AF" w:rsidRPr="008618AF" w:rsidRDefault="008618AF" w:rsidP="008618AF">
      <w:pPr>
        <w:rPr>
          <w:sz w:val="24"/>
          <w:szCs w:val="24"/>
          <w:lang w:val="en-US"/>
        </w:rPr>
      </w:pPr>
      <w:r w:rsidRPr="008618AF">
        <w:rPr>
          <w:sz w:val="24"/>
          <w:szCs w:val="24"/>
          <w:lang w:val="en-US"/>
        </w:rPr>
        <w:t>&lt;</w:t>
      </w:r>
      <w:proofErr w:type="spellStart"/>
      <w:r w:rsidRPr="008618AF">
        <w:rPr>
          <w:sz w:val="24"/>
          <w:szCs w:val="24"/>
          <w:lang w:val="en-US"/>
        </w:rPr>
        <w:t>iframe</w:t>
      </w:r>
      <w:proofErr w:type="spellEnd"/>
      <w:r w:rsidRPr="008618AF">
        <w:rPr>
          <w:sz w:val="24"/>
          <w:szCs w:val="24"/>
          <w:lang w:val="en-US"/>
        </w:rPr>
        <w:t xml:space="preserve"> </w:t>
      </w:r>
      <w:proofErr w:type="spellStart"/>
      <w:r w:rsidRPr="008618AF">
        <w:rPr>
          <w:sz w:val="24"/>
          <w:szCs w:val="24"/>
          <w:lang w:val="en-US"/>
        </w:rPr>
        <w:t>src</w:t>
      </w:r>
      <w:proofErr w:type="spellEnd"/>
      <w:r w:rsidRPr="008618AF">
        <w:rPr>
          <w:sz w:val="24"/>
          <w:szCs w:val="24"/>
          <w:lang w:val="en-US"/>
        </w:rPr>
        <w:t xml:space="preserve">="https://www.paballand.com/asg/fow/EU-map.html" height="605" width="910" style="border: 1px solid #464646;" </w:t>
      </w:r>
      <w:proofErr w:type="spellStart"/>
      <w:r w:rsidRPr="008618AF">
        <w:rPr>
          <w:sz w:val="24"/>
          <w:szCs w:val="24"/>
          <w:lang w:val="en-US"/>
        </w:rPr>
        <w:t>allowfullscreen</w:t>
      </w:r>
      <w:proofErr w:type="spellEnd"/>
      <w:r w:rsidRPr="008618AF">
        <w:rPr>
          <w:sz w:val="24"/>
          <w:szCs w:val="24"/>
          <w:lang w:val="en-US"/>
        </w:rPr>
        <w:t>="" allow="</w:t>
      </w:r>
      <w:proofErr w:type="spellStart"/>
      <w:r w:rsidRPr="008618AF">
        <w:rPr>
          <w:sz w:val="24"/>
          <w:szCs w:val="24"/>
          <w:lang w:val="en-US"/>
        </w:rPr>
        <w:t>autoplay</w:t>
      </w:r>
      <w:proofErr w:type="spellEnd"/>
      <w:r w:rsidRPr="008618AF">
        <w:rPr>
          <w:sz w:val="24"/>
          <w:szCs w:val="24"/>
          <w:lang w:val="en-US"/>
        </w:rPr>
        <w:t>" data-external="1"&gt;&lt;/</w:t>
      </w:r>
      <w:proofErr w:type="spellStart"/>
      <w:r w:rsidRPr="008618AF">
        <w:rPr>
          <w:sz w:val="24"/>
          <w:szCs w:val="24"/>
          <w:lang w:val="en-US"/>
        </w:rPr>
        <w:t>iframe</w:t>
      </w:r>
      <w:proofErr w:type="spellEnd"/>
      <w:r w:rsidRPr="008618AF">
        <w:rPr>
          <w:sz w:val="24"/>
          <w:szCs w:val="24"/>
          <w:lang w:val="en-US"/>
        </w:rPr>
        <w:t xml:space="preserve">&gt;    </w:t>
      </w:r>
    </w:p>
    <w:p w14:paraId="3D3CD0F2" w14:textId="77777777" w:rsidR="008618AF" w:rsidRPr="008618AF" w:rsidRDefault="008618AF" w:rsidP="008618AF">
      <w:pPr>
        <w:rPr>
          <w:sz w:val="24"/>
          <w:szCs w:val="24"/>
          <w:lang w:val="en-US"/>
        </w:rPr>
      </w:pPr>
    </w:p>
    <w:p w14:paraId="6128A596" w14:textId="77777777" w:rsidR="008618AF" w:rsidRPr="008618AF" w:rsidRDefault="008618AF" w:rsidP="008618AF">
      <w:pPr>
        <w:rPr>
          <w:sz w:val="24"/>
          <w:szCs w:val="24"/>
          <w:lang w:val="en-US"/>
        </w:rPr>
      </w:pPr>
    </w:p>
    <w:p w14:paraId="6F6544E1" w14:textId="77777777" w:rsidR="008618AF" w:rsidRPr="008618AF" w:rsidRDefault="008618AF" w:rsidP="008618AF">
      <w:pPr>
        <w:rPr>
          <w:sz w:val="24"/>
          <w:szCs w:val="24"/>
          <w:lang w:val="en-US"/>
        </w:rPr>
      </w:pPr>
      <w:r w:rsidRPr="008618AF">
        <w:rPr>
          <w:sz w:val="24"/>
          <w:szCs w:val="24"/>
          <w:lang w:val="en-US"/>
        </w:rPr>
        <w:t xml:space="preserve">### References       </w:t>
      </w:r>
    </w:p>
    <w:p w14:paraId="1B106054" w14:textId="77777777" w:rsidR="008618AF" w:rsidRPr="008618AF" w:rsidRDefault="008618AF" w:rsidP="008618AF">
      <w:pPr>
        <w:rPr>
          <w:sz w:val="24"/>
          <w:szCs w:val="24"/>
          <w:lang w:val="en-US"/>
        </w:rPr>
      </w:pPr>
      <w:r w:rsidRPr="008618AF">
        <w:rPr>
          <w:sz w:val="24"/>
          <w:szCs w:val="24"/>
          <w:lang w:val="en-US"/>
        </w:rPr>
        <w:t xml:space="preserve">Renda, A., Balland, P.A. et al. (2023) Industry 5.0 and the future of work, ESIR Policy Brief No 4, European Commission’s Directorate-General for Research and Innovation, Brussels.   </w:t>
      </w:r>
    </w:p>
    <w:p w14:paraId="5E4C4244" w14:textId="77777777" w:rsidR="008618AF" w:rsidRPr="008618AF" w:rsidRDefault="008618AF" w:rsidP="008618AF">
      <w:pPr>
        <w:rPr>
          <w:sz w:val="24"/>
          <w:szCs w:val="24"/>
          <w:lang w:val="en-US"/>
        </w:rPr>
      </w:pPr>
    </w:p>
    <w:p w14:paraId="2E971D0C" w14:textId="77777777" w:rsidR="008618AF" w:rsidRPr="008618AF" w:rsidRDefault="008618AF" w:rsidP="008618AF">
      <w:pPr>
        <w:rPr>
          <w:sz w:val="24"/>
          <w:szCs w:val="24"/>
          <w:lang w:val="en-US"/>
        </w:rPr>
      </w:pPr>
      <w:r w:rsidRPr="008618AF">
        <w:rPr>
          <w:sz w:val="24"/>
          <w:szCs w:val="24"/>
          <w:lang w:val="en-US"/>
        </w:rPr>
        <w:t xml:space="preserve">Balland, P.A., Broekel, T., Diodato, D., Giuliani, E., Hausmann, R., </w:t>
      </w:r>
      <w:proofErr w:type="spellStart"/>
      <w:r w:rsidRPr="008618AF">
        <w:rPr>
          <w:sz w:val="24"/>
          <w:szCs w:val="24"/>
          <w:lang w:val="en-US"/>
        </w:rPr>
        <w:t>O’Clery</w:t>
      </w:r>
      <w:proofErr w:type="spellEnd"/>
      <w:r w:rsidRPr="008618AF">
        <w:rPr>
          <w:sz w:val="24"/>
          <w:szCs w:val="24"/>
          <w:lang w:val="en-US"/>
        </w:rPr>
        <w:t xml:space="preserve">, N. &amp; Rigby, D. (2022) The new paradigm of economic complexity, Research Policy, 51 (3): 1-11.   </w:t>
      </w:r>
    </w:p>
    <w:p w14:paraId="76420FE0" w14:textId="77777777" w:rsidR="008618AF" w:rsidRPr="008618AF" w:rsidRDefault="008618AF" w:rsidP="008618AF">
      <w:pPr>
        <w:rPr>
          <w:sz w:val="24"/>
          <w:szCs w:val="24"/>
          <w:lang w:val="en-US"/>
        </w:rPr>
      </w:pPr>
    </w:p>
    <w:p w14:paraId="5F67FF41" w14:textId="77777777" w:rsidR="008618AF" w:rsidRPr="008618AF" w:rsidRDefault="008618AF" w:rsidP="008618AF">
      <w:pPr>
        <w:rPr>
          <w:sz w:val="24"/>
          <w:szCs w:val="24"/>
          <w:lang w:val="en-US"/>
        </w:rPr>
      </w:pPr>
      <w:r w:rsidRPr="008618AF">
        <w:rPr>
          <w:sz w:val="24"/>
          <w:szCs w:val="24"/>
          <w:lang w:val="en-US"/>
        </w:rPr>
        <w:t xml:space="preserve">### </w:t>
      </w:r>
      <w:proofErr w:type="spellStart"/>
      <w:r w:rsidRPr="008618AF">
        <w:rPr>
          <w:sz w:val="24"/>
          <w:szCs w:val="24"/>
          <w:lang w:val="en-US"/>
        </w:rPr>
        <w:t>Acknowldgement</w:t>
      </w:r>
      <w:proofErr w:type="spellEnd"/>
      <w:r w:rsidRPr="008618AF">
        <w:rPr>
          <w:sz w:val="24"/>
          <w:szCs w:val="24"/>
          <w:lang w:val="en-US"/>
        </w:rPr>
        <w:t xml:space="preserve">  </w:t>
      </w:r>
    </w:p>
    <w:p w14:paraId="33B85C9F" w14:textId="77777777" w:rsidR="008618AF" w:rsidRPr="008618AF" w:rsidRDefault="008618AF" w:rsidP="008618AF">
      <w:pPr>
        <w:rPr>
          <w:sz w:val="24"/>
          <w:szCs w:val="24"/>
        </w:rPr>
      </w:pPr>
      <w:r w:rsidRPr="008618AF">
        <w:rPr>
          <w:sz w:val="24"/>
          <w:szCs w:val="24"/>
          <w:lang w:val="en-US"/>
        </w:rPr>
        <w:t xml:space="preserve">We acknowledge the support of the Markle foundation for this research and the excellent research support from Dr. </w:t>
      </w:r>
      <w:r w:rsidRPr="008618AF">
        <w:rPr>
          <w:sz w:val="24"/>
          <w:szCs w:val="24"/>
        </w:rPr>
        <w:t xml:space="preserve">[Matté Hartog](https://scholar.harvard.edu/mattehartog/home).     </w:t>
      </w:r>
    </w:p>
    <w:p w14:paraId="42C60AD7" w14:textId="77777777" w:rsidR="008618AF" w:rsidRPr="008618AF" w:rsidRDefault="008618AF" w:rsidP="008618AF">
      <w:pPr>
        <w:rPr>
          <w:sz w:val="24"/>
          <w:szCs w:val="24"/>
        </w:rPr>
      </w:pPr>
    </w:p>
    <w:p w14:paraId="429AB418" w14:textId="77777777" w:rsidR="008618AF" w:rsidRPr="008618AF" w:rsidRDefault="008618AF" w:rsidP="008618AF">
      <w:pPr>
        <w:rPr>
          <w:sz w:val="24"/>
          <w:szCs w:val="24"/>
        </w:rPr>
      </w:pPr>
      <w:r w:rsidRPr="008618AF">
        <w:rPr>
          <w:sz w:val="24"/>
          <w:szCs w:val="24"/>
        </w:rPr>
        <w:lastRenderedPageBreak/>
        <w:t xml:space="preserve">  </w:t>
      </w:r>
    </w:p>
    <w:p w14:paraId="43FBDC54" w14:textId="77777777" w:rsidR="008618AF" w:rsidRPr="008618AF" w:rsidRDefault="008618AF" w:rsidP="008618AF">
      <w:pPr>
        <w:rPr>
          <w:sz w:val="24"/>
          <w:szCs w:val="24"/>
        </w:rPr>
      </w:pPr>
    </w:p>
    <w:p w14:paraId="304053AA" w14:textId="77777777" w:rsidR="008618AF" w:rsidRPr="008618AF" w:rsidRDefault="008618AF" w:rsidP="008618AF">
      <w:pPr>
        <w:rPr>
          <w:sz w:val="24"/>
          <w:szCs w:val="24"/>
        </w:rPr>
      </w:pPr>
    </w:p>
    <w:p w14:paraId="2ED66FBC" w14:textId="77777777" w:rsidR="008618AF" w:rsidRPr="008618AF" w:rsidRDefault="008618AF" w:rsidP="008618AF">
      <w:pPr>
        <w:rPr>
          <w:sz w:val="24"/>
          <w:szCs w:val="24"/>
        </w:rPr>
      </w:pPr>
    </w:p>
    <w:p w14:paraId="73894401" w14:textId="77777777" w:rsidR="008618AF" w:rsidRPr="008618AF" w:rsidRDefault="008618AF" w:rsidP="008618AF">
      <w:pPr>
        <w:rPr>
          <w:sz w:val="24"/>
          <w:szCs w:val="24"/>
        </w:rPr>
      </w:pPr>
    </w:p>
    <w:p w14:paraId="227880F6" w14:textId="77777777" w:rsidR="004A4053" w:rsidRPr="008618AF" w:rsidRDefault="004A4053">
      <w:pPr>
        <w:rPr>
          <w:sz w:val="24"/>
          <w:szCs w:val="24"/>
        </w:rPr>
      </w:pPr>
    </w:p>
    <w:sectPr w:rsidR="004A4053" w:rsidRPr="00861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1NDczN7QwtzQwNzVS0lEKTi0uzszPAykwrAUAwyREFSwAAAA="/>
  </w:docVars>
  <w:rsids>
    <w:rsidRoot w:val="00F8612B"/>
    <w:rsid w:val="004A4053"/>
    <w:rsid w:val="008618AF"/>
    <w:rsid w:val="008B6A56"/>
    <w:rsid w:val="00A151AD"/>
    <w:rsid w:val="00AE7534"/>
    <w:rsid w:val="00F861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24DB"/>
  <w15:chartTrackingRefBased/>
  <w15:docId w15:val="{3F42AEA5-3EE1-4C63-80E4-486BF24B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3481</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Balland, P.M.A. (Pierre-Alexandre)</dc:creator>
  <cp:keywords/>
  <dc:description/>
  <cp:lastModifiedBy>Balland, P.M.A. (Pierre-Alexandre)</cp:lastModifiedBy>
  <cp:revision>5</cp:revision>
  <dcterms:created xsi:type="dcterms:W3CDTF">2023-02-10T15:47:00Z</dcterms:created>
  <dcterms:modified xsi:type="dcterms:W3CDTF">2023-02-10T16:54:00Z</dcterms:modified>
</cp:coreProperties>
</file>